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w:t>
      </w:r>
    </w:p>
    <w:p>
      <w:r>
        <w:t>Dated 1 July 2026</w:t>
      </w:r>
    </w:p>
    <w:p>
      <w:r>
        <w:t>Between Aldergate Consulting Pte Ltd and Windmoor Freight Solutions Pte Ltd.</w:t>
      </w:r>
    </w:p>
    <w:p>
      <w:pPr>
        <w:pStyle w:val="Heading2"/>
      </w:pPr>
      <w:r>
        <w:t>1. Parties and Framework</w:t>
      </w:r>
    </w:p>
    <w:p>
      <w:r>
        <w:t>This Statement of Work is made under the Master Services Agreement between Aldergate Consulting Pte Ltd (the Client) and Windmoor Freight Solutions Pte Ltd (the Provider). The terms of the Master Services Agreement apply to this Statement of Work.</w:t>
      </w:r>
    </w:p>
    <w:p>
      <w:pPr>
        <w:pStyle w:val="Heading2"/>
      </w:pPr>
      <w:r>
        <w:t>2. Deliverables</w:t>
      </w:r>
    </w:p>
    <w:p>
      <w:r>
        <w:t>The Provider may vary the scope, deliverables, and timeline at its reasonable discretion as the work proceeds. Any additional work the Provider performs is chargeable at the Provider's then-current rates without a change order.</w:t>
      </w:r>
    </w:p>
    <w:p>
      <w:pPr>
        <w:pStyle w:val="Heading2"/>
      </w:pPr>
      <w:r>
        <w:t>3. Timeline and Milestones</w:t>
      </w:r>
    </w:p>
    <w:p>
      <w:r>
        <w:t>The Provider will meet the milestone dates in the Deliverables Schedule and must notify the Client in writing as soon as it becomes aware that any milestone is at risk, together with a recovery plan.</w:t>
      </w:r>
    </w:p>
    <w:p>
      <w:pPr>
        <w:pStyle w:val="Heading2"/>
      </w:pPr>
      <w:r>
        <w:t>4. Fees and Payment</w:t>
      </w:r>
    </w:p>
    <w:p>
      <w:r>
        <w:t>The Client pays one hundred percent (100%) of the total fees stated in the Fee Schedule on signature of this Statement of Work, before any work begins. All fees are non-refundable in all circumstances.</w:t>
      </w:r>
    </w:p>
    <w:p>
      <w:pPr>
        <w:pStyle w:val="Heading2"/>
      </w:pPr>
      <w:r>
        <w:t>5. Acceptance</w:t>
      </w:r>
    </w:p>
    <w:p>
      <w:r>
        <w:t>Each deliverable is deemed accepted on delivery. The Client waives any right to reject, or to require correction of, a deliverable after it has been delivered.</w:t>
      </w:r>
    </w:p>
    <w:p>
      <w:pPr>
        <w:pStyle w:val="Heading2"/>
      </w:pPr>
      <w:r>
        <w:t>6. Term and Cancellation</w:t>
      </w:r>
    </w:p>
    <w:p>
      <w:r>
        <w:t>If the Client cancels any part of the work for any reason, the Client must pay a cancellation fee equal to the full remaining fees under this Statement of Work plus fifteen percent (15%) of the total contract value.</w:t>
      </w:r>
    </w:p>
    <w:p>
      <w:pPr>
        <w:pStyle w:val="Heading2"/>
      </w:pPr>
      <w:r>
        <w:t>7. Intellectual Property</w:t>
      </w:r>
    </w:p>
    <w:p>
      <w:r>
        <w:t>The Provider retains ownership of all deliverables until the end of the calendar year in which they are delivered, and may reuse any deliverable, including Client materials incorporated in it, for other customers.</w:t>
      </w:r>
    </w:p>
    <w:p>
      <w:pPr>
        <w:pStyle w:val="Heading2"/>
      </w:pPr>
      <w:r>
        <w:t>8. Liability</w:t>
      </w:r>
    </w:p>
    <w:p>
      <w:r>
        <w:t>Liability under this Statement of Work is governed by the limitation of liability clause in the Master Services Agreement and counts toward the same cap. Nothing in this Statement of Work increases either party's liability.</w:t>
      </w:r>
    </w:p>
    <w:p>
      <w:pPr>
        <w:pStyle w:val="Heading2"/>
      </w:pPr>
      <w:r>
        <w:t>9. General</w:t>
      </w:r>
    </w:p>
    <w:p>
      <w:r>
        <w:t>This Statement of Work and the Master Services Agreement form the entire agreement for this work. If they conflict, the Master Services Agreement prevails unless this Statement of Work expressly amends a named clause in writing.</w:t>
      </w:r>
    </w:p>
    <w:p>
      <w:r>
        <w:t>Signed: Aldergate Consulting Pte Ltd</w:t>
      </w:r>
    </w:p>
    <w:p>
      <w:r>
        <w:t>Signed: Windmoor Freight Solutions Pte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