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Vendor Agreement</w:t>
      </w:r>
    </w:p>
    <w:p>
      <w:r>
        <w:t>Dated 1 July 2026</w:t>
      </w:r>
    </w:p>
    <w:p>
      <w:r>
        <w:t>Between Aldergate Consulting Pte Ltd and Aurelia Health Group Pte Ltd.</w:t>
      </w:r>
    </w:p>
    <w:p>
      <w:pPr>
        <w:pStyle w:val="Heading2"/>
      </w:pPr>
      <w:r>
        <w:t>1. Parties</w:t>
      </w:r>
    </w:p>
    <w:p>
      <w:r>
        <w:t>This Vendor Agreement is made between Aldergate Consulting Pte Ltd (the Client) and Aurelia Health Group Pte Ltd (the Vendor). It sets the terms on which the Vendor supplies goods and services to the Client.</w:t>
      </w:r>
    </w:p>
    <w:p>
      <w:pPr>
        <w:pStyle w:val="Heading2"/>
      </w:pPr>
      <w:r>
        <w:t>2. Supply</w:t>
      </w:r>
    </w:p>
    <w:p>
      <w:r>
        <w:t>The Vendor will supply the goods and services listed in the Order Schedule, matching the agreed specifications. Substitutions or changes require the Client's prior written approval.</w:t>
      </w:r>
    </w:p>
    <w:p>
      <w:pPr>
        <w:pStyle w:val="Heading2"/>
      </w:pPr>
      <w:r>
        <w:t>3. Prices and Payment</w:t>
      </w:r>
    </w:p>
    <w:p>
      <w:r>
        <w:t>The Client pays undisputed invoices within thirty (30) days of receipt. Prices are fixed for the first twelve (12) months of this Agreement, and any increase requires sixty (60) days written notice and the Client's written agreement before it takes effect.</w:t>
      </w:r>
    </w:p>
    <w:p>
      <w:pPr>
        <w:pStyle w:val="Heading2"/>
      </w:pPr>
      <w:r>
        <w:t>4. Delivery and Risk</w:t>
      </w:r>
    </w:p>
    <w:p>
      <w:r>
        <w:t>The Vendor delivers to the address stated in the Order Schedule. Risk in goods passes to the Client on delivery, and title passes on the later of delivery and payment. The Vendor bears the cost of failed, late, or rejected deliveries.</w:t>
      </w:r>
    </w:p>
    <w:p>
      <w:pPr>
        <w:pStyle w:val="Heading2"/>
      </w:pPr>
      <w:r>
        <w:t>5. Quality and Inspection</w:t>
      </w:r>
    </w:p>
    <w:p>
      <w:r>
        <w:t>All goods and services must conform to the agreed specifications and applicable law. The Client may inspect deliveries and reject non-conforming goods within ten (10) business days of delivery, and the Vendor must replace rejected goods promptly at its own cost.</w:t>
      </w:r>
    </w:p>
    <w:p>
      <w:pPr>
        <w:pStyle w:val="Heading2"/>
      </w:pPr>
      <w:r>
        <w:t>6. Term and Termination</w:t>
      </w:r>
    </w:p>
    <w:p>
      <w:r>
        <w:t>This Agreement runs for an initial term of twelve (12) months from signature. Either party may terminate for convenience on thirty (30) days written notice, or immediately if the other party commits a material breach and does not fix it within fourteen (14) days of written notice.</w:t>
      </w:r>
    </w:p>
    <w:p>
      <w:pPr>
        <w:pStyle w:val="Heading2"/>
      </w:pPr>
      <w:r>
        <w:t>7. Confidentiality</w:t>
      </w:r>
    </w:p>
    <w:p>
      <w:r>
        <w:t>Each party must keep the other's Confidential Information secret, use it only to perform this Agreement, and share it only with people who need it and are bound by equivalent obligations. This duty survives for three (3) years after this Agreement ends.</w:t>
      </w:r>
    </w:p>
    <w:p>
      <w:pPr>
        <w:pStyle w:val="Heading2"/>
      </w:pPr>
      <w:r>
        <w:t>8. Limitation of Liability</w:t>
      </w:r>
    </w:p>
    <w:p>
      <w:r>
        <w:t>Each party's total liability under this Agreement is capped at the fees paid or payable in the twelve (12) months before the event giving rise to the claim. Neither party is liable for indirect or consequential loss. Nothing limits liability for fraud or for breach of confidentiality.</w:t>
      </w:r>
    </w:p>
    <w:p>
      <w:pPr>
        <w:pStyle w:val="Heading2"/>
      </w:pPr>
      <w:r>
        <w:t>9. Indemnity</w:t>
      </w:r>
    </w:p>
    <w:p>
      <w:r>
        <w:t>The Vendor indemnifies the Client against third-party claims arising from defective goods, infringement of intellectual property rights, or the Vendor's breach of applicable law, provided the Client gives prompt written notice and control of the defence and settlement.</w:t>
      </w:r>
    </w:p>
    <w:p>
      <w:pPr>
        <w:pStyle w:val="Heading2"/>
      </w:pPr>
      <w:r>
        <w:t>10. Data Protection</w:t>
      </w:r>
    </w:p>
    <w:p>
      <w:r>
        <w:t>Each party must comply with the Personal Data Protection Act 2012 (Singapore) when handling personal data under this Agreement, use that data only as needed to perform this Agreement, appoint sub-processors only with the other party's prior written consent, and notify the other party of any personal data breach within seventy-two (72) hours of becoming aware of it.</w:t>
      </w:r>
    </w:p>
    <w:p>
      <w:pPr>
        <w:pStyle w:val="Heading2"/>
      </w:pPr>
      <w:r>
        <w:t>11. Governing Law</w:t>
      </w:r>
    </w:p>
    <w:p>
      <w:r>
        <w:t>This Agreement is governed by the laws of Singapore. The parties submit to the exclusive jurisdiction of the courts of Singapore for any dispute arising out of or in connection with this Agreement.</w:t>
      </w:r>
    </w:p>
    <w:p>
      <w:pPr>
        <w:pStyle w:val="Heading2"/>
      </w:pPr>
      <w:r>
        <w:t>12. Notices</w:t>
      </w:r>
    </w:p>
    <w:p>
      <w:r>
        <w:t>Formal notices under this Agreement must be in writing and sent by hand, by registered post, or by email to the addresses stated in the signature block. A notice takes effect on the day it is received.</w:t>
      </w:r>
    </w:p>
    <w:p>
      <w:pPr>
        <w:pStyle w:val="Heading2"/>
      </w:pPr>
      <w:r>
        <w:t>13. General</w:t>
      </w:r>
    </w:p>
    <w:p>
      <w:r>
        <w:t>This Agreement and the Order Schedule are the entire agreement between the parties. The Vendor may not subcontract or assign its obligations without the Client's prior written consent. Amendments are valid only in writing signed by both parties.</w:t>
      </w:r>
    </w:p>
    <w:p>
      <w:r>
        <w:t>Signed: Aldergate Consulting Pte Ltd</w:t>
      </w:r>
    </w:p>
    <w:p>
      <w:r>
        <w:t>Signed: Aurelia Health Group Pte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