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chi-deux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tableau-croisé-et-chi-deux"/>
      <w:r>
        <w:t xml:space="preserve">1. Tableau croisé et Chi-deux</w:t>
      </w:r>
      <w:bookmarkEnd w:id="20"/>
    </w:p>
    <w:p>
      <w:pPr>
        <w:pStyle w:val="FirstParagraph"/>
      </w:pPr>
      <w:r>
        <w:t xml:space="preserve">A partir des données du tableau suivant: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Masculin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Féminin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p>
      <w:pPr>
        <w:numPr>
          <w:numId w:val="1001"/>
          <w:ilvl w:val="0"/>
        </w:numPr>
      </w:pPr>
      <w:r>
        <w:t xml:space="preserve">Dire quel est le type de chaque variable</w:t>
      </w:r>
    </w:p>
    <w:p>
      <w:pPr>
        <w:numPr>
          <w:numId w:val="1001"/>
          <w:ilvl w:val="0"/>
        </w:numPr>
      </w:pPr>
      <w:r>
        <w:t xml:space="preserve">Conjecturer sur la question de recherche qui a poussé à la collecte de ces données</w:t>
      </w:r>
    </w:p>
    <w:p>
      <w:pPr>
        <w:numPr>
          <w:numId w:val="1001"/>
          <w:ilvl w:val="0"/>
        </w:numPr>
      </w:pPr>
      <w:r>
        <w:t xml:space="preserve">Dresser un tableau croisé liant les deux variablesde sexe et d’emploi, préciser les informations importantes du tableau (nom des colonnes et des lignes, effectifs, et effectifs marginaux)</w:t>
      </w:r>
    </w:p>
    <w:p>
      <w:pPr>
        <w:numPr>
          <w:numId w:val="1001"/>
          <w:ilvl w:val="0"/>
        </w:numPr>
      </w:pPr>
      <w:r>
        <w:t xml:space="preserve">Quelle conclusion tirez-vous sur ces deux variables? Quel est le problème avec cette conclusion?</w:t>
      </w:r>
    </w:p>
    <w:p>
      <w:pPr>
        <w:numPr>
          <w:numId w:val="1001"/>
          <w:ilvl w:val="0"/>
        </w:numPr>
      </w:pPr>
      <w:r>
        <w:t xml:space="preserve">Présenter un tableau de pourcentage marginal et commentez à nouveau.</w:t>
      </w:r>
    </w:p>
    <w:p>
      <w:pPr>
        <w:numPr>
          <w:numId w:val="1001"/>
          <w:ilvl w:val="0"/>
        </w:numPr>
      </w:pPr>
      <w:r>
        <w:t xml:space="preserve">Quel est le type de relation que vous observez entre ces deux variables?</w:t>
      </w:r>
    </w:p>
    <w:p>
      <w:pPr>
        <w:numPr>
          <w:numId w:val="1001"/>
          <w:ilvl w:val="0"/>
        </w:numPr>
      </w:pPr>
      <w:r>
        <w:t xml:space="preserve">Diriez-vous que cette relation est forte, modérée, faible ou nulle?</w:t>
      </w:r>
    </w:p>
    <w:p>
      <w:pPr>
        <w:numPr>
          <w:numId w:val="1001"/>
          <w:ilvl w:val="0"/>
        </w:numPr>
      </w:pPr>
      <w:r>
        <w:t xml:space="preserve">Calculer le Chi-deux</w:t>
      </w:r>
    </w:p>
    <w:p>
      <w:pPr>
        <w:numPr>
          <w:numId w:val="1001"/>
          <w:ilvl w:val="0"/>
        </w:numPr>
      </w:pPr>
      <w:r>
        <w:t xml:space="preserve">Déterminer le degré de liberté</w:t>
      </w:r>
    </w:p>
    <w:p>
      <w:pPr>
        <w:numPr>
          <w:numId w:val="1001"/>
          <w:ilvl w:val="0"/>
        </w:numPr>
      </w:pPr>
      <w:r>
        <w:t xml:space="preserve">Quelle conclusion tirez-vous sur votre confiance au résultat?</w:t>
      </w:r>
    </w:p>
    <w:p>
      <w:pPr>
        <w:numPr>
          <w:numId w:val="1001"/>
          <w:ilvl w:val="0"/>
        </w:numPr>
      </w:pPr>
      <w:r>
        <w:t xml:space="preserve">Calculer si possible les mesures d’intensité suivante:</w:t>
      </w:r>
    </w:p>
    <w:p>
      <w:pPr>
        <w:pStyle w:val="Compact"/>
        <w:numPr>
          <w:numId w:val="1002"/>
          <w:ilvl w:val="0"/>
        </w:numPr>
      </w:pPr>
      <w:r>
        <w:t xml:space="preserve">le coefficient de contingence de Pearson</w:t>
      </w:r>
    </w:p>
    <w:p>
      <w:pPr>
        <w:pStyle w:val="Compact"/>
        <w:numPr>
          <w:numId w:val="1002"/>
          <w:ilvl w:val="0"/>
        </w:numPr>
      </w:pPr>
      <w:r>
        <w:t xml:space="preserve">le V de Cramer</w:t>
      </w:r>
    </w:p>
    <w:p>
      <w:pPr>
        <w:pStyle w:val="Compact"/>
        <w:numPr>
          <w:numId w:val="1002"/>
          <w:ilvl w:val="0"/>
        </w:numPr>
      </w:pPr>
      <w:r>
        <w:t xml:space="preserve">le phi</w:t>
      </w:r>
    </w:p>
    <w:p>
      <w:pPr>
        <w:pStyle w:val="Compact"/>
        <w:numPr>
          <w:numId w:val="1002"/>
          <w:ilvl w:val="0"/>
        </w:numPr>
      </w:pPr>
      <w:r>
        <w:t xml:space="preserve">le coefficient de prédiction de Guttman</w:t>
      </w:r>
    </w:p>
    <w:p>
      <w:pPr>
        <w:pStyle w:val="Compact"/>
        <w:numPr>
          <w:numId w:val="1002"/>
          <w:ilvl w:val="0"/>
        </w:numPr>
      </w:pPr>
      <w:r>
        <w:t xml:space="preserve">Gamma de Goodman et de Kruskal</w:t>
      </w:r>
    </w:p>
    <w:p>
      <w:pPr>
        <w:pStyle w:val="Compact"/>
        <w:numPr>
          <w:numId w:val="1002"/>
          <w:ilvl w:val="0"/>
        </w:numPr>
      </w:pPr>
      <w:r>
        <w:t xml:space="preserve">le Dyx de Somers</w:t>
      </w:r>
    </w:p>
    <w:p>
      <w:pPr>
        <w:pStyle w:val="Compact"/>
        <w:numPr>
          <w:numId w:val="1002"/>
          <w:ilvl w:val="0"/>
        </w:numPr>
      </w:pPr>
      <w:r>
        <w:t xml:space="preserve">le tau-b et</w:t>
      </w:r>
    </w:p>
    <w:p>
      <w:pPr>
        <w:pStyle w:val="Compact"/>
        <w:numPr>
          <w:numId w:val="1002"/>
          <w:ilvl w:val="0"/>
        </w:numPr>
      </w:pPr>
      <w:r>
        <w:t xml:space="preserve">le tau-c</w:t>
      </w:r>
    </w:p>
    <w:p>
      <w:pPr>
        <w:pStyle w:val="Compact"/>
        <w:numPr>
          <w:numId w:val="1003"/>
          <w:ilvl w:val="0"/>
        </w:numPr>
      </w:pPr>
      <w:r>
        <w:t xml:space="preserve">Si vous devez étudier la relation entre l’âge et l’emploi, comment procéderiez-vous?</w:t>
      </w:r>
    </w:p>
    <w:p>
      <w:pPr>
        <w:pStyle w:val="Heading2"/>
      </w:pPr>
      <w:bookmarkStart w:id="21" w:name="test-de-chi-deux-avec-r"/>
      <w:r>
        <w:t xml:space="preserve">2. Test de chi-deux avec R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Entrer les données précédentes dans R. Je vous ai fait cela. Utiliser le fichier qui s’appelle</w:t>
      </w:r>
      <w:r>
        <w:t xml:space="preserve"> </w:t>
      </w:r>
      <w:r>
        <w:rPr>
          <w:b/>
        </w:rPr>
        <w:t xml:space="preserve">Emploi_femme.csv</w:t>
      </w:r>
    </w:p>
    <w:p>
      <w:pPr>
        <w:pStyle w:val="Compact"/>
        <w:numPr>
          <w:numId w:val="1004"/>
          <w:ilvl w:val="0"/>
        </w:numPr>
      </w:pPr>
      <w:r>
        <w:t xml:space="preserve">Présenter le tableau de fréquence de la variable sexe, et commentez</w:t>
      </w:r>
    </w:p>
    <w:p>
      <w:pPr>
        <w:pStyle w:val="Compact"/>
        <w:numPr>
          <w:numId w:val="1004"/>
          <w:ilvl w:val="0"/>
        </w:numPr>
      </w:pPr>
      <w:r>
        <w:t xml:space="preserve">Présenter le tableau de fréquence de la variable emploi, et commentez</w:t>
      </w:r>
    </w:p>
    <w:p>
      <w:pPr>
        <w:pStyle w:val="Compact"/>
        <w:numPr>
          <w:numId w:val="1004"/>
          <w:ilvl w:val="0"/>
        </w:numPr>
      </w:pPr>
      <w:r>
        <w:t xml:space="preserve">Quelle est la relation entre le sexe et l’emploi?</w:t>
      </w:r>
    </w:p>
    <w:p>
      <w:pPr>
        <w:pStyle w:val="Compact"/>
        <w:numPr>
          <w:numId w:val="1004"/>
          <w:ilvl w:val="0"/>
        </w:numPr>
      </w:pPr>
      <w:r>
        <w:t xml:space="preserve">Cette relation est-elle statistiquement significative?</w:t>
      </w:r>
    </w:p>
    <w:p>
      <w:pPr>
        <w:pStyle w:val="Compact"/>
        <w:numPr>
          <w:numId w:val="1004"/>
          <w:ilvl w:val="0"/>
        </w:numPr>
      </w:pPr>
      <w:r>
        <w:t xml:space="preserve">Créer une nouvelle variable d’emploi que vous notez</w:t>
      </w:r>
      <w:r>
        <w:t xml:space="preserve"> </w:t>
      </w:r>
      <w:r>
        <w:rPr>
          <w:b/>
        </w:rPr>
        <w:t xml:space="preserve">emploi2</w:t>
      </w:r>
      <w:r>
        <w:t xml:space="preserve"> </w:t>
      </w:r>
      <w:r>
        <w:t xml:space="preserve">qui prend les valeurs suivantes:</w:t>
      </w:r>
    </w:p>
    <w:p>
      <w:pPr>
        <w:pStyle w:val="Compact"/>
        <w:numPr>
          <w:numId w:val="1005"/>
          <w:ilvl w:val="0"/>
        </w:numPr>
      </w:pPr>
      <w:r>
        <w:t xml:space="preserve">Si emploi prend les valeurs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" ou</w:t>
      </w:r>
      <w:r>
        <w:t xml:space="preserve"> </w:t>
      </w:r>
      <w:r>
        <w:t xml:space="preserve">“</w:t>
      </w:r>
      <w:r>
        <w:t xml:space="preserve">temps partiel</w:t>
      </w:r>
      <w:r>
        <w:t xml:space="preserve">”</w:t>
      </w:r>
      <w:r>
        <w:t xml:space="preserve">“</w:t>
      </w:r>
      <w:r>
        <w:t xml:space="preserve">, emploi2 prend la valeur</w:t>
      </w:r>
      <w:r>
        <w:t xml:space="preserve">”</w:t>
      </w:r>
      <w:r>
        <w:t xml:space="preserve">ne travaille pas"</w:t>
      </w:r>
    </w:p>
    <w:p>
      <w:pPr>
        <w:pStyle w:val="Compact"/>
        <w:numPr>
          <w:numId w:val="1005"/>
          <w:ilvl w:val="0"/>
        </w:numPr>
      </w:pPr>
      <w:r>
        <w:t xml:space="preserve">Si emploi prend la valeur</w:t>
      </w:r>
      <w:r>
        <w:t xml:space="preserve"> </w:t>
      </w:r>
      <w:r>
        <w:t xml:space="preserve">“</w:t>
      </w:r>
      <w:r>
        <w:t xml:space="preserve">Temps plein</w:t>
      </w:r>
      <w:r>
        <w:t xml:space="preserve">”</w:t>
      </w:r>
      <w:r>
        <w:t xml:space="preserve">, emploi2 prend la valeur</w:t>
      </w:r>
      <w:r>
        <w:t xml:space="preserve"> </w:t>
      </w:r>
      <w:r>
        <w:t xml:space="preserve">“</w:t>
      </w:r>
      <w:r>
        <w:t xml:space="preserve">Travaille</w:t>
      </w:r>
      <w:r>
        <w:t xml:space="preserve">”</w:t>
      </w:r>
    </w:p>
    <w:p>
      <w:pPr>
        <w:pStyle w:val="Compact"/>
        <w:numPr>
          <w:numId w:val="1006"/>
          <w:ilvl w:val="0"/>
        </w:numPr>
      </w:pPr>
      <w:r>
        <w:t xml:space="preserve">Créer aussi la nouvelle variable</w:t>
      </w:r>
      <w:r>
        <w:t xml:space="preserve"> </w:t>
      </w:r>
      <w:r>
        <w:rPr>
          <w:b/>
        </w:rPr>
        <w:t xml:space="preserve">groupe_age</w:t>
      </w:r>
      <w:r>
        <w:t xml:space="preserve"> </w:t>
      </w:r>
      <w:r>
        <w:t xml:space="preserve">qui prends deux valeurs:</w:t>
      </w:r>
    </w:p>
    <w:p>
      <w:pPr>
        <w:pStyle w:val="Compact"/>
        <w:numPr>
          <w:numId w:val="1007"/>
          <w:ilvl w:val="0"/>
        </w:numPr>
      </w:pPr>
      <w:r>
        <w:t xml:space="preserve">Moins de 30 ans</w:t>
      </w:r>
    </w:p>
    <w:p>
      <w:pPr>
        <w:pStyle w:val="Compact"/>
        <w:numPr>
          <w:numId w:val="1007"/>
          <w:ilvl w:val="0"/>
        </w:numPr>
      </w:pPr>
      <w:r>
        <w:t xml:space="preserve">30 ans et plus</w:t>
      </w:r>
    </w:p>
    <w:p>
      <w:pPr>
        <w:pStyle w:val="Compact"/>
        <w:numPr>
          <w:numId w:val="1008"/>
          <w:ilvl w:val="0"/>
        </w:numPr>
      </w:pPr>
      <w:r>
        <w:t xml:space="preserve">Étudiez à nouveau la relation entre le sexe et l’emploi, cette fois-ci séparément pour les moins de 30 ans et les 30 ans et plus</w:t>
      </w:r>
    </w:p>
    <w:p>
      <w:pPr>
        <w:pStyle w:val="Heading2"/>
      </w:pPr>
      <w:bookmarkStart w:id="22" w:name="mesure-dassociation"/>
      <w:r>
        <w:t xml:space="preserve">3. Mesure d’association</w:t>
      </w:r>
      <w:bookmarkEnd w:id="22"/>
    </w:p>
    <w:p>
      <w:pPr>
        <w:pStyle w:val="FirstParagraph"/>
      </w:pPr>
      <w:r>
        <w:t xml:space="preserve">La plupart des mesures d’association ne sont pas dans BlueSky. Je n’ai vu que le chi-carré. Vous pouvez utiliser d’autres packages pour vous aider.</w:t>
      </w:r>
    </w:p>
    <w:p>
      <w:pPr>
        <w:pStyle w:val="BodyText"/>
      </w:pPr>
      <w:r>
        <w:t xml:space="preserve">Installer les packages suivant dans BlueSky: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summarytools</w:t>
      </w:r>
      <w:r>
        <w:t xml:space="preserve"> </w:t>
      </w:r>
      <w:r>
        <w:t xml:space="preserve">9https://cran.r-project.org/web/packages/summarytools/vignettes/introduction.html) et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DescTools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https://www.rdocumentation.org/packages/DescTools/versions/0.99.44</w:t>
        </w:r>
      </w:hyperlink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En utilisant DescTools, calculer les statistiques suivantes:</w:t>
      </w:r>
    </w:p>
    <w:p>
      <w:pPr>
        <w:pStyle w:val="Compact"/>
        <w:numPr>
          <w:numId w:val="1010"/>
          <w:ilvl w:val="0"/>
        </w:numPr>
      </w:pPr>
      <w:r>
        <w:t xml:space="preserve">A partir de la réponse 1.8 ou 2.5, calculer les mesures d’intensité suivantes:</w:t>
      </w:r>
    </w:p>
    <w:p>
      <w:pPr>
        <w:pStyle w:val="Compact"/>
        <w:numPr>
          <w:numId w:val="1011"/>
          <w:ilvl w:val="0"/>
        </w:numPr>
      </w:pPr>
      <w:r>
        <w:t xml:space="preserve">le coefficient de contingence de Pearson</w:t>
      </w:r>
    </w:p>
    <w:p>
      <w:pPr>
        <w:pStyle w:val="Compact"/>
        <w:numPr>
          <w:numId w:val="1011"/>
          <w:ilvl w:val="0"/>
        </w:numPr>
      </w:pPr>
      <w:r>
        <w:t xml:space="preserve">le V de Cramer</w:t>
      </w:r>
    </w:p>
    <w:p>
      <w:pPr>
        <w:pStyle w:val="Compact"/>
        <w:numPr>
          <w:numId w:val="1011"/>
          <w:ilvl w:val="0"/>
        </w:numPr>
      </w:pPr>
      <w:r>
        <w:t xml:space="preserve">le phi</w:t>
      </w:r>
    </w:p>
    <w:p>
      <w:pPr>
        <w:pStyle w:val="Compact"/>
        <w:numPr>
          <w:numId w:val="1011"/>
          <w:ilvl w:val="0"/>
        </w:numPr>
      </w:pPr>
      <w:r>
        <w:t xml:space="preserve">le coefficient de prédiction de Guttman</w:t>
      </w:r>
    </w:p>
    <w:p>
      <w:pPr>
        <w:pStyle w:val="Compact"/>
        <w:numPr>
          <w:numId w:val="1011"/>
          <w:ilvl w:val="0"/>
        </w:numPr>
      </w:pPr>
      <w:r>
        <w:t xml:space="preserve">Gamma de Goodman et de Kruskal</w:t>
      </w:r>
    </w:p>
    <w:p>
      <w:pPr>
        <w:pStyle w:val="Compact"/>
        <w:numPr>
          <w:numId w:val="1011"/>
          <w:ilvl w:val="0"/>
        </w:numPr>
      </w:pPr>
      <w:r>
        <w:t xml:space="preserve">le Dyx de Somers</w:t>
      </w:r>
    </w:p>
    <w:p>
      <w:pPr>
        <w:pStyle w:val="Compact"/>
        <w:numPr>
          <w:numId w:val="1011"/>
          <w:ilvl w:val="0"/>
        </w:numPr>
      </w:pPr>
      <w:r>
        <w:t xml:space="preserve">le tau-b et</w:t>
      </w:r>
    </w:p>
    <w:p>
      <w:pPr>
        <w:pStyle w:val="Compact"/>
        <w:numPr>
          <w:numId w:val="1011"/>
          <w:ilvl w:val="0"/>
        </w:numPr>
      </w:pPr>
      <w:r>
        <w:t xml:space="preserve">le tau-c</w:t>
      </w:r>
    </w:p>
    <w:p>
      <w:pPr>
        <w:pStyle w:val="Compact"/>
        <w:numPr>
          <w:numId w:val="1012"/>
          <w:ilvl w:val="0"/>
        </w:numPr>
      </w:pPr>
      <w:r>
        <w:t xml:space="preserve">Maintenant, analyser l’association entre la variable groupe_age créée au 2.7 et l’employabilité.</w:t>
      </w:r>
    </w:p>
    <w:p>
      <w:pPr>
        <w:pStyle w:val="Compact"/>
        <w:numPr>
          <w:numId w:val="1013"/>
          <w:ilvl w:val="0"/>
        </w:numPr>
      </w:pPr>
      <w:r>
        <w:t xml:space="preserve">Présenter le tableau qui montre cette association</w:t>
      </w:r>
    </w:p>
    <w:p>
      <w:pPr>
        <w:pStyle w:val="Compact"/>
        <w:numPr>
          <w:numId w:val="1013"/>
          <w:ilvl w:val="0"/>
        </w:numPr>
      </w:pPr>
      <w:r>
        <w:t xml:space="preserve">Quel est le degré de liberté de ce tableau?</w:t>
      </w:r>
    </w:p>
    <w:p>
      <w:pPr>
        <w:pStyle w:val="Compact"/>
        <w:numPr>
          <w:numId w:val="1013"/>
          <w:ilvl w:val="0"/>
        </w:numPr>
      </w:pPr>
      <w:r>
        <w:t xml:space="preserve">Est-ce que cette association est significative au seuil de 1%?</w:t>
      </w:r>
    </w:p>
    <w:p>
      <w:pPr>
        <w:pStyle w:val="Compact"/>
        <w:numPr>
          <w:numId w:val="1013"/>
          <w:ilvl w:val="0"/>
        </w:numPr>
      </w:pPr>
      <w:r>
        <w:t xml:space="preserve">Calculer les mesures d’intensité suivantes:</w:t>
      </w:r>
    </w:p>
    <w:p>
      <w:pPr>
        <w:pStyle w:val="Compact"/>
        <w:numPr>
          <w:numId w:val="1014"/>
          <w:ilvl w:val="1"/>
        </w:numPr>
      </w:pPr>
      <w:r>
        <w:t xml:space="preserve">le coefficient de contingence de Pearson</w:t>
      </w:r>
    </w:p>
    <w:p>
      <w:pPr>
        <w:pStyle w:val="Compact"/>
        <w:numPr>
          <w:numId w:val="1014"/>
          <w:ilvl w:val="1"/>
        </w:numPr>
      </w:pPr>
      <w:r>
        <w:t xml:space="preserve">le V de Cramer</w:t>
      </w:r>
    </w:p>
    <w:p>
      <w:pPr>
        <w:pStyle w:val="Compact"/>
        <w:numPr>
          <w:numId w:val="1014"/>
          <w:ilvl w:val="1"/>
        </w:numPr>
      </w:pPr>
      <w:r>
        <w:t xml:space="preserve">le phi</w:t>
      </w:r>
    </w:p>
    <w:p>
      <w:pPr>
        <w:pStyle w:val="Compact"/>
        <w:numPr>
          <w:numId w:val="1014"/>
          <w:ilvl w:val="1"/>
        </w:numPr>
      </w:pPr>
      <w:r>
        <w:t xml:space="preserve">le coefficient de prédiction de Guttman</w:t>
      </w:r>
    </w:p>
    <w:p>
      <w:pPr>
        <w:pStyle w:val="Compact"/>
        <w:numPr>
          <w:numId w:val="1014"/>
          <w:ilvl w:val="1"/>
        </w:numPr>
      </w:pPr>
      <w:r>
        <w:t xml:space="preserve">Gamma de Goodman et de Kruskal</w:t>
      </w:r>
    </w:p>
    <w:p>
      <w:pPr>
        <w:pStyle w:val="Compact"/>
        <w:numPr>
          <w:numId w:val="1014"/>
          <w:ilvl w:val="1"/>
        </w:numPr>
      </w:pPr>
      <w:r>
        <w:t xml:space="preserve">le Dyx de Somers</w:t>
      </w:r>
    </w:p>
    <w:p>
      <w:pPr>
        <w:pStyle w:val="Compact"/>
        <w:numPr>
          <w:numId w:val="1014"/>
          <w:ilvl w:val="1"/>
        </w:numPr>
      </w:pPr>
      <w:r>
        <w:t xml:space="preserve">le tau-b et</w:t>
      </w:r>
    </w:p>
    <w:p>
      <w:pPr>
        <w:pStyle w:val="Compact"/>
        <w:numPr>
          <w:numId w:val="1014"/>
          <w:ilvl w:val="1"/>
        </w:numPr>
      </w:pPr>
      <w:r>
        <w:t xml:space="preserve">le tau-c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7261bad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rdocumentation.org/packages/DescTools/versions/0.99.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rdocumentation.org/packages/DescTools/versions/0.99.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chi-deux</dc:title>
  <dc:creator>Visseho Adjiwanou, PhD.</dc:creator>
  <cp:keywords/>
  <dcterms:created xsi:type="dcterms:W3CDTF">2022-03-16T01:52:51Z</dcterms:created>
  <dcterms:modified xsi:type="dcterms:W3CDTF">2022-03-16T01:52:51Z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March 2022</vt:lpwstr>
  </property>
  <property fmtid="{D5CDD505-2E9C-101B-9397-08002B2CF9AE}" pid="3" name="output">
    <vt:lpwstr/>
  </property>
</Properties>
</file>