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F3C" w:val="clear"/>
        <w:spacing w:after="0" w:before="0"/>
      </w:pPr>
      <w:r>
        <w:rPr>
          <w:rFonts w:ascii="Arial" w:cs="Arial" w:eastAsia="Arial" w:hAnsi="Arial"/>
          <w:b/>
          <w:bCs/>
          <w:color w:val="94A3B8"/>
          <w:sz w:val="20"/>
          <w:szCs w:val="20"/>
        </w:rPr>
        <w:t xml:space="preserve">  21 June 2026  |  ML-10  |  Pipeline vs ColumnTransformer, ROC Curve, AUC, Cross-Validation</w:t>
      </w:r>
    </w:p>
    <w:p>
      <w:pPr>
        <w:shd w:fill="0D1F3C" w:val="clear"/>
        <w:spacing w:after="0" w:before="0"/>
        <w:jc w:val="center"/>
      </w:pPr>
      <w:r>
        <w:rPr>
          <w:rFonts w:ascii="Arial" w:cs="Arial" w:eastAsia="Arial" w:hAnsi="Arial"/>
          <w:b/>
          <w:bCs/>
          <w:color w:val="FFFFFF"/>
          <w:sz w:val="52"/>
          <w:szCs w:val="52"/>
        </w:rPr>
        <w:t xml:space="preserve">ROC, AUC &amp; Cross-Validation</w:t>
      </w:r>
    </w:p>
    <w:p>
      <w:pPr>
        <w:shd w:fill="0D1F3C" w:val="clear"/>
        <w:spacing w:after="0" w:before="0"/>
        <w:jc w:val="center"/>
      </w:pPr>
      <w:r>
        <w:rPr>
          <w:rFonts w:ascii="Arial" w:cs="Arial" w:eastAsia="Arial" w:hAnsi="Arial"/>
          <w:i/>
          <w:iCs/>
          <w:color w:val="93C5FD"/>
          <w:sz w:val="20"/>
          <w:szCs w:val="20"/>
        </w:rPr>
        <w:t xml:space="preserve">Pipeline (Sequential) vs ColumnTransformer (Parallel)  |  Custom Threshold Selection  |  TPR/FPR &amp; ROC Curve  |  AUC  |  Cross-Validation &amp; Stratified K-Fold  |  Senior Engineer Notes</w:t>
      </w:r>
    </w:p>
    <w:p>
      <w:pPr>
        <w:shd w:fill="0D1F3C" w:val="clear"/>
        <w:spacing w:after="0" w:before="0"/>
      </w:pPr>
      <w:r>
        <w:rPr>
          <w:rFonts w:ascii="Arial" w:cs="Arial" w:eastAsia="Arial" w:hAnsi="Arial"/>
          <w:color w:val="FFFFFF"/>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DBEAFE" w:val="clear"/>
            <w:tcMar>
              <w:top w:type="dxa" w:w="120"/>
              <w:left w:type="dxa" w:w="60"/>
              <w:bottom w:type="dxa" w:w="120"/>
              <w:right w:type="dxa" w:w="60"/>
            </w:tcMar>
          </w:tcPr>
          <w:p>
            <w:pPr>
              <w:jc w:val="center"/>
            </w:pPr>
            <w:r>
              <w:rPr>
                <w:rFonts w:ascii="Arial" w:cs="Arial" w:eastAsia="Arial" w:hAnsi="Arial"/>
                <w:b/>
                <w:bCs/>
                <w:color w:val="1A3560"/>
                <w:sz w:val="18"/>
                <w:szCs w:val="18"/>
              </w:rPr>
              <w:t xml:space="preserve">Pipeline Design</w:t>
            </w:r>
          </w:p>
        </w:tc>
        <w:tc>
          <w:tcPr>
            <w:tcW w:type="dxa" w:w="1872"/>
            <w:tcBorders>
              <w:top w:val="none" w:color="FFFFFF" w:sz="0"/>
              <w:left w:val="none" w:color="FFFFFF" w:sz="0"/>
              <w:bottom w:val="none" w:color="FFFFFF" w:sz="0"/>
              <w:right w:val="none" w:color="FFFFFF" w:sz="0"/>
            </w:tcBorders>
            <w:shd w:fill="CCFBF1" w:val="clear"/>
            <w:tcMar>
              <w:top w:type="dxa" w:w="120"/>
              <w:left w:type="dxa" w:w="60"/>
              <w:bottom w:type="dxa" w:w="120"/>
              <w:right w:type="dxa" w:w="60"/>
            </w:tcMar>
          </w:tcPr>
          <w:p>
            <w:pPr>
              <w:jc w:val="center"/>
            </w:pPr>
            <w:r>
              <w:rPr>
                <w:rFonts w:ascii="Arial" w:cs="Arial" w:eastAsia="Arial" w:hAnsi="Arial"/>
                <w:b/>
                <w:bCs/>
                <w:color w:val="1A3560"/>
                <w:sz w:val="18"/>
                <w:szCs w:val="18"/>
              </w:rPr>
              <w:t xml:space="preserve">Threshold</w:t>
            </w:r>
          </w:p>
        </w:tc>
        <w:tc>
          <w:tcPr>
            <w:tcW w:type="dxa" w:w="1872"/>
            <w:tcBorders>
              <w:top w:val="none" w:color="FFFFFF" w:sz="0"/>
              <w:left w:val="none" w:color="FFFFFF" w:sz="0"/>
              <w:bottom w:val="none" w:color="FFFFFF" w:sz="0"/>
              <w:right w:val="none" w:color="FFFFFF" w:sz="0"/>
            </w:tcBorders>
            <w:shd w:fill="EDE9FE" w:val="clear"/>
            <w:tcMar>
              <w:top w:type="dxa" w:w="120"/>
              <w:left w:type="dxa" w:w="60"/>
              <w:bottom w:type="dxa" w:w="120"/>
              <w:right w:type="dxa" w:w="60"/>
            </w:tcMar>
          </w:tcPr>
          <w:p>
            <w:pPr>
              <w:jc w:val="center"/>
            </w:pPr>
            <w:r>
              <w:rPr>
                <w:rFonts w:ascii="Arial" w:cs="Arial" w:eastAsia="Arial" w:hAnsi="Arial"/>
                <w:b/>
                <w:bCs/>
                <w:color w:val="1A3560"/>
                <w:sz w:val="18"/>
                <w:szCs w:val="18"/>
              </w:rPr>
              <w:t xml:space="preserve">ROC Curve</w:t>
            </w:r>
          </w:p>
        </w:tc>
        <w:tc>
          <w:tcPr>
            <w:tcW w:type="dxa" w:w="1872"/>
            <w:tcBorders>
              <w:top w:val="none" w:color="FFFFFF" w:sz="0"/>
              <w:left w:val="none" w:color="FFFFFF" w:sz="0"/>
              <w:bottom w:val="none" w:color="FFFFFF" w:sz="0"/>
              <w:right w:val="none" w:color="FFFFFF" w:sz="0"/>
            </w:tcBorders>
            <w:shd w:fill="FFEDD5" w:val="clear"/>
            <w:tcMar>
              <w:top w:type="dxa" w:w="120"/>
              <w:left w:type="dxa" w:w="60"/>
              <w:bottom w:type="dxa" w:w="120"/>
              <w:right w:type="dxa" w:w="60"/>
            </w:tcMar>
          </w:tcPr>
          <w:p>
            <w:pPr>
              <w:jc w:val="center"/>
            </w:pPr>
            <w:r>
              <w:rPr>
                <w:rFonts w:ascii="Arial" w:cs="Arial" w:eastAsia="Arial" w:hAnsi="Arial"/>
                <w:b/>
                <w:bCs/>
                <w:color w:val="1A3560"/>
                <w:sz w:val="18"/>
                <w:szCs w:val="18"/>
              </w:rPr>
              <w:t xml:space="preserve">AUC</w:t>
            </w:r>
          </w:p>
        </w:tc>
        <w:tc>
          <w:tcPr>
            <w:tcW w:type="dxa" w:w="1872"/>
            <w:tcBorders>
              <w:top w:val="none" w:color="FFFFFF" w:sz="0"/>
              <w:left w:val="none" w:color="FFFFFF" w:sz="0"/>
              <w:bottom w:val="none" w:color="FFFFFF" w:sz="0"/>
              <w:right w:val="none" w:color="FFFFFF" w:sz="0"/>
            </w:tcBorders>
            <w:shd w:fill="FEE2E2" w:val="clear"/>
            <w:tcMar>
              <w:top w:type="dxa" w:w="120"/>
              <w:left w:type="dxa" w:w="60"/>
              <w:bottom w:type="dxa" w:w="120"/>
              <w:right w:type="dxa" w:w="60"/>
            </w:tcMar>
          </w:tcPr>
          <w:p>
            <w:pPr>
              <w:jc w:val="center"/>
            </w:pPr>
            <w:r>
              <w:rPr>
                <w:rFonts w:ascii="Arial" w:cs="Arial" w:eastAsia="Arial" w:hAnsi="Arial"/>
                <w:b/>
                <w:bCs/>
                <w:color w:val="1A3560"/>
                <w:sz w:val="18"/>
                <w:szCs w:val="18"/>
              </w:rPr>
              <w:t xml:space="preserve">Cross-Validation</w:t>
            </w:r>
          </w:p>
        </w:tc>
      </w:tr>
    </w:tbl>
    <w:p>
      <w:r>
        <w:rPr>
          <w:rFonts w:ascii="Arial" w:cs="Arial" w:eastAsia="Arial" w:hAnsi="Arial"/>
          <w:sz w:val="24"/>
          <w:szCs w:val="24"/>
        </w:rPr>
        <w:t xml:space="preserve"> </w:t>
      </w:r>
    </w:p>
    <w:p>
      <w:r>
        <w:rPr>
          <w:rFonts w:ascii="Arial" w:cs="Arial" w:eastAsia="Arial" w:hAnsi="Arial"/>
          <w:i/>
          <w:iCs/>
          <w:color w:val="475569"/>
        </w:rPr>
        <w:t xml:space="preserve">Picks up directly from ML-9's agenda, which flagged the AUC curve as on-deck but not yet covered. Today's session opens with a conceptual framework for when to use sklearn's Pipeline vs ColumnTransformer (sequential vs parallel task composition), works through custom decision thresholds, builds the ROC curve and AUC from first principles with two worked model comparisons, and closes with a full cross-validation deep dive — why a single train/test split isn't enough, K-fold mechanics, and the two distinct goals cross-validation serves.</w:t>
      </w:r>
    </w:p>
    <w:p>
      <w:r>
        <w:rPr>
          <w:rFonts w:ascii="Arial" w:cs="Arial" w:eastAsia="Arial" w:hAnsi="Arial"/>
          <w:sz w:val="24"/>
          <w:szCs w:val="24"/>
        </w:rPr>
        <w:t xml:space="preserve"> </w:t>
      </w:r>
    </w:p>
    <w:p>
      <w:pPr>
        <w:pStyle w:val="Heading1"/>
      </w:pPr>
      <w:r>
        <w:rPr>
          <w:rFonts w:ascii="Arial" w:cs="Arial" w:eastAsia="Arial" w:hAnsi="Arial"/>
        </w:rPr>
        <w:t xml:space="preserve">1. Pipeline vs ColumnTransformer — Sequential vs Parallel</w:t>
      </w:r>
    </w:p>
    <w:p>
      <w:r>
        <w:rPr>
          <w:rFonts w:ascii="Arial" w:cs="Arial" w:eastAsia="Arial" w:hAnsi="Arial"/>
          <w:color w:val="1F2937"/>
        </w:rPr>
        <w:t xml:space="preserve">A conceptual framework for deciding when steps should chain together (Pipeline) versus run side-by-side on different inputs (ColumnTransformer) — illustrated with four generic tasks.</w:t>
      </w:r>
    </w:p>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Task</w:t>
            </w:r>
          </w:p>
        </w:tc>
        <w:tc>
          <w:tcPr>
            <w:tcW w:type="dxa" w:w="78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Description</w:t>
            </w:r>
          </w:p>
        </w:tc>
      </w:tr>
      <w:tr>
        <w:tc>
          <w:tcPr>
            <w:tcW w:type="dxa" w:w="15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Task a</w:t>
            </w:r>
          </w:p>
        </w:tc>
        <w:tc>
          <w:tcPr>
            <w:tcW w:type="dxa" w:w="78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Call google.com and search → KNN</w:t>
            </w:r>
          </w:p>
        </w:tc>
      </w:tr>
      <w:tr>
        <w:tc>
          <w:tcPr>
            <w:tcW w:type="dxa" w:w="15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Task b</w:t>
            </w:r>
          </w:p>
        </w:tc>
        <w:tc>
          <w:tcPr>
            <w:tcW w:type="dxa" w:w="78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Check the output of 10 using sigmoid</w:t>
            </w:r>
          </w:p>
        </w:tc>
      </w:tr>
      <w:tr>
        <w:tc>
          <w:tcPr>
            <w:tcW w:type="dxa" w:w="15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Task c</w:t>
            </w:r>
          </w:p>
        </w:tc>
        <w:tc>
          <w:tcPr>
            <w:tcW w:type="dxa" w:w="78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Use Task b's output as input, and predict ŷ</w:t>
            </w:r>
          </w:p>
        </w:tc>
      </w:tr>
      <w:tr>
        <w:tc>
          <w:tcPr>
            <w:tcW w:type="dxa" w:w="15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Task d</w:t>
            </w:r>
          </w:p>
        </w:tc>
        <w:tc>
          <w:tcPr>
            <w:tcW w:type="dxa" w:w="78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Join Zoom meeting</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40"/>
              <w:left w:type="dxa" w:w="180"/>
              <w:bottom w:type="dxa" w:w="140"/>
              <w:right w:type="dxa" w:w="180"/>
            </w:tcMar>
          </w:tcPr>
          <w:p>
            <w:pPr>
              <w:spacing w:after="60"/>
            </w:pPr>
            <w:r>
              <w:rPr>
                <w:rFonts w:ascii="Arial" w:cs="Arial" w:eastAsia="Arial" w:hAnsi="Arial"/>
                <w:b/>
                <w:bCs/>
                <w:color w:val="C2410C"/>
                <w:sz w:val="20"/>
                <w:szCs w:val="20"/>
              </w:rPr>
              <w:t xml:space="preserve">🔗  Reading the dependency:  </w:t>
            </w:r>
            <w:r>
              <w:rPr>
                <w:rFonts w:ascii="Arial" w:cs="Arial" w:eastAsia="Arial" w:hAnsi="Arial"/>
                <w:color w:val="1F2937"/>
                <w:sz w:val="20"/>
                <w:szCs w:val="20"/>
              </w:rPr>
              <w:t xml:space="preserve">Task c needs Task b's output as its input — that's a sequential dependency. Task a and Task d, by contrast, don't depend on b/c or on each other at all — they can run independently, in parallel.</w:t>
            </w:r>
          </w:p>
        </w:tc>
      </w:tr>
    </w:tbl>
    <w:p>
      <w:r>
        <w:rPr>
          <w:rFonts w:ascii="Arial" w:cs="Arial" w:eastAsia="Arial" w:hAnsi="Arial"/>
          <w:sz w:val="24"/>
          <w:szCs w:val="24"/>
        </w:rPr>
        <w:t xml:space="preserve"> </w:t>
      </w:r>
    </w:p>
    <w:p>
      <w:pPr>
        <w:pStyle w:val="Heading2"/>
      </w:pPr>
      <w:r>
        <w:rPr>
          <w:rFonts w:ascii="Arial" w:cs="Arial" w:eastAsia="Arial" w:hAnsi="Arial"/>
        </w:rPr>
        <w:t xml:space="preserve">1.1  Pipeline — For Sequential (Dependent)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Pipeline([</w:t>
            </w:r>
          </w:p>
          <w:p>
            <w:pPr>
              <w:spacing w:after="0"/>
            </w:pPr>
            <w:r>
              <w:rPr>
                <w:rFonts w:ascii="Courier New" w:cs="Courier New" w:eastAsia="Courier New" w:hAnsi="Courier New"/>
                <w:color w:val="1F2937"/>
                <w:sz w:val="19"/>
                <w:szCs w:val="19"/>
              </w:rPr>
              <w:t xml:space="preserve">    ("1", b),     # step 1: run task b first</w:t>
            </w:r>
          </w:p>
          <w:p>
            <w:pPr>
              <w:spacing w:after="0"/>
            </w:pPr>
            <w:r>
              <w:rPr>
                <w:rFonts w:ascii="Courier New" w:cs="Courier New" w:eastAsia="Courier New" w:hAnsi="Courier New"/>
                <w:color w:val="1F2937"/>
                <w:sz w:val="19"/>
                <w:szCs w:val="19"/>
              </w:rPr>
              <w:t xml:space="preserve">    ("2", c),     # step 2: feed b's output into task c</w:t>
            </w:r>
          </w:p>
          <w:p>
            <w:pPr>
              <w:spacing w:after="0"/>
            </w:pPr>
            <w:r>
              <w:rPr>
                <w:rFonts w:ascii="Courier New" w:cs="Courier New" w:eastAsia="Courier New" w:hAnsi="Courier New"/>
                <w:color w:val="1F2937"/>
                <w:sz w:val="19"/>
                <w:szCs w:val="19"/>
              </w:rPr>
              <w:t xml:space="preserve">])</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 task b() --&gt; task c()      (sequence: output of one feeds the next)</w:t>
            </w:r>
          </w:p>
        </w:tc>
      </w:tr>
    </w:tbl>
    <w:p>
      <w:r>
        <w:rPr>
          <w:rFonts w:ascii="Arial" w:cs="Arial" w:eastAsia="Arial" w:hAnsi="Arial"/>
          <w:sz w:val="24"/>
          <w:szCs w:val="24"/>
        </w:rPr>
        <w:t xml:space="preserve"> </w:t>
      </w:r>
    </w:p>
    <w:p>
      <w:pPr>
        <w:pStyle w:val="Heading2"/>
      </w:pPr>
      <w:r>
        <w:rPr>
          <w:rFonts w:ascii="Arial" w:cs="Arial" w:eastAsia="Arial" w:hAnsi="Arial"/>
        </w:rPr>
        <w:t xml:space="preserve">1.2  ColumnTransformer — For Parallel (Independent)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ColumnTransformer([</w:t>
            </w:r>
          </w:p>
          <w:p>
            <w:pPr>
              <w:spacing w:after="0"/>
            </w:pPr>
            <w:r>
              <w:rPr>
                <w:rFonts w:ascii="Courier New" w:cs="Courier New" w:eastAsia="Courier New" w:hAnsi="Courier New"/>
                <w:color w:val="1F2937"/>
                <w:sz w:val="19"/>
                <w:szCs w:val="19"/>
              </w:rPr>
              <w:t xml:space="preserve">    ("3", a),     # branch 1: task a, runs independently</w:t>
            </w:r>
          </w:p>
          <w:p>
            <w:pPr>
              <w:spacing w:after="0"/>
            </w:pPr>
            <w:r>
              <w:rPr>
                <w:rFonts w:ascii="Courier New" w:cs="Courier New" w:eastAsia="Courier New" w:hAnsi="Courier New"/>
                <w:color w:val="1F2937"/>
                <w:sz w:val="19"/>
                <w:szCs w:val="19"/>
              </w:rPr>
              <w:t xml:space="preserve">    ("4", b),     # branch 2: task b, runs independently</w:t>
            </w:r>
          </w:p>
          <w:p>
            <w:pPr>
              <w:spacing w:after="0"/>
            </w:pPr>
            <w:r>
              <w:rPr>
                <w:rFonts w:ascii="Courier New" w:cs="Courier New" w:eastAsia="Courier New" w:hAnsi="Courier New"/>
                <w:color w:val="1F2937"/>
                <w:sz w:val="19"/>
                <w:szCs w:val="19"/>
              </w:rPr>
              <w:t xml:space="preserve">])</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 task a()   task d()        (parallel: neither depends on the other)</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Tool</w:t>
            </w:r>
          </w:p>
        </w:tc>
        <w:tc>
          <w:tcPr>
            <w:tcW w:type="dxa" w:w="43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Use when...</w:t>
            </w:r>
          </w:p>
        </w:tc>
        <w:tc>
          <w:tcPr>
            <w:tcW w:type="dxa" w:w="26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Steps run</w:t>
            </w:r>
          </w:p>
        </w:tc>
      </w:tr>
      <w:tr>
        <w:tc>
          <w:tcPr>
            <w:tcW w:type="dxa" w:w="2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Pipeline</w:t>
            </w:r>
          </w:p>
        </w:tc>
        <w:tc>
          <w:tcPr>
            <w:tcW w:type="dxa" w:w="43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Step N's output is step N+1's input — a strict chain</w:t>
            </w:r>
          </w:p>
        </w:tc>
        <w:tc>
          <w:tcPr>
            <w:tcW w:type="dxa" w:w="26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Sequentially, in order</w:t>
            </w:r>
          </w:p>
        </w:tc>
      </w:tr>
      <w:tr>
        <w:tc>
          <w:tcPr>
            <w:tcW w:type="dxa" w:w="2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ColumnTransformer</w:t>
            </w:r>
          </w:p>
        </w:tc>
        <w:tc>
          <w:tcPr>
            <w:tcW w:type="dxa" w:w="43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Steps operate on different columns/inputs and don't depend on each other</w:t>
            </w:r>
          </w:p>
        </w:tc>
        <w:tc>
          <w:tcPr>
            <w:tcW w:type="dxa" w:w="26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In parallel, then results are concatenated</w:t>
            </w:r>
          </w:p>
        </w:tc>
      </w:tr>
    </w:tbl>
    <w:p>
      <w:r>
        <w:rPr>
          <w:rFonts w:ascii="Arial" w:cs="Arial" w:eastAsia="Arial" w:hAnsi="Arial"/>
          <w:sz w:val="24"/>
          <w:szCs w:val="24"/>
        </w:rPr>
        <w:t xml:space="preserve"> </w:t>
      </w:r>
    </w:p>
    <w:p>
      <w:pPr>
        <w:pStyle w:val="Heading2"/>
      </w:pPr>
      <w:r>
        <w:rPr>
          <w:rFonts w:ascii="Arial" w:cs="Arial" w:eastAsia="Arial" w:hAnsi="Arial"/>
        </w:rPr>
        <w:t xml:space="preserve">1.3  Combining Both — transform([Pipeline, ColumnTransformer])</w:t>
      </w:r>
    </w:p>
    <w:p>
      <w:r>
        <w:rPr>
          <w:rFonts w:ascii="Arial" w:cs="Arial" w:eastAsia="Arial" w:hAnsi="Arial"/>
          <w:color w:val="1F2937"/>
        </w:rPr>
        <w:t xml:space="preserve">In practice, a real preprocessing setup nests both: a ColumnTransformer that runs branches in parallel, where one or more of those branches is itself a Pipeline of sequential steps (exactly the structure built in ML-9's practical: impute → scale chained inside one branch, alongside a separate scale-only branch).</w:t>
      </w:r>
    </w:p>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transform([</w:t>
            </w:r>
          </w:p>
          <w:p>
            <w:pPr>
              <w:spacing w:after="0"/>
            </w:pPr>
            <w:r>
              <w:rPr>
                <w:rFonts w:ascii="Courier New" w:cs="Courier New" w:eastAsia="Courier New" w:hAnsi="Courier New"/>
                <w:color w:val="1F2937"/>
                <w:sz w:val="19"/>
                <w:szCs w:val="19"/>
              </w:rPr>
              <w:t xml:space="preserve">    Pipeline(...),         # one parallel branch, itself sequential inside</w:t>
            </w:r>
          </w:p>
          <w:p>
            <w:pPr>
              <w:spacing w:after="0"/>
            </w:pPr>
            <w:r>
              <w:rPr>
                <w:rFonts w:ascii="Courier New" w:cs="Courier New" w:eastAsia="Courier New" w:hAnsi="Courier New"/>
                <w:color w:val="1F2937"/>
                <w:sz w:val="19"/>
                <w:szCs w:val="19"/>
              </w:rPr>
              <w:t xml:space="preserve">    ColumnTransformer(...) # another parallel branch</w:t>
            </w:r>
          </w:p>
          <w:p>
            <w:pPr>
              <w:spacing w:after="0"/>
            </w:pPr>
            <w:r>
              <w:rPr>
                <w:rFonts w:ascii="Courier New" w:cs="Courier New" w:eastAsia="Courier New" w:hAnsi="Courier New"/>
                <w:color w:val="1F2937"/>
                <w:sz w:val="19"/>
                <w:szCs w:val="19"/>
              </w:rPr>
              <w:t xml:space="preserve">])</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  .fit</w:t>
            </w:r>
          </w:p>
        </w:tc>
      </w:tr>
    </w:tbl>
    <w:p>
      <w:r>
        <w:rPr>
          <w:rFonts w:ascii="Arial" w:cs="Arial" w:eastAsia="Arial" w:hAnsi="Arial"/>
          <w:sz w:val="36"/>
          <w:szCs w:val="36"/>
        </w:rPr>
        <w:t xml:space="preserve"> </w:t>
      </w:r>
    </w:p>
    <w:p>
      <w:pPr>
        <w:pStyle w:val="Heading1"/>
      </w:pPr>
      <w:r>
        <w:rPr>
          <w:rFonts w:ascii="Arial" w:cs="Arial" w:eastAsia="Arial" w:hAnsi="Arial"/>
        </w:rPr>
        <w:t xml:space="preserve">2. Custom Decision Thresholds</w:t>
      </w:r>
    </w:p>
    <w:p>
      <w:r>
        <w:rPr>
          <w:rFonts w:ascii="Arial" w:cs="Arial" w:eastAsia="Arial" w:hAnsi="Arial"/>
          <w:color w:val="1F2937"/>
        </w:rPr>
        <w:t xml:space="preserve">ML-8 fixed the decision rule at ŷ &gt; 0.5 → class 1. Today's question: what if 0.5 isn't the right cutoff for the problem at hand?</w:t>
      </w:r>
    </w:p>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40"/>
              <w:left w:type="dxa" w:w="180"/>
              <w:bottom w:type="dxa" w:w="140"/>
              <w:right w:type="dxa" w:w="180"/>
            </w:tcMar>
          </w:tcPr>
          <w:p>
            <w:pPr>
              <w:spacing w:after="60"/>
            </w:pPr>
            <w:r>
              <w:rPr>
                <w:rFonts w:ascii="Arial" w:cs="Arial" w:eastAsia="Arial" w:hAnsi="Arial"/>
                <w:b/>
                <w:bCs/>
                <w:color w:val="6D28D9"/>
                <w:sz w:val="20"/>
                <w:szCs w:val="20"/>
              </w:rPr>
              <w:t xml:space="preserve">❓  If we want to provide our own custom threshold, what will it be?  </w:t>
            </w:r>
            <w:r>
              <w:rPr>
                <w:rFonts w:ascii="Arial" w:cs="Arial" w:eastAsia="Arial" w:hAnsi="Arial"/>
                <w:color w:val="1F2937"/>
                <w:sz w:val="20"/>
                <w:szCs w:val="20"/>
              </w:rPr>
              <w:t xml:space="preserve">Candidate values discussed: 0.5 (the default), 0.6 (stricter — only flag positive when more confident), 0.4 (looser — flag positive more readily, catching more true positives at the cost of more false positives).</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if  ŷ &gt; threshold   →  class 1</w:t>
            </w:r>
          </w:p>
          <w:p>
            <w:pPr>
              <w:spacing w:after="0"/>
            </w:pPr>
            <w:r>
              <w:rPr>
                <w:rFonts w:ascii="Courier New" w:cs="Courier New" w:eastAsia="Courier New" w:hAnsi="Courier New"/>
                <w:color w:val="1F2937"/>
                <w:sz w:val="19"/>
                <w:szCs w:val="19"/>
              </w:rPr>
              <w:t xml:space="preserve">if  ŷ ≤ threshold   →  class 0</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 threshold = 0.5  →  default</w:t>
            </w:r>
          </w:p>
          <w:p>
            <w:pPr>
              <w:spacing w:after="0"/>
            </w:pPr>
            <w:r>
              <w:rPr>
                <w:rFonts w:ascii="Courier New" w:cs="Courier New" w:eastAsia="Courier New" w:hAnsi="Courier New"/>
                <w:color w:val="1F2937"/>
                <w:sz w:val="19"/>
                <w:szCs w:val="19"/>
              </w:rPr>
              <w:t xml:space="preserve"># threshold = 0.6  →  stricter (fewer false positives, more false negatives)</w:t>
            </w:r>
          </w:p>
          <w:p>
            <w:pPr>
              <w:spacing w:after="0"/>
            </w:pPr>
            <w:r>
              <w:rPr>
                <w:rFonts w:ascii="Courier New" w:cs="Courier New" w:eastAsia="Courier New" w:hAnsi="Courier New"/>
                <w:color w:val="1F2937"/>
                <w:sz w:val="19"/>
                <w:szCs w:val="19"/>
              </w:rPr>
              <w:t xml:space="preserve"># threshold = 0.4  →  looser   (fewer false negatives, more false positives)</w:t>
            </w:r>
          </w:p>
        </w:tc>
      </w:tr>
    </w:tbl>
    <w:p>
      <w:r>
        <w:rPr>
          <w:rFonts w:ascii="Arial" w:cs="Arial" w:eastAsia="Arial" w:hAnsi="Arial"/>
          <w:sz w:val="24"/>
          <w:szCs w:val="24"/>
        </w:rPr>
        <w:t xml:space="preserve"> </w:t>
      </w:r>
    </w:p>
    <w:p>
      <w:r>
        <w:rPr>
          <w:rFonts w:ascii="Arial" w:cs="Arial" w:eastAsia="Arial" w:hAnsi="Arial"/>
          <w:color w:val="1F2937"/>
        </w:rPr>
        <w:t xml:space="preserve">This sets up exactly the question the ROC curve answers: instead of picking one threshold and hoping it's right, plot model behavior across every possible threshold and choose the best one systematically.</w:t>
      </w:r>
    </w:p>
    <w:p>
      <w:r>
        <w:rPr>
          <w:rFonts w:ascii="Arial" w:cs="Arial" w:eastAsia="Arial" w:hAnsi="Arial"/>
          <w:sz w:val="36"/>
          <w:szCs w:val="36"/>
        </w:rPr>
        <w:t xml:space="preserve"> </w:t>
      </w:r>
    </w:p>
    <w:p>
      <w:pPr>
        <w:pStyle w:val="Heading1"/>
      </w:pPr>
      <w:r>
        <w:rPr>
          <w:rFonts w:ascii="Arial" w:cs="Arial" w:eastAsia="Arial" w:hAnsi="Arial"/>
        </w:rPr>
        <w:t xml:space="preserve">3. ROC Curve — Foundations</w:t>
      </w:r>
    </w:p>
    <w:p>
      <w:pPr>
        <w:pStyle w:val="Heading2"/>
      </w:pPr>
      <w:r>
        <w:rPr>
          <w:rFonts w:ascii="Arial" w:cs="Arial" w:eastAsia="Arial" w:hAnsi="Arial"/>
        </w:rPr>
        <w:t xml:space="preserve">3.1  TP / TN / FP / FN — Recap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Term</w:t>
            </w:r>
          </w:p>
        </w:tc>
        <w:tc>
          <w:tcPr>
            <w:tcW w:type="dxa" w:w="78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Definition</w:t>
            </w:r>
          </w:p>
        </w:tc>
      </w:tr>
      <w:tr>
        <w:tc>
          <w:tcPr>
            <w:tcW w:type="dxa" w:w="15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TP</w:t>
            </w:r>
          </w:p>
        </w:tc>
        <w:tc>
          <w:tcPr>
            <w:tcW w:type="dxa" w:w="78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Model predicts positive, actual positive</w:t>
            </w:r>
          </w:p>
        </w:tc>
      </w:tr>
      <w:tr>
        <w:tc>
          <w:tcPr>
            <w:tcW w:type="dxa" w:w="15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TN</w:t>
            </w:r>
          </w:p>
        </w:tc>
        <w:tc>
          <w:tcPr>
            <w:tcW w:type="dxa" w:w="78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Model predicts negative, actual negative</w:t>
            </w:r>
          </w:p>
        </w:tc>
      </w:tr>
      <w:tr>
        <w:tc>
          <w:tcPr>
            <w:tcW w:type="dxa" w:w="15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FP</w:t>
            </w:r>
          </w:p>
        </w:tc>
        <w:tc>
          <w:tcPr>
            <w:tcW w:type="dxa" w:w="78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Model predicts positive, actual negative</w:t>
            </w:r>
          </w:p>
        </w:tc>
      </w:tr>
      <w:tr>
        <w:tc>
          <w:tcPr>
            <w:tcW w:type="dxa" w:w="15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FN</w:t>
            </w:r>
          </w:p>
        </w:tc>
        <w:tc>
          <w:tcPr>
            <w:tcW w:type="dxa" w:w="78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Model predicts negative, actual positive</w:t>
            </w:r>
          </w:p>
        </w:tc>
      </w:tr>
    </w:tbl>
    <w:p>
      <w:r>
        <w:rPr>
          <w:rFonts w:ascii="Arial" w:cs="Arial" w:eastAsia="Arial" w:hAnsi="Arial"/>
          <w:sz w:val="24"/>
          <w:szCs w:val="24"/>
        </w:rPr>
        <w:t xml:space="preserve"> </w:t>
      </w:r>
    </w:p>
    <w:p>
      <w:pPr>
        <w:pStyle w:val="Heading2"/>
      </w:pPr>
      <w:r>
        <w:rPr>
          <w:rFonts w:ascii="Arial" w:cs="Arial" w:eastAsia="Arial" w:hAnsi="Arial"/>
        </w:rPr>
        <w:t xml:space="preserve">3.2  TPR (Recall) and FPR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Rate</w:t>
            </w:r>
          </w:p>
        </w:tc>
        <w:tc>
          <w:tcPr>
            <w:tcW w:type="dxa" w:w="24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Formula</w:t>
            </w:r>
          </w:p>
        </w:tc>
        <w:tc>
          <w:tcPr>
            <w:tcW w:type="dxa" w:w="47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Meaning</w:t>
            </w:r>
          </w:p>
        </w:tc>
      </w:tr>
      <w:tr>
        <w:tc>
          <w:tcPr>
            <w:tcW w:type="dxa" w:w="2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TPR (= Recall)</w:t>
            </w:r>
          </w:p>
        </w:tc>
        <w:tc>
          <w:tcPr>
            <w:tcW w:type="dxa" w:w="2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TP / (TP + FN)</w:t>
            </w:r>
          </w:p>
        </w:tc>
        <w:tc>
          <w:tcPr>
            <w:tcW w:type="dxa" w:w="47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How many actual positives we caught / correctly identified</w:t>
            </w:r>
          </w:p>
        </w:tc>
      </w:tr>
      <w:tr>
        <w:tc>
          <w:tcPr>
            <w:tcW w:type="dxa" w:w="22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FPR</w:t>
            </w:r>
          </w:p>
        </w:tc>
        <w:tc>
          <w:tcPr>
            <w:tcW w:type="dxa" w:w="2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FP / (FP + TN)</w:t>
            </w:r>
          </w:p>
        </w:tc>
        <w:tc>
          <w:tcPr>
            <w:tcW w:type="dxa" w:w="47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How many actual negatives were wrongly marked as positive</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40"/>
              <w:left w:type="dxa" w:w="180"/>
              <w:bottom w:type="dxa" w:w="140"/>
              <w:right w:type="dxa" w:w="180"/>
            </w:tcMar>
          </w:tcPr>
          <w:p>
            <w:pPr>
              <w:spacing w:after="60"/>
            </w:pPr>
            <w:r>
              <w:rPr>
                <w:rFonts w:ascii="Arial" w:cs="Arial" w:eastAsia="Arial" w:hAnsi="Arial"/>
                <w:b/>
                <w:bCs/>
                <w:color w:val="15803D"/>
                <w:sz w:val="20"/>
                <w:szCs w:val="20"/>
              </w:rPr>
              <w:t xml:space="preserve">🎯  The goal:  </w:t>
            </w:r>
            <w:r>
              <w:rPr>
                <w:rFonts w:ascii="Arial" w:cs="Arial" w:eastAsia="Arial" w:hAnsi="Arial"/>
                <w:color w:val="1F2937"/>
                <w:sz w:val="20"/>
                <w:szCs w:val="20"/>
              </w:rPr>
              <w:t xml:space="preserve">Maximize TPR while minimizing FPR — ideally TPR → 1 (catch everything) and FPR → 0 (no false alarms). The ROC curve exists precisely to visualize this trade-off across every possible threshold at once.</w:t>
            </w:r>
          </w:p>
        </w:tc>
      </w:tr>
    </w:tbl>
    <w:p>
      <w:r>
        <w:rPr>
          <w:rFonts w:ascii="Arial" w:cs="Arial" w:eastAsia="Arial" w:hAnsi="Arial"/>
          <w:sz w:val="36"/>
          <w:szCs w:val="36"/>
        </w:rPr>
        <w:t xml:space="preserve"> </w:t>
      </w:r>
    </w:p>
    <w:p>
      <w:pPr>
        <w:pStyle w:val="Heading1"/>
      </w:pPr>
      <w:r>
        <w:rPr>
          <w:rFonts w:ascii="Arial" w:cs="Arial" w:eastAsia="Arial" w:hAnsi="Arial"/>
        </w:rPr>
        <w:t xml:space="preserve">4. Worked Example — Spam-Style Classifier (Threshold = 0.7)</w:t>
      </w:r>
    </w:p>
    <w:p>
      <w:r>
        <w:rPr>
          <w:rFonts w:ascii="Arial" w:cs="Arial" w:eastAsia="Arial" w:hAnsi="Arial"/>
          <w:color w:val="1F2937"/>
        </w:rPr>
        <w:t xml:space="preserve">Five emails, each with an actual label, a predicted probability ŷ, and the resulting class decision at threshold 0.7.</w:t>
      </w:r>
    </w:p>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5160"/>
      </w:tblGrid>
      <w:tr>
        <w:tc>
          <w:tcPr>
            <w:tcW w:type="dxa" w:w="12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Email</w:t>
            </w:r>
          </w:p>
        </w:tc>
        <w:tc>
          <w:tcPr>
            <w:tcW w:type="dxa" w:w="15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y (actual)</w:t>
            </w:r>
          </w:p>
        </w:tc>
        <w:tc>
          <w:tcPr>
            <w:tcW w:type="dxa" w:w="15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ŷ</w:t>
            </w:r>
          </w:p>
        </w:tc>
        <w:tc>
          <w:tcPr>
            <w:tcW w:type="dxa" w:w="51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Predicted @ 0.7</w:t>
            </w:r>
          </w:p>
        </w:tc>
      </w:tr>
      <w:tr>
        <w:tc>
          <w:tcPr>
            <w:tcW w:type="dxa" w:w="1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A</w:t>
            </w:r>
          </w:p>
        </w:tc>
        <w:tc>
          <w:tcPr>
            <w:tcW w:type="dxa" w:w="15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1</w:t>
            </w:r>
          </w:p>
        </w:tc>
        <w:tc>
          <w:tcPr>
            <w:tcW w:type="dxa" w:w="15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0.95</w:t>
            </w:r>
          </w:p>
        </w:tc>
        <w:tc>
          <w:tcPr>
            <w:tcW w:type="dxa" w:w="51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1</w:t>
            </w:r>
          </w:p>
        </w:tc>
      </w:tr>
      <w:tr>
        <w:tc>
          <w:tcPr>
            <w:tcW w:type="dxa" w:w="12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B</w:t>
            </w:r>
          </w:p>
        </w:tc>
        <w:tc>
          <w:tcPr>
            <w:tcW w:type="dxa" w:w="15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0</w:t>
            </w:r>
          </w:p>
        </w:tc>
        <w:tc>
          <w:tcPr>
            <w:tcW w:type="dxa" w:w="15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0.7</w:t>
            </w:r>
          </w:p>
        </w:tc>
        <w:tc>
          <w:tcPr>
            <w:tcW w:type="dxa" w:w="51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0</w:t>
            </w:r>
          </w:p>
        </w:tc>
      </w:tr>
      <w:tr>
        <w:tc>
          <w:tcPr>
            <w:tcW w:type="dxa" w:w="1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C</w:t>
            </w:r>
          </w:p>
        </w:tc>
        <w:tc>
          <w:tcPr>
            <w:tcW w:type="dxa" w:w="15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1</w:t>
            </w:r>
          </w:p>
        </w:tc>
        <w:tc>
          <w:tcPr>
            <w:tcW w:type="dxa" w:w="15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0.6</w:t>
            </w:r>
          </w:p>
        </w:tc>
        <w:tc>
          <w:tcPr>
            <w:tcW w:type="dxa" w:w="51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w:t>
            </w:r>
          </w:p>
        </w:tc>
      </w:tr>
      <w:tr>
        <w:tc>
          <w:tcPr>
            <w:tcW w:type="dxa" w:w="12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D</w:t>
            </w:r>
          </w:p>
        </w:tc>
        <w:tc>
          <w:tcPr>
            <w:tcW w:type="dxa" w:w="15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0</w:t>
            </w:r>
          </w:p>
        </w:tc>
        <w:tc>
          <w:tcPr>
            <w:tcW w:type="dxa" w:w="15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0.4</w:t>
            </w:r>
          </w:p>
        </w:tc>
        <w:tc>
          <w:tcPr>
            <w:tcW w:type="dxa" w:w="51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0</w:t>
            </w:r>
          </w:p>
        </w:tc>
      </w:tr>
      <w:tr>
        <w:tc>
          <w:tcPr>
            <w:tcW w:type="dxa" w:w="1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E</w:t>
            </w:r>
          </w:p>
        </w:tc>
        <w:tc>
          <w:tcPr>
            <w:tcW w:type="dxa" w:w="15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1</w:t>
            </w:r>
          </w:p>
        </w:tc>
        <w:tc>
          <w:tcPr>
            <w:tcW w:type="dxa" w:w="15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0.2</w:t>
            </w:r>
          </w:p>
        </w:tc>
        <w:tc>
          <w:tcPr>
            <w:tcW w:type="dxa" w:w="51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w:t>
            </w:r>
          </w:p>
        </w:tc>
      </w:tr>
    </w:tbl>
    <w:p>
      <w:r>
        <w:rPr>
          <w:rFonts w:ascii="Arial" w:cs="Arial" w:eastAsia="Arial" w:hAnsi="Arial"/>
          <w:sz w:val="24"/>
          <w:szCs w:val="24"/>
        </w:rPr>
        <w:t xml:space="preserve"> </w:t>
      </w:r>
    </w:p>
    <w:p>
      <w:r>
        <w:rPr>
          <w:rFonts w:ascii="Arial" w:cs="Arial" w:eastAsia="Arial" w:hAnsi="Arial"/>
          <w:color w:val="1F2937"/>
        </w:rPr>
        <w:t xml:space="preserve">Actual spam (y=1): A, C, E.   Actual not-spam (y=0): B, D.</w:t>
      </w:r>
    </w:p>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Outcome</w:t>
            </w:r>
          </w:p>
        </w:tc>
        <w:tc>
          <w:tcPr>
            <w:tcW w:type="dxa" w:w="14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Count</w:t>
            </w:r>
          </w:p>
        </w:tc>
        <w:tc>
          <w:tcPr>
            <w:tcW w:type="dxa" w:w="61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Which emails</w:t>
            </w:r>
          </w:p>
        </w:tc>
      </w:tr>
      <w:tr>
        <w:tc>
          <w:tcPr>
            <w:tcW w:type="dxa" w:w="18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TP</w:t>
            </w:r>
          </w:p>
        </w:tc>
        <w:tc>
          <w:tcPr>
            <w:tcW w:type="dxa" w:w="1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1</w:t>
            </w:r>
          </w:p>
        </w:tc>
        <w:tc>
          <w:tcPr>
            <w:tcW w:type="dxa" w:w="61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w:t>
            </w:r>
          </w:p>
        </w:tc>
      </w:tr>
      <w:tr>
        <w:tc>
          <w:tcPr>
            <w:tcW w:type="dxa" w:w="18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TN</w:t>
            </w:r>
          </w:p>
        </w:tc>
        <w:tc>
          <w:tcPr>
            <w:tcW w:type="dxa" w:w="1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2</w:t>
            </w:r>
          </w:p>
        </w:tc>
        <w:tc>
          <w:tcPr>
            <w:tcW w:type="dxa" w:w="61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B, D</w:t>
            </w:r>
          </w:p>
        </w:tc>
      </w:tr>
      <w:tr>
        <w:tc>
          <w:tcPr>
            <w:tcW w:type="dxa" w:w="18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FP</w:t>
            </w:r>
          </w:p>
        </w:tc>
        <w:tc>
          <w:tcPr>
            <w:tcW w:type="dxa" w:w="1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w:t>
            </w:r>
          </w:p>
        </w:tc>
        <w:tc>
          <w:tcPr>
            <w:tcW w:type="dxa" w:w="61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w:t>
            </w:r>
          </w:p>
        </w:tc>
      </w:tr>
      <w:tr>
        <w:tc>
          <w:tcPr>
            <w:tcW w:type="dxa" w:w="18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FN</w:t>
            </w:r>
          </w:p>
        </w:tc>
        <w:tc>
          <w:tcPr>
            <w:tcW w:type="dxa" w:w="1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2</w:t>
            </w:r>
          </w:p>
        </w:tc>
        <w:tc>
          <w:tcPr>
            <w:tcW w:type="dxa" w:w="61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C, E</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TPR = TP / (TP + FN) = 1 / (1 + 2) = 1/3 ≈ 0.33</w:t>
            </w:r>
          </w:p>
          <w:p>
            <w:pPr>
              <w:spacing w:after="0"/>
            </w:pPr>
            <w:r>
              <w:rPr>
                <w:rFonts w:ascii="Courier New" w:cs="Courier New" w:eastAsia="Courier New" w:hAnsi="Courier New"/>
                <w:color w:val="1F2937"/>
                <w:sz w:val="19"/>
                <w:szCs w:val="19"/>
              </w:rPr>
              <w:t xml:space="preserve">FPR = FP / (FP + TN) = 0 / (0 + 2) = 0/2 = 0</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40"/>
              <w:left w:type="dxa" w:w="180"/>
              <w:bottom w:type="dxa" w:w="140"/>
              <w:right w:type="dxa" w:w="180"/>
            </w:tcMar>
          </w:tcPr>
          <w:p>
            <w:pPr>
              <w:spacing w:after="60"/>
            </w:pPr>
            <w:r>
              <w:rPr>
                <w:rFonts w:ascii="Arial" w:cs="Arial" w:eastAsia="Arial" w:hAnsi="Arial"/>
                <w:b/>
                <w:bCs/>
                <w:color w:val="1A3560"/>
                <w:sz w:val="20"/>
                <w:szCs w:val="20"/>
              </w:rPr>
              <w:t xml:space="preserve">📍  Reading this single point:  </w:t>
            </w:r>
            <w:r>
              <w:rPr>
                <w:rFonts w:ascii="Arial" w:cs="Arial" w:eastAsia="Arial" w:hAnsi="Arial"/>
                <w:color w:val="1F2937"/>
                <w:sz w:val="20"/>
                <w:szCs w:val="20"/>
              </w:rPr>
              <w:t xml:space="preserve">At threshold 0.7, the model is very conservative — zero false positives (FPR = 0) but it's also only catching 1 of 3 actual spam emails (TPR = 0.33). This is one point on what will become the ROC curve once this is repeated at every possible threshold.</w:t>
            </w:r>
          </w:p>
        </w:tc>
      </w:tr>
    </w:tbl>
    <w:p>
      <w:r>
        <w:rPr>
          <w:rFonts w:ascii="Arial" w:cs="Arial" w:eastAsia="Arial" w:hAnsi="Arial"/>
          <w:sz w:val="36"/>
          <w:szCs w:val="36"/>
        </w:rPr>
        <w:t xml:space="preserve"> </w:t>
      </w:r>
    </w:p>
    <w:p>
      <w:pPr>
        <w:pStyle w:val="Heading1"/>
      </w:pPr>
      <w:r>
        <w:rPr>
          <w:rFonts w:ascii="Arial" w:cs="Arial" w:eastAsia="Arial" w:hAnsi="Arial"/>
        </w:rPr>
        <w:t xml:space="preserve">5. Building the Full ROC Curve — Model 1</w:t>
      </w:r>
    </w:p>
    <w:p>
      <w:r>
        <w:rPr>
          <w:rFonts w:ascii="Arial" w:cs="Arial" w:eastAsia="Arial" w:hAnsi="Arial"/>
          <w:color w:val="1F2937"/>
        </w:rPr>
        <w:t xml:space="preserve">Repeating the TPR/FPR calculation at every threshold value from 0 to 1 produces the full table behind the curve.</w:t>
      </w:r>
    </w:p>
    <w:p>
      <w:r>
        <w:rPr>
          <w:rFonts w:ascii="Arial" w:cs="Arial" w:eastAsia="Arial" w:hAnsi="Arial"/>
          <w:sz w:val="24"/>
          <w:szCs w:val="24"/>
        </w:rPr>
        <w:t xml:space="preserve"> </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760"/>
      </w:tblGrid>
      <w:tr>
        <w:tc>
          <w:tcPr>
            <w:tcW w:type="dxa" w:w="22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Threshold</w:t>
            </w:r>
          </w:p>
        </w:tc>
        <w:tc>
          <w:tcPr>
            <w:tcW w:type="dxa" w:w="22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TPR</w:t>
            </w:r>
          </w:p>
        </w:tc>
        <w:tc>
          <w:tcPr>
            <w:tcW w:type="dxa" w:w="47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FPR</w:t>
            </w:r>
          </w:p>
        </w:tc>
      </w:tr>
      <w:tr>
        <w:tc>
          <w:tcPr>
            <w:tcW w:type="dxa" w:w="2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0</w:t>
            </w:r>
          </w:p>
        </w:tc>
        <w:tc>
          <w:tcPr>
            <w:tcW w:type="dxa" w:w="2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1.0</w:t>
            </w:r>
          </w:p>
        </w:tc>
        <w:tc>
          <w:tcPr>
            <w:tcW w:type="dxa" w:w="47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1.0</w:t>
            </w:r>
          </w:p>
        </w:tc>
      </w:tr>
      <w:tr>
        <w:tc>
          <w:tcPr>
            <w:tcW w:type="dxa" w:w="22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0.4</w:t>
            </w:r>
          </w:p>
        </w:tc>
        <w:tc>
          <w:tcPr>
            <w:tcW w:type="dxa" w:w="22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0.67</w:t>
            </w:r>
          </w:p>
        </w:tc>
        <w:tc>
          <w:tcPr>
            <w:tcW w:type="dxa" w:w="47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1.0</w:t>
            </w:r>
          </w:p>
        </w:tc>
      </w:tr>
      <w:tr>
        <w:tc>
          <w:tcPr>
            <w:tcW w:type="dxa" w:w="2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0.6</w:t>
            </w:r>
          </w:p>
        </w:tc>
        <w:tc>
          <w:tcPr>
            <w:tcW w:type="dxa" w:w="2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0.67</w:t>
            </w:r>
          </w:p>
        </w:tc>
        <w:tc>
          <w:tcPr>
            <w:tcW w:type="dxa" w:w="47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0.5</w:t>
            </w:r>
          </w:p>
        </w:tc>
      </w:tr>
      <w:tr>
        <w:tc>
          <w:tcPr>
            <w:tcW w:type="dxa" w:w="22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0.8</w:t>
            </w:r>
          </w:p>
        </w:tc>
        <w:tc>
          <w:tcPr>
            <w:tcW w:type="dxa" w:w="22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0.23</w:t>
            </w:r>
          </w:p>
        </w:tc>
        <w:tc>
          <w:tcPr>
            <w:tcW w:type="dxa" w:w="47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0</w:t>
            </w:r>
          </w:p>
        </w:tc>
      </w:tr>
      <w:tr>
        <w:tc>
          <w:tcPr>
            <w:tcW w:type="dxa" w:w="2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1.0</w:t>
            </w:r>
          </w:p>
        </w:tc>
        <w:tc>
          <w:tcPr>
            <w:tcW w:type="dxa" w:w="2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w:t>
            </w:r>
          </w:p>
        </w:tc>
        <w:tc>
          <w:tcPr>
            <w:tcW w:type="dxa" w:w="47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140"/>
              <w:left w:type="dxa" w:w="180"/>
              <w:bottom w:type="dxa" w:w="140"/>
              <w:right w:type="dxa" w:w="180"/>
            </w:tcMar>
          </w:tcPr>
          <w:p>
            <w:pPr>
              <w:spacing w:after="60"/>
            </w:pPr>
            <w:r>
              <w:rPr>
                <w:rFonts w:ascii="Arial" w:cs="Arial" w:eastAsia="Arial" w:hAnsi="Arial"/>
                <w:b/>
                <w:bCs/>
                <w:color w:val="0F766E"/>
                <w:sz w:val="20"/>
                <w:szCs w:val="20"/>
              </w:rPr>
              <w:t xml:space="preserve">📈  ROC = TPR vs FPR, for all thresholds.  </w:t>
            </w:r>
            <w:r>
              <w:rPr>
                <w:rFonts w:ascii="Arial" w:cs="Arial" w:eastAsia="Arial" w:hAnsi="Arial"/>
                <w:color w:val="1F2937"/>
                <w:sz w:val="20"/>
                <w:szCs w:val="20"/>
              </w:rPr>
              <w:t xml:space="preserve">As the threshold sweeps from 0 → 1, both TPR and FPR start at their maximum (1.0, 1.0 at threshold 0 — everything predicted positive) and fall toward their minimum (0, 0 at threshold 1.0 — nothing predicted positive). Plotting TPR (y-axis) against FPR (x-axis) at each threshold traces out the ROC curve for Model-1.</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Ideal corner</w:t>
            </w:r>
          </w:p>
        </w:tc>
        <w:tc>
          <w:tcPr>
            <w:tcW w:type="dxa" w:w="468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Coordinates</w:t>
            </w:r>
          </w:p>
        </w:tc>
      </w:tr>
      <w:tr>
        <w:tc>
          <w:tcPr>
            <w:tcW w:type="dxa" w:w="468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Best possible point</w:t>
            </w:r>
          </w:p>
        </w:tc>
        <w:tc>
          <w:tcPr>
            <w:tcW w:type="dxa" w:w="468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FPR → 0, TPR → 1 (top-left corner)</w:t>
            </w:r>
          </w:p>
        </w:tc>
      </w:tr>
      <w:tr>
        <w:tc>
          <w:tcPr>
            <w:tcW w:type="dxa" w:w="468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Goal</w:t>
            </w:r>
          </w:p>
        </w:tc>
        <w:tc>
          <w:tcPr>
            <w:tcW w:type="dxa" w:w="468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TPR &gt; FPR — the curve should bow up and to the left, away from the diagonal</w:t>
            </w:r>
          </w:p>
        </w:tc>
      </w:tr>
    </w:tbl>
    <w:p>
      <w:r>
        <w:rPr>
          <w:rFonts w:ascii="Arial" w:cs="Arial" w:eastAsia="Arial" w:hAnsi="Arial"/>
          <w:sz w:val="36"/>
          <w:szCs w:val="36"/>
        </w:rPr>
        <w:t xml:space="preserve"> </w:t>
      </w:r>
    </w:p>
    <w:p>
      <w:pPr>
        <w:pStyle w:val="Heading1"/>
      </w:pPr>
      <w:r>
        <w:rPr>
          <w:rFonts w:ascii="Arial" w:cs="Arial" w:eastAsia="Arial" w:hAnsi="Arial"/>
        </w:rPr>
        <w:t xml:space="preserve">6. AUC — Area Under the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40"/>
              <w:left w:type="dxa" w:w="180"/>
              <w:bottom w:type="dxa" w:w="140"/>
              <w:right w:type="dxa" w:w="180"/>
            </w:tcMar>
          </w:tcPr>
          <w:p>
            <w:pPr>
              <w:spacing w:after="60"/>
            </w:pPr>
            <w:r>
              <w:rPr>
                <w:rFonts w:ascii="Arial" w:cs="Arial" w:eastAsia="Arial" w:hAnsi="Arial"/>
                <w:b/>
                <w:bCs/>
                <w:color w:val="6D28D9"/>
                <w:sz w:val="20"/>
                <w:szCs w:val="20"/>
              </w:rPr>
              <w:t xml:space="preserve">📐  Definition:  </w:t>
            </w:r>
            <w:r>
              <w:rPr>
                <w:rFonts w:ascii="Arial" w:cs="Arial" w:eastAsia="Arial" w:hAnsi="Arial"/>
                <w:color w:val="1F2937"/>
                <w:sz w:val="20"/>
                <w:szCs w:val="20"/>
              </w:rPr>
              <w:t xml:space="preserve">AUC = Area Under the (ROC) Curve — a single numerical value summarizing the area under the ROC curve. It condenses the entire threshold sweep into one number for comparing models.</w:t>
            </w:r>
          </w:p>
        </w:tc>
      </w:tr>
    </w:tbl>
    <w:p>
      <w:r>
        <w:rPr>
          <w:rFonts w:ascii="Arial" w:cs="Arial" w:eastAsia="Arial" w:hAnsi="Arial"/>
          <w:sz w:val="24"/>
          <w:szCs w:val="24"/>
        </w:rPr>
        <w:t xml:space="preserve"> </w:t>
      </w:r>
    </w:p>
    <w:p>
      <w:r>
        <w:rPr>
          <w:rFonts w:ascii="Arial" w:cs="Arial" w:eastAsia="Arial" w:hAnsi="Arial"/>
          <w:color w:val="1F2937"/>
        </w:rPr>
        <w:t xml:space="preserve">Comparing two models by their ROC curve shape and corresponding AUC:</w:t>
      </w:r>
    </w:p>
    <w:p>
      <w:r>
        <w:rPr>
          <w:rFonts w:ascii="Arial" w:cs="Arial" w:eastAsia="Arial" w:hAnsi="Arial"/>
          <w:sz w:val="24"/>
          <w:szCs w:val="24"/>
        </w:rPr>
        <w:t xml:space="preserve"> </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00"/>
        <w:gridCol w:w="5760"/>
        <w:gridCol w:w="1900"/>
      </w:tblGrid>
      <w:tr>
        <w:tc>
          <w:tcPr>
            <w:tcW w:type="dxa" w:w="15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Model</w:t>
            </w:r>
          </w:p>
        </w:tc>
        <w:tc>
          <w:tcPr>
            <w:tcW w:type="dxa" w:w="57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ROC curve shape</w:t>
            </w:r>
          </w:p>
        </w:tc>
        <w:tc>
          <w:tcPr>
            <w:tcW w:type="dxa" w:w="19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Implied AUC</w:t>
            </w:r>
          </w:p>
        </w:tc>
      </w:tr>
      <w:tr>
        <w:tc>
          <w:tcPr>
            <w:tcW w:type="dxa" w:w="15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Model-1</w:t>
            </w:r>
          </w:p>
        </w:tc>
        <w:tc>
          <w:tcPr>
            <w:tcW w:type="dxa" w:w="57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Bows moderately above the diagonal — decent but not dramatic separation between TPR and FPR across thresholds</w:t>
            </w:r>
          </w:p>
        </w:tc>
        <w:tc>
          <w:tcPr>
            <w:tcW w:type="dxa" w:w="19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Moderate AUC</w:t>
            </w:r>
          </w:p>
        </w:tc>
      </w:tr>
      <w:tr>
        <w:tc>
          <w:tcPr>
            <w:tcW w:type="dxa" w:w="15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Model-2</w:t>
            </w:r>
          </w:p>
        </w:tc>
        <w:tc>
          <w:tcPr>
            <w:tcW w:type="dxa" w:w="57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Bows further above the diagonal than Model-1, reaching high TPR at lower FPR sooner</w:t>
            </w:r>
          </w:p>
        </w:tc>
        <w:tc>
          <w:tcPr>
            <w:tcW w:type="dxa" w:w="19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Higher AUC than Model-1</w:t>
            </w:r>
          </w:p>
        </w:tc>
      </w:tr>
    </w:tbl>
    <w:p>
      <w:r>
        <w:rPr>
          <w:rFonts w:ascii="Arial" w:cs="Arial" w:eastAsia="Arial" w:hAnsi="Arial"/>
          <w:sz w:val="24"/>
          <w:szCs w:val="24"/>
        </w:rPr>
        <w:t xml:space="preserve"> </w:t>
      </w:r>
    </w:p>
    <w:p>
      <w:pPr>
        <w:pStyle w:val="Heading2"/>
      </w:pPr>
      <w:r>
        <w:rPr>
          <w:rFonts w:ascii="Arial" w:cs="Arial" w:eastAsia="Arial" w:hAnsi="Arial"/>
        </w:rPr>
        <w:t xml:space="preserve">6.1  The Reference Curves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860"/>
      </w:tblGrid>
      <w:tr>
        <w:tc>
          <w:tcPr>
            <w:tcW w:type="dxa" w:w="20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Curve</w:t>
            </w:r>
          </w:p>
        </w:tc>
        <w:tc>
          <w:tcPr>
            <w:tcW w:type="dxa" w:w="33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Shape</w:t>
            </w:r>
          </w:p>
        </w:tc>
        <w:tc>
          <w:tcPr>
            <w:tcW w:type="dxa" w:w="38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Meaning</w:t>
            </w:r>
          </w:p>
        </w:tc>
      </w:tr>
      <w:tr>
        <w:tc>
          <w:tcPr>
            <w:tcW w:type="dxa" w:w="20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Better classifier</w:t>
            </w:r>
          </w:p>
        </w:tc>
        <w:tc>
          <w:tcPr>
            <w:tcW w:type="dxa" w:w="33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Bows sharply toward the top-left corner</w:t>
            </w:r>
          </w:p>
        </w:tc>
        <w:tc>
          <w:tcPr>
            <w:tcW w:type="dxa" w:w="38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High TPR achieved at very low FPR — strong separation between classes</w:t>
            </w:r>
          </w:p>
        </w:tc>
      </w:tr>
      <w:tr>
        <w:tc>
          <w:tcPr>
            <w:tcW w:type="dxa" w:w="20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Worse classifier</w:t>
            </w:r>
          </w:p>
        </w:tc>
        <w:tc>
          <w:tcPr>
            <w:tcW w:type="dxa" w:w="33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Bows only slightly above the diagonal</w:t>
            </w:r>
          </w:p>
        </w:tc>
        <w:tc>
          <w:tcPr>
            <w:tcW w:type="dxa" w:w="38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Modest separation — still better than guessing, but not by much</w:t>
            </w:r>
          </w:p>
        </w:tc>
      </w:tr>
      <w:tr>
        <w:tc>
          <w:tcPr>
            <w:tcW w:type="dxa" w:w="20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Random classifier</w:t>
            </w:r>
          </w:p>
        </w:tc>
        <w:tc>
          <w:tcPr>
            <w:tcW w:type="dxa" w:w="33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Exact diagonal line from (0,0) to (1,1)</w:t>
            </w:r>
          </w:p>
        </w:tc>
        <w:tc>
          <w:tcPr>
            <w:tcW w:type="dxa" w:w="38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AUC = 0.5 — no better than flipping a coin; TPR and FPR rise together at the same rate</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40"/>
              <w:left w:type="dxa" w:w="180"/>
              <w:bottom w:type="dxa" w:w="140"/>
              <w:right w:type="dxa" w:w="180"/>
            </w:tcMar>
          </w:tcPr>
          <w:p>
            <w:pPr>
              <w:spacing w:after="60"/>
            </w:pPr>
            <w:r>
              <w:rPr>
                <w:rFonts w:ascii="Arial" w:cs="Arial" w:eastAsia="Arial" w:hAnsi="Arial"/>
                <w:b/>
                <w:bCs/>
                <w:color w:val="15803D"/>
                <w:sz w:val="20"/>
                <w:szCs w:val="20"/>
              </w:rPr>
              <w:t xml:space="preserve">✅  Reading AUC values:  </w:t>
            </w:r>
            <w:r>
              <w:rPr>
                <w:rFonts w:ascii="Arial" w:cs="Arial" w:eastAsia="Arial" w:hAnsi="Arial"/>
                <w:color w:val="1F2937"/>
                <w:sz w:val="20"/>
                <w:szCs w:val="20"/>
              </w:rPr>
              <w:t xml:space="preserve">AUC = 1.0 is a perfect classifier (curve hugs the top-left corner exactly). AUC = 0.5 is a random classifier (the diagonal). Anything meaningfully above 0.5 indicates the model has genuine discriminative power — the further above 0.5 and the closer to 1.0, the better the model separates the two classes across all thresholds, not just one.</w:t>
            </w:r>
          </w:p>
        </w:tc>
      </w:tr>
    </w:tbl>
    <w:p>
      <w:r>
        <w:rPr>
          <w:rFonts w:ascii="Arial" w:cs="Arial" w:eastAsia="Arial" w:hAnsi="Arial"/>
          <w:sz w:val="36"/>
          <w:szCs w:val="36"/>
        </w:rPr>
        <w:t xml:space="preserve"> </w:t>
      </w:r>
    </w:p>
    <w:p>
      <w:pPr>
        <w:pStyle w:val="Heading1"/>
      </w:pPr>
      <w:r>
        <w:rPr>
          <w:rFonts w:ascii="Arial" w:cs="Arial" w:eastAsia="Arial" w:hAnsi="Arial"/>
        </w:rPr>
        <w:t xml:space="preserve">7. Choosing the Optimal Threshold from the ROC Curve</w:t>
      </w:r>
    </w:p>
    <w:p>
      <w:r>
        <w:rPr>
          <w:rFonts w:ascii="Arial" w:cs="Arial" w:eastAsia="Arial" w:hAnsi="Arial"/>
          <w:color w:val="1F2937"/>
        </w:rPr>
        <w:t xml:space="preserve">Once the full ROC curve is plotted, two standard methods exist for picking a single "best" threshold off of it.</w:t>
      </w:r>
    </w:p>
    <w:p>
      <w:r>
        <w:rPr>
          <w:rFonts w:ascii="Arial" w:cs="Arial" w:eastAsia="Arial" w:hAnsi="Arial"/>
          <w:sz w:val="24"/>
          <w:szCs w:val="24"/>
        </w:rPr>
        <w:t xml:space="preserve"> </w:t>
      </w:r>
    </w:p>
    <w:p>
      <w:pPr>
        <w:pStyle w:val="Heading2"/>
      </w:pPr>
      <w:r>
        <w:rPr>
          <w:rFonts w:ascii="Arial" w:cs="Arial" w:eastAsia="Arial" w:hAnsi="Arial"/>
        </w:rPr>
        <w:t xml:space="preserve">7.1  Method 1 — Youden's J Statistic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J = TPR − FPR        → maximize J</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 The threshold that gives the largest gap between TPR and FPR</w:t>
            </w:r>
          </w:p>
          <w:p>
            <w:pPr>
              <w:spacing w:after="0"/>
            </w:pPr>
            <w:r>
              <w:rPr>
                <w:rFonts w:ascii="Courier New" w:cs="Courier New" w:eastAsia="Courier New" w:hAnsi="Courier New"/>
                <w:color w:val="1F2937"/>
                <w:sz w:val="19"/>
                <w:szCs w:val="19"/>
              </w:rPr>
              <w:t xml:space="preserve"># is chosen as optimal.</w:t>
            </w:r>
          </w:p>
        </w:tc>
      </w:tr>
    </w:tbl>
    <w:p>
      <w:r>
        <w:rPr>
          <w:rFonts w:ascii="Arial" w:cs="Arial" w:eastAsia="Arial" w:hAnsi="Arial"/>
          <w:sz w:val="24"/>
          <w:szCs w:val="24"/>
        </w:rPr>
        <w:t xml:space="preserve"> </w:t>
      </w:r>
    </w:p>
    <w:p>
      <w:pPr>
        <w:pStyle w:val="Heading2"/>
      </w:pPr>
      <w:r>
        <w:rPr>
          <w:rFonts w:ascii="Arial" w:cs="Arial" w:eastAsia="Arial" w:hAnsi="Arial"/>
        </w:rPr>
        <w:t xml:space="preserve">7.2  Method 2 — Distance to the Ideal Corner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d = √[ (1 − TPR)² + (FPR)² ]      → minimize d</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 The threshold whose (FPR, TPR) point lies closest to the</w:t>
            </w:r>
          </w:p>
          <w:p>
            <w:pPr>
              <w:spacing w:after="0"/>
            </w:pPr>
            <w:r>
              <w:rPr>
                <w:rFonts w:ascii="Courier New" w:cs="Courier New" w:eastAsia="Courier New" w:hAnsi="Courier New"/>
                <w:color w:val="1F2937"/>
                <w:sz w:val="19"/>
                <w:szCs w:val="19"/>
              </w:rPr>
              <w:t xml:space="preserve"># ideal corner (0, 1) is chosen as optimal.</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80"/>
        <w:gridCol w:w="3580"/>
      </w:tblGrid>
      <w:tr>
        <w:tc>
          <w:tcPr>
            <w:tcW w:type="dxa" w:w="24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Method</w:t>
            </w:r>
          </w:p>
        </w:tc>
        <w:tc>
          <w:tcPr>
            <w:tcW w:type="dxa" w:w="338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Optimizes for</w:t>
            </w:r>
          </w:p>
        </w:tc>
        <w:tc>
          <w:tcPr>
            <w:tcW w:type="dxa" w:w="358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Intuition</w:t>
            </w:r>
          </w:p>
        </w:tc>
      </w:tr>
      <w:tr>
        <w:tc>
          <w:tcPr>
            <w:tcW w:type="dxa" w:w="2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Youden's J</w:t>
            </w:r>
          </w:p>
        </w:tc>
        <w:tc>
          <w:tcPr>
            <w:tcW w:type="dxa" w:w="338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Maximum vertical separation between TPR and FPR</w:t>
            </w:r>
          </w:p>
        </w:tc>
        <w:tc>
          <w:tcPr>
            <w:tcW w:type="dxa" w:w="358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Pick the threshold doing the most net-positive work</w:t>
            </w:r>
          </w:p>
        </w:tc>
      </w:tr>
      <w:tr>
        <w:tc>
          <w:tcPr>
            <w:tcW w:type="dxa" w:w="2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Distance to corner</w:t>
            </w:r>
          </w:p>
        </w:tc>
        <w:tc>
          <w:tcPr>
            <w:tcW w:type="dxa" w:w="338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Minimum Euclidean distance to the perfect point (0,1)</w:t>
            </w:r>
          </w:p>
        </w:tc>
        <w:tc>
          <w:tcPr>
            <w:tcW w:type="dxa" w:w="358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Pick the threshold geometrically closest to flawless performance</w:t>
            </w:r>
          </w:p>
        </w:tc>
      </w:tr>
    </w:tbl>
    <w:p>
      <w:r>
        <w:rPr>
          <w:rFonts w:ascii="Arial" w:cs="Arial" w:eastAsia="Arial" w:hAnsi="Arial"/>
          <w:sz w:val="24"/>
          <w:szCs w:val="24"/>
        </w:rPr>
        <w:t xml:space="preserve"> </w:t>
      </w:r>
    </w:p>
    <w:p>
      <w:r>
        <w:rPr>
          <w:rFonts w:ascii="Arial" w:cs="Arial" w:eastAsia="Arial" w:hAnsi="Arial"/>
          <w:color w:val="1F2937"/>
        </w:rPr>
        <w:t xml:space="preserve">Both methods are commonly available via sklearn's roc_curve() output (which returns fpr, tpr, and thresholds arrays) — applying either formula across all returned threshold rows and taking the argmax (Youden's J) or argmin (distance) identifies the recommended cutoff.</w:t>
      </w:r>
    </w:p>
    <w:p>
      <w:r>
        <w:rPr>
          <w:rFonts w:ascii="Arial" w:cs="Arial" w:eastAsia="Arial" w:hAnsi="Arial"/>
          <w:sz w:val="36"/>
          <w:szCs w:val="36"/>
        </w:rPr>
        <w:t xml:space="preserve"> </w:t>
      </w:r>
    </w:p>
    <w:p>
      <w:pPr>
        <w:pStyle w:val="Heading1"/>
      </w:pPr>
      <w:r>
        <w:rPr>
          <w:rFonts w:ascii="Arial" w:cs="Arial" w:eastAsia="Arial" w:hAnsi="Arial"/>
        </w:rPr>
        <w:t xml:space="preserve">8. Cross-Validation — Why a Single Split Isn't Enough</w:t>
      </w:r>
    </w:p>
    <w:p>
      <w:pPr>
        <w:pStyle w:val="Heading2"/>
      </w:pPr>
      <w:r>
        <w:rPr>
          <w:rFonts w:ascii="Arial" w:cs="Arial" w:eastAsia="Arial" w:hAnsi="Arial"/>
        </w:rPr>
        <w:t xml:space="preserve">8.1  The Core Problem with One Fixed Split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6760"/>
      </w:tblGrid>
      <w:tr>
        <w:tc>
          <w:tcPr>
            <w:tcW w:type="dxa" w:w="22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Split type</w:t>
            </w:r>
          </w:p>
        </w:tc>
        <w:tc>
          <w:tcPr>
            <w:tcW w:type="dxa" w:w="67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Risk</w:t>
            </w:r>
          </w:p>
        </w:tc>
      </w:tr>
      <w:tr>
        <w:tc>
          <w:tcPr>
            <w:tcW w:type="dxa" w:w="2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Train data</w:t>
            </w:r>
          </w:p>
        </w:tc>
        <w:tc>
          <w:tcPr>
            <w:tcW w:type="dxa" w:w="67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Could be "mixed" or unrepresentative by chance — either a hard case or an easy case, depending on the random split</w:t>
            </w:r>
          </w:p>
        </w:tc>
      </w:tr>
      <w:tr>
        <w:tc>
          <w:tcPr>
            <w:tcW w:type="dxa" w:w="22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Test data</w:t>
            </w:r>
          </w:p>
        </w:tc>
        <w:tc>
          <w:tcPr>
            <w:tcW w:type="dxa" w:w="67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Same risk — could happen to be easy or hard, giving a misleadingly good or bad evaluation number</w:t>
            </w:r>
          </w:p>
        </w:tc>
      </w:tr>
    </w:tbl>
    <w:p>
      <w:r>
        <w:rPr>
          <w:rFonts w:ascii="Arial" w:cs="Arial" w:eastAsia="Arial" w:hAnsi="Arial"/>
          <w:sz w:val="24"/>
          <w:szCs w:val="24"/>
        </w:rPr>
        <w:t xml:space="preserve"> </w:t>
      </w:r>
    </w:p>
    <w:p>
      <w:r>
        <w:rPr>
          <w:rFonts w:ascii="Arial" w:cs="Arial" w:eastAsia="Arial" w:hAnsi="Arial"/>
          <w:color w:val="1F2937"/>
        </w:rPr>
        <w:t xml:space="preserve">Illustrating this with three random splits of the same model on the same data:</w:t>
      </w:r>
    </w:p>
    <w:p>
      <w:r>
        <w:rPr>
          <w:rFonts w:ascii="Arial" w:cs="Arial" w:eastAsia="Arial" w:hAnsi="Arial"/>
          <w:sz w:val="24"/>
          <w:szCs w:val="24"/>
        </w:rPr>
        <w:t xml:space="preserve"> </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2760"/>
      </w:tblGrid>
      <w:tr>
        <w:tc>
          <w:tcPr>
            <w:tcW w:type="dxa" w:w="32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Split (random_state)</w:t>
            </w:r>
          </w:p>
        </w:tc>
        <w:tc>
          <w:tcPr>
            <w:tcW w:type="dxa" w:w="27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Train accuracy</w:t>
            </w:r>
          </w:p>
        </w:tc>
        <w:tc>
          <w:tcPr>
            <w:tcW w:type="dxa" w:w="27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Test accuracy</w:t>
            </w:r>
          </w:p>
        </w:tc>
      </w:tr>
      <w:tr>
        <w:tc>
          <w:tcPr>
            <w:tcW w:type="dxa" w:w="3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20</w:t>
            </w:r>
          </w:p>
        </w:tc>
        <w:tc>
          <w:tcPr>
            <w:tcW w:type="dxa" w:w="27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80</w:t>
            </w:r>
          </w:p>
        </w:tc>
        <w:tc>
          <w:tcPr>
            <w:tcW w:type="dxa" w:w="27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90</w:t>
            </w:r>
          </w:p>
        </w:tc>
      </w:tr>
      <w:tr>
        <w:tc>
          <w:tcPr>
            <w:tcW w:type="dxa" w:w="32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40</w:t>
            </w:r>
          </w:p>
        </w:tc>
        <w:tc>
          <w:tcPr>
            <w:tcW w:type="dxa" w:w="27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76</w:t>
            </w:r>
          </w:p>
        </w:tc>
        <w:tc>
          <w:tcPr>
            <w:tcW w:type="dxa" w:w="27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80</w:t>
            </w:r>
          </w:p>
        </w:tc>
      </w:tr>
      <w:tr>
        <w:tc>
          <w:tcPr>
            <w:tcW w:type="dxa" w:w="3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2 (target/example)</w:t>
            </w:r>
          </w:p>
        </w:tc>
        <w:tc>
          <w:tcPr>
            <w:tcW w:type="dxa" w:w="27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90</w:t>
            </w:r>
          </w:p>
        </w:tc>
        <w:tc>
          <w:tcPr>
            <w:tcW w:type="dxa" w:w="27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40</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40"/>
              <w:left w:type="dxa" w:w="180"/>
              <w:bottom w:type="dxa" w:w="140"/>
              <w:right w:type="dxa" w:w="180"/>
            </w:tcMar>
          </w:tcPr>
          <w:p>
            <w:pPr>
              <w:spacing w:after="60"/>
            </w:pPr>
            <w:r>
              <w:rPr>
                <w:rFonts w:ascii="Arial" w:cs="Arial" w:eastAsia="Arial" w:hAnsi="Arial"/>
                <w:b/>
                <w:bCs/>
                <w:color w:val="B91C1C"/>
                <w:sz w:val="20"/>
                <w:szCs w:val="20"/>
              </w:rPr>
              <w:t xml:space="preserve">⚠️  The problem in one line:  </w:t>
            </w:r>
            <w:r>
              <w:rPr>
                <w:rFonts w:ascii="Arial" w:cs="Arial" w:eastAsia="Arial" w:hAnsi="Arial"/>
                <w:color w:val="1F2937"/>
                <w:sz w:val="20"/>
                <w:szCs w:val="20"/>
              </w:rPr>
              <w:t xml:space="preserve">The exact same model, trained and evaluated on the exact same dataset, gives wildly different test accuracy (90 vs 80 vs 40) purely depending on which random split happened to land. A single split can't be trusted as the final word on model performance.</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40"/>
              <w:left w:type="dxa" w:w="180"/>
              <w:bottom w:type="dxa" w:w="140"/>
              <w:right w:type="dxa" w:w="180"/>
            </w:tcMar>
          </w:tcPr>
          <w:p>
            <w:pPr>
              <w:spacing w:after="60"/>
            </w:pPr>
            <w:r>
              <w:rPr>
                <w:rFonts w:ascii="Arial" w:cs="Arial" w:eastAsia="Arial" w:hAnsi="Arial"/>
                <w:b/>
                <w:bCs/>
                <w:color w:val="15803D"/>
                <w:sz w:val="20"/>
                <w:szCs w:val="20"/>
              </w:rPr>
              <w:t xml:space="preserve">💡  The solution:  </w:t>
            </w:r>
            <w:r>
              <w:rPr>
                <w:rFonts w:ascii="Arial" w:cs="Arial" w:eastAsia="Arial" w:hAnsi="Arial"/>
                <w:color w:val="1F2937"/>
                <w:sz w:val="20"/>
                <w:szCs w:val="20"/>
              </w:rPr>
              <w:t xml:space="preserve">Instead of one fixed split, train multiple times, each with a different train/test split of the same data — then average the results. This is cross-validation.</w:t>
            </w:r>
          </w:p>
        </w:tc>
      </w:tr>
    </w:tbl>
    <w:p>
      <w:r>
        <w:rPr>
          <w:rFonts w:ascii="Arial" w:cs="Arial" w:eastAsia="Arial" w:hAnsi="Arial"/>
          <w:sz w:val="36"/>
          <w:szCs w:val="36"/>
        </w:rPr>
        <w:t xml:space="preserve"> </w:t>
      </w:r>
    </w:p>
    <w:p>
      <w:pPr>
        <w:pStyle w:val="Heading1"/>
      </w:pPr>
      <w:r>
        <w:rPr>
          <w:rFonts w:ascii="Arial" w:cs="Arial" w:eastAsia="Arial" w:hAnsi="Arial"/>
        </w:rPr>
        <w:t xml:space="preserve">9. K-Fold Cross-Validation Mechanics</w:t>
      </w:r>
    </w:p>
    <w:p>
      <w:r>
        <w:rPr>
          <w:rFonts w:ascii="Arial" w:cs="Arial" w:eastAsia="Arial" w:hAnsi="Arial"/>
          <w:color w:val="1F2937"/>
        </w:rPr>
        <w:t xml:space="preserve">Worked through with a 1000-row dataset and k_fold = 5.</w:t>
      </w:r>
    </w:p>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Data (1000 rows)</w:t>
            </w:r>
          </w:p>
          <w:p>
            <w:pPr>
              <w:spacing w:after="0"/>
            </w:pPr>
            <w:r>
              <w:rPr>
                <w:rFonts w:ascii="Courier New" w:cs="Courier New" w:eastAsia="Courier New" w:hAnsi="Courier New"/>
                <w:color w:val="1F2937"/>
                <w:sz w:val="19"/>
                <w:szCs w:val="19"/>
              </w:rPr>
              <w:t xml:space="preserve">  ├── train (800 rows)</w:t>
            </w:r>
          </w:p>
          <w:p>
            <w:pPr>
              <w:spacing w:after="0"/>
            </w:pPr>
            <w:r>
              <w:rPr>
                <w:rFonts w:ascii="Courier New" w:cs="Courier New" w:eastAsia="Courier New" w:hAnsi="Courier New"/>
                <w:color w:val="1F2937"/>
                <w:sz w:val="19"/>
                <w:szCs w:val="19"/>
              </w:rPr>
              <w:t xml:space="preserve">  └── test  (0.2 → 200 rows, held out separately, not part of CV)</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CV folds (k_fold = 5), applied to the 800-row train portion:</w:t>
            </w:r>
          </w:p>
          <w:p>
            <w:pPr>
              <w:spacing w:after="0"/>
            </w:pPr>
            <w:r>
              <w:rPr>
                <w:rFonts w:ascii="Courier New" w:cs="Courier New" w:eastAsia="Courier New" w:hAnsi="Courier New"/>
                <w:color w:val="1F2937"/>
                <w:sz w:val="19"/>
                <w:szCs w:val="19"/>
              </w:rPr>
              <w:t xml:space="preserve">  test_ratio = 1/k_fold = 1/5 = 20% → 160 rows per fold</w:t>
            </w:r>
          </w:p>
          <w:p>
            <w:pPr>
              <w:spacing w:after="0"/>
            </w:pPr>
            <w:r>
              <w:rPr>
                <w:rFonts w:ascii="Courier New" w:cs="Courier New" w:eastAsia="Courier New" w:hAnsi="Courier New"/>
                <w:color w:val="1F2937"/>
                <w:sz w:val="19"/>
                <w:szCs w:val="19"/>
              </w:rPr>
              <w:t xml:space="preserve">  train portion per fold = 800 − 160 = 640 rows</w:t>
            </w:r>
          </w:p>
        </w:tc>
      </w:tr>
    </w:tbl>
    <w:p>
      <w:r>
        <w:rPr>
          <w:rFonts w:ascii="Arial" w:cs="Arial" w:eastAsia="Arial" w:hAnsi="Arial"/>
          <w:sz w:val="24"/>
          <w:szCs w:val="24"/>
        </w:rPr>
        <w:t xml:space="preserve"> </w:t>
      </w:r>
    </w:p>
    <w:p>
      <w:r>
        <w:rPr>
          <w:rFonts w:ascii="Arial" w:cs="Arial" w:eastAsia="Arial" w:hAnsi="Arial"/>
          <w:color w:val="1F2937"/>
        </w:rPr>
        <w:t xml:space="preserve">With a toy 10-item index set [1,2,3,4,5,6,7,8,9,10], the 5 folds rotate which slice is held out as the validation set each time:</w:t>
      </w:r>
    </w:p>
    <w:p>
      <w:r>
        <w:rPr>
          <w:rFonts w:ascii="Arial" w:cs="Arial" w:eastAsia="Arial" w:hAnsi="Arial"/>
          <w:sz w:val="24"/>
          <w:szCs w:val="24"/>
        </w:rPr>
        <w:t xml:space="preserve"> </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4360"/>
        <w:gridCol w:w="3400"/>
      </w:tblGrid>
      <w:tr>
        <w:tc>
          <w:tcPr>
            <w:tcW w:type="dxa" w:w="12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Fold</w:t>
            </w:r>
          </w:p>
        </w:tc>
        <w:tc>
          <w:tcPr>
            <w:tcW w:type="dxa" w:w="43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Train indices</w:t>
            </w:r>
          </w:p>
        </w:tc>
        <w:tc>
          <w:tcPr>
            <w:tcW w:type="dxa" w:w="34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Validation indices</w:t>
            </w:r>
          </w:p>
        </w:tc>
      </w:tr>
      <w:tr>
        <w:tc>
          <w:tcPr>
            <w:tcW w:type="dxa" w:w="1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Set-1</w:t>
            </w:r>
          </w:p>
        </w:tc>
        <w:tc>
          <w:tcPr>
            <w:tcW w:type="dxa" w:w="43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1,2,3,4,5,6,7,8</w:t>
            </w:r>
          </w:p>
        </w:tc>
        <w:tc>
          <w:tcPr>
            <w:tcW w:type="dxa" w:w="3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9,10</w:t>
            </w:r>
          </w:p>
        </w:tc>
      </w:tr>
      <w:tr>
        <w:tc>
          <w:tcPr>
            <w:tcW w:type="dxa" w:w="12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Set-2</w:t>
            </w:r>
          </w:p>
        </w:tc>
        <w:tc>
          <w:tcPr>
            <w:tcW w:type="dxa" w:w="43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1,2,3,4,5,6,9,10</w:t>
            </w:r>
          </w:p>
        </w:tc>
        <w:tc>
          <w:tcPr>
            <w:tcW w:type="dxa" w:w="3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7,8</w:t>
            </w:r>
          </w:p>
        </w:tc>
      </w:tr>
      <w:tr>
        <w:tc>
          <w:tcPr>
            <w:tcW w:type="dxa" w:w="1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Set-3</w:t>
            </w:r>
          </w:p>
        </w:tc>
        <w:tc>
          <w:tcPr>
            <w:tcW w:type="dxa" w:w="43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1,2,3,4,9,10,7,8</w:t>
            </w:r>
          </w:p>
        </w:tc>
        <w:tc>
          <w:tcPr>
            <w:tcW w:type="dxa" w:w="3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5,6</w:t>
            </w:r>
          </w:p>
        </w:tc>
      </w:tr>
      <w:tr>
        <w:tc>
          <w:tcPr>
            <w:tcW w:type="dxa" w:w="12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Set-4</w:t>
            </w:r>
          </w:p>
        </w:tc>
        <w:tc>
          <w:tcPr>
            <w:tcW w:type="dxa" w:w="43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(remaining 8)</w:t>
            </w:r>
          </w:p>
        </w:tc>
        <w:tc>
          <w:tcPr>
            <w:tcW w:type="dxa" w:w="3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3,4</w:t>
            </w:r>
          </w:p>
        </w:tc>
      </w:tr>
      <w:tr>
        <w:tc>
          <w:tcPr>
            <w:tcW w:type="dxa" w:w="12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Set-5</w:t>
            </w:r>
          </w:p>
        </w:tc>
        <w:tc>
          <w:tcPr>
            <w:tcW w:type="dxa" w:w="43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(remaining 8)</w:t>
            </w:r>
          </w:p>
        </w:tc>
        <w:tc>
          <w:tcPr>
            <w:tcW w:type="dxa" w:w="3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1,2</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140"/>
              <w:left w:type="dxa" w:w="180"/>
              <w:bottom w:type="dxa" w:w="140"/>
              <w:right w:type="dxa" w:w="180"/>
            </w:tcMar>
          </w:tcPr>
          <w:p>
            <w:pPr>
              <w:spacing w:after="60"/>
            </w:pPr>
            <w:r>
              <w:rPr>
                <w:rFonts w:ascii="Arial" w:cs="Arial" w:eastAsia="Arial" w:hAnsi="Arial"/>
                <w:b/>
                <w:bCs/>
                <w:color w:val="0F766E"/>
                <w:sz w:val="20"/>
                <w:szCs w:val="20"/>
              </w:rPr>
              <w:t xml:space="preserve">🔁  The key property:  </w:t>
            </w:r>
            <w:r>
              <w:rPr>
                <w:rFonts w:ascii="Arial" w:cs="Arial" w:eastAsia="Arial" w:hAnsi="Arial"/>
                <w:color w:val="1F2937"/>
                <w:sz w:val="20"/>
                <w:szCs w:val="20"/>
              </w:rPr>
              <w:t xml:space="preserve">Each data point becomes part of the validation/test set exactly once, across the 5 folds — every row gets evaluated, but never on the same fold it was trained on. This is what makes the averaged result trustworthy instead of depending on one lucky or unlucky split.</w:t>
            </w:r>
          </w:p>
        </w:tc>
      </w:tr>
    </w:tbl>
    <w:p>
      <w:r>
        <w:rPr>
          <w:rFonts w:ascii="Arial" w:cs="Arial" w:eastAsia="Arial" w:hAnsi="Arial"/>
          <w:sz w:val="36"/>
          <w:szCs w:val="36"/>
        </w:rPr>
        <w:t xml:space="preserve"> </w:t>
      </w:r>
    </w:p>
    <w:p>
      <w:pPr>
        <w:pStyle w:val="Heading1"/>
      </w:pPr>
      <w:r>
        <w:rPr>
          <w:rFonts w:ascii="Arial" w:cs="Arial" w:eastAsia="Arial" w:hAnsi="Arial"/>
        </w:rPr>
        <w:t xml:space="preserve">10. Averaging Across Folds — Model Selection</w:t>
      </w:r>
    </w:p>
    <w:p>
      <w:r>
        <w:rPr>
          <w:rFonts w:ascii="Arial" w:cs="Arial" w:eastAsia="Arial" w:hAnsi="Arial"/>
          <w:color w:val="1F2937"/>
        </w:rPr>
        <w:t xml:space="preserve">Running the same hyperparameter configuration across all 5 folds and averaging gives one trustworthy performance number per configuration — which is then compared against other configurations.</w:t>
      </w:r>
    </w:p>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Fold</w:t>
            </w:r>
          </w:p>
        </w:tc>
        <w:tc>
          <w:tcPr>
            <w:tcW w:type="dxa" w:w="69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Performance (e.g. accuracy)</w:t>
            </w:r>
          </w:p>
        </w:tc>
      </w:tr>
      <w:tr>
        <w:tc>
          <w:tcPr>
            <w:tcW w:type="dxa" w:w="2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Set-1</w:t>
            </w:r>
          </w:p>
        </w:tc>
        <w:tc>
          <w:tcPr>
            <w:tcW w:type="dxa" w:w="69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96%</w:t>
            </w:r>
          </w:p>
        </w:tc>
      </w:tr>
      <w:tr>
        <w:tc>
          <w:tcPr>
            <w:tcW w:type="dxa" w:w="2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Set-2</w:t>
            </w:r>
          </w:p>
        </w:tc>
        <w:tc>
          <w:tcPr>
            <w:tcW w:type="dxa" w:w="69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84%</w:t>
            </w:r>
          </w:p>
        </w:tc>
      </w:tr>
      <w:tr>
        <w:tc>
          <w:tcPr>
            <w:tcW w:type="dxa" w:w="2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Set-3</w:t>
            </w:r>
          </w:p>
        </w:tc>
        <w:tc>
          <w:tcPr>
            <w:tcW w:type="dxa" w:w="69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90%</w:t>
            </w:r>
          </w:p>
        </w:tc>
      </w:tr>
      <w:tr>
        <w:tc>
          <w:tcPr>
            <w:tcW w:type="dxa" w:w="2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Set-4</w:t>
            </w:r>
          </w:p>
        </w:tc>
        <w:tc>
          <w:tcPr>
            <w:tcW w:type="dxa" w:w="69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80%</w:t>
            </w:r>
          </w:p>
        </w:tc>
      </w:tr>
      <w:tr>
        <w:tc>
          <w:tcPr>
            <w:tcW w:type="dxa" w:w="2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Set-5</w:t>
            </w:r>
          </w:p>
        </w:tc>
        <w:tc>
          <w:tcPr>
            <w:tcW w:type="dxa" w:w="69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80%</w:t>
            </w:r>
          </w:p>
        </w:tc>
      </w:tr>
    </w:tbl>
    <w:p>
      <w:r>
        <w:rPr>
          <w:rFonts w:ascii="Arial" w:cs="Arial" w:eastAsia="Arial" w:hAnsi="Arial"/>
          <w:sz w:val="24"/>
          <w:szCs w:val="24"/>
        </w:rPr>
        <w:t xml:space="preserve"> </w:t>
      </w:r>
    </w:p>
    <w:p>
      <w:r>
        <w:rPr>
          <w:rFonts w:ascii="Arial" w:cs="Arial" w:eastAsia="Arial" w:hAnsi="Arial"/>
          <w:color w:val="1F2937"/>
        </w:rPr>
        <w:t xml:space="preserve">→ Average these 5 numbers into a single performance score for hyperparameter setting (e.g. learning rate / probability threshold = 0.01).</w:t>
      </w:r>
    </w:p>
    <w:p>
      <w:r>
        <w:rPr>
          <w:rFonts w:ascii="Arial" w:cs="Arial" w:eastAsia="Arial" w:hAnsi="Arial"/>
          <w:sz w:val="24"/>
          <w:szCs w:val="24"/>
        </w:rPr>
        <w:t xml:space="preserve"> </w:t>
      </w:r>
    </w:p>
    <w:p>
      <w:r>
        <w:rPr>
          <w:rFonts w:ascii="Arial" w:cs="Arial" w:eastAsia="Arial" w:hAnsi="Arial"/>
          <w:color w:val="1F2937"/>
        </w:rPr>
        <w:t xml:space="preserve">Repeat the entire 5-fold process for a second hyperparameter setting (e.g. 0.02), get a second average, and compare the two averages directly — whichever setting wins becomes the chosen hyperparameter.</w:t>
      </w:r>
    </w:p>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Setting (lr/threshold = 0.01) → 5-fold CV → avg performance → [score A]</w:t>
            </w:r>
          </w:p>
          <w:p>
            <w:pPr>
              <w:spacing w:after="0"/>
            </w:pPr>
            <w:r>
              <w:rPr>
                <w:rFonts w:ascii="Courier New" w:cs="Courier New" w:eastAsia="Courier New" w:hAnsi="Courier New"/>
                <w:color w:val="1F2937"/>
                <w:sz w:val="19"/>
                <w:szCs w:val="19"/>
              </w:rPr>
              <w:t xml:space="preserve">Setting (lr/threshold = 0.02) → 5-fold CV → avg performance → [score B]</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 pick whichever setting gives the better averaged score</w:t>
            </w:r>
          </w:p>
        </w:tc>
      </w:tr>
    </w:tbl>
    <w:p>
      <w:r>
        <w:rPr>
          <w:rFonts w:ascii="Arial" w:cs="Arial" w:eastAsia="Arial" w:hAnsi="Arial"/>
          <w:sz w:val="36"/>
          <w:szCs w:val="36"/>
        </w:rPr>
        <w:t xml:space="preserve"> </w:t>
      </w:r>
    </w:p>
    <w:p>
      <w:pPr>
        <w:pStyle w:val="Heading1"/>
      </w:pPr>
      <w:r>
        <w:rPr>
          <w:rFonts w:ascii="Arial" w:cs="Arial" w:eastAsia="Arial" w:hAnsi="Arial"/>
        </w:rPr>
        <w:t xml:space="preserve">11. The Two Goals of Cross-Validation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Goal</w:t>
            </w:r>
          </w:p>
        </w:tc>
        <w:tc>
          <w:tcPr>
            <w:tcW w:type="dxa" w:w="30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What it answers</w:t>
            </w:r>
          </w:p>
        </w:tc>
        <w:tc>
          <w:tcPr>
            <w:tcW w:type="dxa" w:w="39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How it's satisfied</w:t>
            </w:r>
          </w:p>
        </w:tc>
      </w:tr>
      <w:tr>
        <w:tc>
          <w:tcPr>
            <w:tcW w:type="dxa" w:w="2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Goal 1 — Evaluation</w:t>
            </w:r>
          </w:p>
        </w:tc>
        <w:tc>
          <w:tcPr>
            <w:tcW w:type="dxa" w:w="30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What is the model's actual/realistic performance?</w:t>
            </w:r>
          </w:p>
        </w:tc>
        <w:tc>
          <w:tcPr>
            <w:tcW w:type="dxa" w:w="39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Train (without CV) on all data → train the model → final model. CV itself just gives a trustworthy estimate of how well this final model should generalize.</w:t>
            </w:r>
          </w:p>
        </w:tc>
      </w:tr>
      <w:tr>
        <w:tc>
          <w:tcPr>
            <w:tcW w:type="dxa" w:w="2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Goal 2 — Model Selection (Hyperparameter Tuning)</w:t>
            </w:r>
          </w:p>
        </w:tc>
        <w:tc>
          <w:tcPr>
            <w:tcW w:type="dxa" w:w="30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When comparing models with different parameters, which one should we pick?</w:t>
            </w:r>
          </w:p>
        </w:tc>
        <w:tc>
          <w:tcPr>
            <w:tcW w:type="dxa" w:w="39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Run CV across each candidate hyperparameter setting, compare averaged scores, identify the optimal value (e.g. learning rate, probability threshold) → train final model on all train data using that optimal setting → final model</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Goal 1 satisfied:</w:t>
            </w:r>
          </w:p>
          <w:p>
            <w:pPr>
              <w:spacing w:after="0"/>
            </w:pPr>
            <w:r>
              <w:rPr>
                <w:rFonts w:ascii="Courier New" w:cs="Courier New" w:eastAsia="Courier New" w:hAnsi="Courier New"/>
                <w:color w:val="1F2937"/>
                <w:sz w:val="19"/>
                <w:szCs w:val="19"/>
              </w:rPr>
              <w:t xml:space="preserve">  train (without CV, all data) → train model → model (final)</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Goal 2 (hyperparameter tuning) → model selection</w:t>
            </w:r>
          </w:p>
          <w:p>
            <w:pPr>
              <w:spacing w:after="0"/>
            </w:pPr>
            <w:r>
              <w:rPr>
                <w:rFonts w:ascii="Courier New" w:cs="Courier New" w:eastAsia="Courier New" w:hAnsi="Courier New"/>
                <w:color w:val="1F2937"/>
                <w:sz w:val="19"/>
                <w:szCs w:val="19"/>
              </w:rPr>
              <w:t xml:space="preserve">  → optimal value of parameters (learning rate, prob. threshold)</w:t>
            </w:r>
          </w:p>
          <w:p>
            <w:pPr>
              <w:spacing w:after="0"/>
            </w:pPr>
            <w:r>
              <w:rPr>
                <w:rFonts w:ascii="Courier New" w:cs="Courier New" w:eastAsia="Courier New" w:hAnsi="Courier New"/>
                <w:color w:val="1F2937"/>
                <w:sz w:val="19"/>
                <w:szCs w:val="19"/>
              </w:rPr>
              <w:t xml:space="preserve">  → train (without CV, all train) → model → final model</w:t>
            </w:r>
          </w:p>
        </w:tc>
      </w:tr>
    </w:tbl>
    <w:p>
      <w:r>
        <w:rPr>
          <w:rFonts w:ascii="Arial" w:cs="Arial" w:eastAsia="Arial" w:hAnsi="Arial"/>
          <w:sz w:val="36"/>
          <w:szCs w:val="36"/>
        </w:rPr>
        <w:t xml:space="preserve"> </w:t>
      </w:r>
    </w:p>
    <w:p>
      <w:pPr>
        <w:pStyle w:val="Heading1"/>
      </w:pPr>
      <w:r>
        <w:rPr>
          <w:rFonts w:ascii="Arial" w:cs="Arial" w:eastAsia="Arial" w:hAnsi="Arial"/>
        </w:rPr>
        <w:t xml:space="preserve">12. Stratified Splits — Train-Test and K-Fold</w:t>
      </w:r>
    </w:p>
    <w:p>
      <w:r>
        <w:rPr>
          <w:rFonts w:ascii="Arial" w:cs="Arial" w:eastAsia="Arial" w:hAnsi="Arial"/>
          <w:color w:val="1F2937"/>
        </w:rPr>
        <w:t xml:space="preserve">Both the original train-test split and the cross-validation folds should preserve class balance — the same idea as stratify=y from ML-9, extended here to CV folds.</w:t>
      </w:r>
    </w:p>
    <w:p>
      <w:r>
        <w:rPr>
          <w:rFonts w:ascii="Arial" w:cs="Arial" w:eastAsia="Arial" w:hAnsi="Arial"/>
          <w:sz w:val="24"/>
          <w:szCs w:val="24"/>
        </w:rPr>
        <w:t xml:space="preserve"> </w:t>
      </w:r>
    </w:p>
    <w:p>
      <w:r>
        <w:rPr>
          <w:rFonts w:ascii="Arial" w:cs="Arial" w:eastAsia="Arial" w:hAnsi="Arial"/>
          <w:color w:val="1F2937"/>
        </w:rPr>
        <w:t xml:space="preserve">Worked example: 100 blue marbles + 100 green marbles (200 total), split 80/20:</w:t>
      </w:r>
    </w:p>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Split</w:t>
            </w:r>
          </w:p>
        </w:tc>
        <w:tc>
          <w:tcPr>
            <w:tcW w:type="dxa" w:w="312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Blue</w:t>
            </w:r>
          </w:p>
        </w:tc>
        <w:tc>
          <w:tcPr>
            <w:tcW w:type="dxa" w:w="312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Green</w:t>
            </w:r>
          </w:p>
        </w:tc>
      </w:tr>
      <w:tr>
        <w:tc>
          <w:tcPr>
            <w:tcW w:type="dxa" w:w="312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Train (80% → 160 total)</w:t>
            </w:r>
          </w:p>
        </w:tc>
        <w:tc>
          <w:tcPr>
            <w:tcW w:type="dxa" w:w="312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80</w:t>
            </w:r>
          </w:p>
        </w:tc>
        <w:tc>
          <w:tcPr>
            <w:tcW w:type="dxa" w:w="312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80</w:t>
            </w:r>
          </w:p>
        </w:tc>
      </w:tr>
      <w:tr>
        <w:tc>
          <w:tcPr>
            <w:tcW w:type="dxa" w:w="312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Test (20% → 40 total)</w:t>
            </w:r>
          </w:p>
        </w:tc>
        <w:tc>
          <w:tcPr>
            <w:tcW w:type="dxa" w:w="312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20</w:t>
            </w:r>
          </w:p>
        </w:tc>
        <w:tc>
          <w:tcPr>
            <w:tcW w:type="dxa" w:w="312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20</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40"/>
              <w:left w:type="dxa" w:w="180"/>
              <w:bottom w:type="dxa" w:w="140"/>
              <w:right w:type="dxa" w:w="180"/>
            </w:tcMar>
          </w:tcPr>
          <w:p>
            <w:pPr>
              <w:spacing w:after="60"/>
            </w:pPr>
            <w:r>
              <w:rPr>
                <w:rFonts w:ascii="Arial" w:cs="Arial" w:eastAsia="Arial" w:hAnsi="Arial"/>
                <w:b/>
                <w:bCs/>
                <w:color w:val="1A3560"/>
                <w:sz w:val="20"/>
                <w:szCs w:val="20"/>
              </w:rPr>
              <w:t xml:space="preserve">⚖️  Stratified = Balanced:  </w:t>
            </w:r>
            <w:r>
              <w:rPr>
                <w:rFonts w:ascii="Arial" w:cs="Arial" w:eastAsia="Arial" w:hAnsi="Arial"/>
                <w:color w:val="1F2937"/>
                <w:sz w:val="20"/>
                <w:szCs w:val="20"/>
              </w:rPr>
              <w:t xml:space="preserve">A stratified train-test split keeps the same class ratio (here, exactly 50/50 blue/green) in both the train and test portions — preventing a split that accidentally loads one class into train and the other into test.</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Variant</w:t>
            </w:r>
          </w:p>
        </w:tc>
        <w:tc>
          <w:tcPr>
            <w:tcW w:type="dxa" w:w="43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Combines</w:t>
            </w:r>
          </w:p>
        </w:tc>
        <w:tc>
          <w:tcPr>
            <w:tcW w:type="dxa" w:w="26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Used for</w:t>
            </w:r>
          </w:p>
        </w:tc>
      </w:tr>
      <w:tr>
        <w:tc>
          <w:tcPr>
            <w:tcW w:type="dxa" w:w="2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StratifiedKFold</w:t>
            </w:r>
          </w:p>
        </w:tc>
        <w:tc>
          <w:tcPr>
            <w:tcW w:type="dxa" w:w="43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Stratified splitting + cross-validation</w:t>
            </w:r>
          </w:p>
        </w:tc>
        <w:tc>
          <w:tcPr>
            <w:tcW w:type="dxa" w:w="26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Classification problems (preserves class balance across folds)</w:t>
            </w:r>
          </w:p>
        </w:tc>
      </w:tr>
      <w:tr>
        <w:tc>
          <w:tcPr>
            <w:tcW w:type="dxa" w:w="2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KFold (plain)</w:t>
            </w:r>
          </w:p>
        </w:tc>
        <w:tc>
          <w:tcPr>
            <w:tcW w:type="dxa" w:w="43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Cross-validation only, no class-balance guarantee</w:t>
            </w:r>
          </w:p>
        </w:tc>
        <w:tc>
          <w:tcPr>
            <w:tcW w:type="dxa" w:w="26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Regression problems (no discrete classes to balance)</w:t>
            </w:r>
          </w:p>
        </w:tc>
      </w:tr>
    </w:tbl>
    <w:p>
      <w:r>
        <w:rPr>
          <w:rFonts w:ascii="Arial" w:cs="Arial" w:eastAsia="Arial" w:hAnsi="Arial"/>
          <w:sz w:val="36"/>
          <w:szCs w:val="36"/>
        </w:rPr>
        <w:t xml:space="preserve"> </w:t>
      </w:r>
    </w:p>
    <w:p>
      <w:pPr>
        <w:pStyle w:val="Heading1"/>
      </w:pPr>
      <w:r>
        <w:rPr>
          <w:rFonts w:ascii="Arial" w:cs="Arial" w:eastAsia="Arial" w:hAnsi="Arial"/>
        </w:rPr>
        <w:t xml:space="preserve">13. Practical — ROC Curve &amp; Model Persistence (Pima Diabetes)</w:t>
      </w:r>
    </w:p>
    <w:p>
      <w:r>
        <w:rPr>
          <w:rFonts w:ascii="Arial" w:cs="Arial" w:eastAsia="Arial" w:hAnsi="Arial"/>
          <w:color w:val="1F2937"/>
        </w:rPr>
        <w:t xml:space="preserve">Continuing the same pipeline from ML-9 (ColumnTransformer + Pipeline + LogisticRegression on the Pima Diabetes dataset), today's notebook adds the actual ROC curve computation, plots train vs test curves together, and saves the fitted pipeline to disk.</w:t>
      </w:r>
    </w:p>
    <w:p>
      <w:r>
        <w:rPr>
          <w:rFonts w:ascii="Arial" w:cs="Arial" w:eastAsia="Arial" w:hAnsi="Arial"/>
          <w:sz w:val="24"/>
          <w:szCs w:val="24"/>
        </w:rPr>
        <w:t xml:space="preserve"> </w:t>
      </w:r>
    </w:p>
    <w:p>
      <w:pPr>
        <w:pStyle w:val="Heading2"/>
      </w:pPr>
      <w:r>
        <w:rPr>
          <w:rFonts w:ascii="Arial" w:cs="Arial" w:eastAsia="Arial" w:hAnsi="Arial"/>
        </w:rPr>
        <w:t xml:space="preserve">13.1  Computing the ROC Curve — Probabilities, Not Hard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from sklearn.metrics import roc_curve</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 Using hard predictions (0/1) only gives ONE point — not a curve:</w:t>
            </w:r>
          </w:p>
          <w:p>
            <w:pPr>
              <w:spacing w:after="0"/>
            </w:pPr>
            <w:r>
              <w:rPr>
                <w:rFonts w:ascii="Courier New" w:cs="Courier New" w:eastAsia="Courier New" w:hAnsi="Courier New"/>
                <w:color w:val="1F2937"/>
                <w:sz w:val="19"/>
                <w:szCs w:val="19"/>
              </w:rPr>
              <w:t xml:space="preserve">fpr_train, tpr_train, threshold_train = roc_curve(y_train, y_train_pred)</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 Using predicted PROBABILITIES sweeps every threshold automatically:</w:t>
            </w:r>
          </w:p>
          <w:p>
            <w:pPr>
              <w:spacing w:after="0"/>
            </w:pPr>
            <w:r>
              <w:rPr>
                <w:rFonts w:ascii="Courier New" w:cs="Courier New" w:eastAsia="Courier New" w:hAnsi="Courier New"/>
                <w:color w:val="1F2937"/>
                <w:sz w:val="19"/>
                <w:szCs w:val="19"/>
              </w:rPr>
              <w:t xml:space="preserve">fpr_train, tpr_train, threshold_train = roc_curve(y_train, y_train_proba_diab)</w:t>
            </w:r>
          </w:p>
          <w:p>
            <w:pPr>
              <w:spacing w:after="0"/>
            </w:pPr>
            <w:r>
              <w:rPr>
                <w:rFonts w:ascii="Courier New" w:cs="Courier New" w:eastAsia="Courier New" w:hAnsi="Courier New"/>
                <w:color w:val="1F2937"/>
                <w:sz w:val="19"/>
                <w:szCs w:val="19"/>
              </w:rPr>
              <w:t xml:space="preserve">fpr_test,  tpr_test,  threshold_test  = roc_curve(y_test,  y_test_proba_diab)</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40"/>
              <w:left w:type="dxa" w:w="180"/>
              <w:bottom w:type="dxa" w:w="140"/>
              <w:right w:type="dxa" w:w="180"/>
            </w:tcMar>
          </w:tcPr>
          <w:p>
            <w:pPr>
              <w:spacing w:after="60"/>
            </w:pPr>
            <w:r>
              <w:rPr>
                <w:rFonts w:ascii="Arial" w:cs="Arial" w:eastAsia="Arial" w:hAnsi="Arial"/>
                <w:b/>
                <w:bCs/>
                <w:color w:val="C2410C"/>
                <w:sz w:val="20"/>
                <w:szCs w:val="20"/>
              </w:rPr>
              <w:t xml:space="preserve">🔑  Why probabilities, not predict():  </w:t>
            </w:r>
            <w:r>
              <w:rPr>
                <w:rFonts w:ascii="Arial" w:cs="Arial" w:eastAsia="Arial" w:hAnsi="Arial"/>
                <w:color w:val="1F2937"/>
                <w:sz w:val="20"/>
                <w:szCs w:val="20"/>
              </w:rPr>
              <w:t xml:space="preserve">roc_curve() needs to test many thresholds internally to trace the full curve from Section 5 — feeding it hard 0/1 predictions collapses that to a single (FPR, TPR) point, since there's no probability information left to threshold. predict_proba()'s continuous output is what makes the full sweep possible.</w:t>
            </w:r>
          </w:p>
        </w:tc>
      </w:tr>
    </w:tbl>
    <w:p>
      <w:r>
        <w:rPr>
          <w:rFonts w:ascii="Arial" w:cs="Arial" w:eastAsia="Arial" w:hAnsi="Arial"/>
          <w:sz w:val="24"/>
          <w:szCs w:val="24"/>
        </w:rPr>
        <w:t xml:space="preserve"> </w:t>
      </w:r>
    </w:p>
    <w:p>
      <w:pPr>
        <w:pStyle w:val="Heading2"/>
      </w:pPr>
      <w:r>
        <w:rPr>
          <w:rFonts w:ascii="Arial" w:cs="Arial" w:eastAsia="Arial" w:hAnsi="Arial"/>
        </w:rPr>
        <w:t xml:space="preserve">13.2  Plotting Train vs Test ROC Curves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plt.plot(fpr_train, tpr_train, label="Logistic Regression (Train)")</w:t>
            </w:r>
          </w:p>
          <w:p>
            <w:pPr>
              <w:spacing w:after="0"/>
            </w:pPr>
            <w:r>
              <w:rPr>
                <w:rFonts w:ascii="Courier New" w:cs="Courier New" w:eastAsia="Courier New" w:hAnsi="Courier New"/>
                <w:color w:val="1F2937"/>
                <w:sz w:val="19"/>
                <w:szCs w:val="19"/>
              </w:rPr>
              <w:t xml:space="preserve">plt.plot(fpr_test,  tpr_test,  label="Logistic Regression (Test)")</w:t>
            </w:r>
          </w:p>
          <w:p>
            <w:pPr>
              <w:spacing w:after="0"/>
            </w:pPr>
            <w:r>
              <w:rPr>
                <w:rFonts w:ascii="Courier New" w:cs="Courier New" w:eastAsia="Courier New" w:hAnsi="Courier New"/>
                <w:color w:val="1F2937"/>
                <w:sz w:val="19"/>
                <w:szCs w:val="19"/>
              </w:rPr>
              <w:t xml:space="preserve">plt.plot([0, 1], [0, 1], "k--")   # the random-classifier diagonal from Section 6</w:t>
            </w:r>
          </w:p>
          <w:p>
            <w:pPr>
              <w:spacing w:after="0"/>
            </w:pPr>
            <w:r>
              <w:rPr>
                <w:rFonts w:ascii="Courier New" w:cs="Courier New" w:eastAsia="Courier New" w:hAnsi="Courier New"/>
                <w:color w:val="1F2937"/>
                <w:sz w:val="19"/>
                <w:szCs w:val="19"/>
              </w:rPr>
              <w:t xml:space="preserve">plt.xlabel("False Positive Rate")</w:t>
            </w:r>
          </w:p>
          <w:p>
            <w:pPr>
              <w:spacing w:after="0"/>
            </w:pPr>
            <w:r>
              <w:rPr>
                <w:rFonts w:ascii="Courier New" w:cs="Courier New" w:eastAsia="Courier New" w:hAnsi="Courier New"/>
                <w:color w:val="1F2937"/>
                <w:sz w:val="19"/>
                <w:szCs w:val="19"/>
              </w:rPr>
              <w:t xml:space="preserve">plt.ylabel("True Positive Rate")</w:t>
            </w:r>
          </w:p>
          <w:p>
            <w:pPr>
              <w:spacing w:after="0"/>
            </w:pPr>
            <w:r>
              <w:rPr>
                <w:rFonts w:ascii="Courier New" w:cs="Courier New" w:eastAsia="Courier New" w:hAnsi="Courier New"/>
                <w:color w:val="1F2937"/>
                <w:sz w:val="19"/>
                <w:szCs w:val="19"/>
              </w:rPr>
              <w:t xml:space="preserve">plt.title("ROC Curve Comparison")</w:t>
            </w:r>
          </w:p>
          <w:p>
            <w:pPr>
              <w:spacing w:after="0"/>
            </w:pPr>
            <w:r>
              <w:rPr>
                <w:rFonts w:ascii="Courier New" w:cs="Courier New" w:eastAsia="Courier New" w:hAnsi="Courier New"/>
                <w:color w:val="1F2937"/>
                <w:sz w:val="19"/>
                <w:szCs w:val="19"/>
              </w:rPr>
              <w:t xml:space="preserve">plt.legend()</w:t>
            </w:r>
          </w:p>
          <w:p>
            <w:pPr>
              <w:spacing w:after="0"/>
            </w:pPr>
            <w:r>
              <w:rPr>
                <w:rFonts w:ascii="Courier New" w:cs="Courier New" w:eastAsia="Courier New" w:hAnsi="Courier New"/>
                <w:color w:val="1F2937"/>
                <w:sz w:val="19"/>
                <w:szCs w:val="19"/>
              </w:rPr>
              <w:t xml:space="preserve">plt.show()</w:t>
            </w:r>
          </w:p>
        </w:tc>
      </w:tr>
    </w:tbl>
    <w:p>
      <w:r>
        <w:rPr>
          <w:rFonts w:ascii="Arial" w:cs="Arial" w:eastAsia="Arial" w:hAnsi="Arial"/>
          <w:sz w:val="24"/>
          <w:szCs w:val="24"/>
        </w:rPr>
        <w:t xml:space="preserve"> </w:t>
      </w:r>
    </w:p>
    <w:p>
      <w:r>
        <w:rPr>
          <w:rFonts w:ascii="Arial" w:cs="Arial" w:eastAsia="Arial" w:hAnsi="Arial"/>
          <w:color w:val="1F2937"/>
        </w:rPr>
        <w:t xml:space="preserve">This matches Section 6's reference-curve comparison directly — both train and test curves should bow above the dashed diagonal; how far above indicates how much real discriminative power the model has beyond random guessing.</w:t>
      </w:r>
    </w:p>
    <w:p>
      <w:r>
        <w:rPr>
          <w:rFonts w:ascii="Arial" w:cs="Arial" w:eastAsia="Arial" w:hAnsi="Arial"/>
          <w:sz w:val="36"/>
          <w:szCs w:val="36"/>
        </w:rPr>
        <w:t xml:space="preserve"> </w:t>
      </w:r>
    </w:p>
    <w:p>
      <w:pPr>
        <w:pStyle w:val="Heading1"/>
      </w:pPr>
      <w:r>
        <w:rPr>
          <w:rFonts w:ascii="Arial" w:cs="Arial" w:eastAsia="Arial" w:hAnsi="Arial"/>
        </w:rPr>
        <w:t xml:space="preserve">14. Inspecting the Fitted Model &amp; Saving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pipeline['clf'].coef_.flatten()</w:t>
            </w:r>
          </w:p>
          <w:p>
            <w:pPr>
              <w:spacing w:after="0"/>
            </w:pPr>
            <w:r>
              <w:rPr>
                <w:rFonts w:ascii="Courier New" w:cs="Courier New" w:eastAsia="Courier New" w:hAnsi="Courier New"/>
                <w:color w:val="1F2937"/>
                <w:sz w:val="19"/>
                <w:szCs w:val="19"/>
              </w:rPr>
              <w:t xml:space="preserve"># array([ 1.141, -0.099,  0.098, -0.124,  0.600,  0.223,  0.150,  0.393])</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pipeline['clf'].intercept_</w:t>
            </w:r>
          </w:p>
          <w:p>
            <w:pPr>
              <w:spacing w:after="0"/>
            </w:pPr>
            <w:r>
              <w:rPr>
                <w:rFonts w:ascii="Courier New" w:cs="Courier New" w:eastAsia="Courier New" w:hAnsi="Courier New"/>
                <w:color w:val="1F2937"/>
                <w:sz w:val="19"/>
                <w:szCs w:val="19"/>
              </w:rPr>
              <w:t xml:space="preserve"># array([-0.849])</w:t>
            </w:r>
          </w:p>
        </w:tc>
      </w:tr>
    </w:tbl>
    <w:p>
      <w:r>
        <w:rPr>
          <w:rFonts w:ascii="Arial" w:cs="Arial" w:eastAsia="Arial" w:hAnsi="Arial"/>
          <w:sz w:val="24"/>
          <w:szCs w:val="24"/>
        </w:rPr>
        <w:t xml:space="preserve"> </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760"/>
      </w:tblGrid>
      <w:tr>
        <w:tc>
          <w:tcPr>
            <w:tcW w:type="dxa" w:w="26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Feature</w:t>
            </w:r>
          </w:p>
        </w:tc>
        <w:tc>
          <w:tcPr>
            <w:tcW w:type="dxa" w:w="14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Coefficient</w:t>
            </w:r>
          </w:p>
        </w:tc>
        <w:tc>
          <w:tcPr>
            <w:tcW w:type="dxa" w:w="57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Direction of effect</w:t>
            </w:r>
          </w:p>
        </w:tc>
      </w:tr>
      <w:tr>
        <w:tc>
          <w:tcPr>
            <w:tcW w:type="dxa" w:w="26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Glucose</w:t>
            </w:r>
          </w:p>
        </w:tc>
        <w:tc>
          <w:tcPr>
            <w:tcW w:type="dxa" w:w="1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0.60</w:t>
            </w:r>
          </w:p>
        </w:tc>
        <w:tc>
          <w:tcPr>
            <w:tcW w:type="dxa" w:w="57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Higher glucose → higher predicted diabetes probability (strong positive effect)</w:t>
            </w:r>
          </w:p>
        </w:tc>
      </w:tr>
      <w:tr>
        <w:tc>
          <w:tcPr>
            <w:tcW w:type="dxa" w:w="26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Pregnancies</w:t>
            </w:r>
          </w:p>
        </w:tc>
        <w:tc>
          <w:tcPr>
            <w:tcW w:type="dxa" w:w="1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 1.14</w:t>
            </w:r>
          </w:p>
        </w:tc>
        <w:tc>
          <w:tcPr>
            <w:tcW w:type="dxa" w:w="57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Largest positive coefficient — more pregnancies associated with higher predicted risk</w:t>
            </w:r>
          </w:p>
        </w:tc>
      </w:tr>
      <w:tr>
        <w:tc>
          <w:tcPr>
            <w:tcW w:type="dxa" w:w="26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BloodPressure</w:t>
            </w:r>
          </w:p>
        </w:tc>
        <w:tc>
          <w:tcPr>
            <w:tcW w:type="dxa" w:w="1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−0.10</w:t>
            </w:r>
          </w:p>
        </w:tc>
        <w:tc>
          <w:tcPr>
            <w:tcW w:type="dxa" w:w="57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Slight negative association</w:t>
            </w:r>
          </w:p>
        </w:tc>
      </w:tr>
      <w:tr>
        <w:tc>
          <w:tcPr>
            <w:tcW w:type="dxa" w:w="26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SkinThickness</w:t>
            </w:r>
          </w:p>
        </w:tc>
        <w:tc>
          <w:tcPr>
            <w:tcW w:type="dxa" w:w="1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 −0.12</w:t>
            </w:r>
          </w:p>
        </w:tc>
        <w:tc>
          <w:tcPr>
            <w:tcW w:type="dxa" w:w="57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Slight negative association</w:t>
            </w:r>
          </w:p>
        </w:tc>
      </w:tr>
      <w:tr>
        <w:tc>
          <w:tcPr>
            <w:tcW w:type="dxa" w:w="26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BMI</w:t>
            </w:r>
          </w:p>
        </w:tc>
        <w:tc>
          <w:tcPr>
            <w:tcW w:type="dxa" w:w="1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0.22</w:t>
            </w:r>
          </w:p>
        </w:tc>
        <w:tc>
          <w:tcPr>
            <w:tcW w:type="dxa" w:w="57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Higher BMI → modestly higher predicted risk</w:t>
            </w:r>
          </w:p>
        </w:tc>
      </w:tr>
      <w:tr>
        <w:tc>
          <w:tcPr>
            <w:tcW w:type="dxa" w:w="26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Diabetes Pedigree Fn.</w:t>
            </w:r>
          </w:p>
        </w:tc>
        <w:tc>
          <w:tcPr>
            <w:tcW w:type="dxa" w:w="1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 0.15</w:t>
            </w:r>
          </w:p>
        </w:tc>
        <w:tc>
          <w:tcPr>
            <w:tcW w:type="dxa" w:w="57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Modest positive effect</w:t>
            </w:r>
          </w:p>
        </w:tc>
      </w:tr>
      <w:tr>
        <w:tc>
          <w:tcPr>
            <w:tcW w:type="dxa" w:w="26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Age</w:t>
            </w:r>
          </w:p>
        </w:tc>
        <w:tc>
          <w:tcPr>
            <w:tcW w:type="dxa" w:w="1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0.39</w:t>
            </w:r>
          </w:p>
        </w:tc>
        <w:tc>
          <w:tcPr>
            <w:tcW w:type="dxa" w:w="57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Older age → higher predicted risk</w:t>
            </w:r>
          </w:p>
        </w:tc>
      </w:tr>
    </w:tbl>
    <w:p>
      <w:r>
        <w:rPr>
          <w:rFonts w:ascii="Arial" w:cs="Arial" w:eastAsia="Arial" w:hAnsi="Arial"/>
          <w:sz w:val="24"/>
          <w:szCs w:val="24"/>
        </w:rPr>
        <w:t xml:space="preserve"> </w:t>
      </w:r>
    </w:p>
    <w:p>
      <w:r>
        <w:rPr>
          <w:rFonts w:ascii="Arial" w:cs="Arial" w:eastAsia="Arial" w:hAnsi="Arial"/>
          <w:color w:val="1F2937"/>
        </w:rPr>
        <w:t xml:space="preserve">Note: coefficients apply to the scaled/imputed features (post-ColumnTransformer), not the raw input values — magnitudes are comparable to each other precisely because StandardScaler put every numeric feature on the same scale.</w:t>
      </w:r>
    </w:p>
    <w:p>
      <w:r>
        <w:rPr>
          <w:rFonts w:ascii="Arial" w:cs="Arial" w:eastAsia="Arial" w:hAnsi="Arial"/>
          <w:sz w:val="24"/>
          <w:szCs w:val="24"/>
        </w:rPr>
        <w:t xml:space="preserve"> </w:t>
      </w:r>
    </w:p>
    <w:p>
      <w:pPr>
        <w:pStyle w:val="Heading2"/>
      </w:pPr>
      <w:r>
        <w:rPr>
          <w:rFonts w:ascii="Arial" w:cs="Arial" w:eastAsia="Arial" w:hAnsi="Arial"/>
        </w:rPr>
        <w:t xml:space="preserve">14.1  Saving the Whole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60"/>
              <w:bottom w:type="dxa" w:w="120"/>
              <w:right w:type="dxa" w:w="160"/>
            </w:tcMar>
          </w:tcPr>
          <w:p>
            <w:pPr>
              <w:spacing w:after="0"/>
            </w:pPr>
            <w:r>
              <w:rPr>
                <w:rFonts w:ascii="Courier New" w:cs="Courier New" w:eastAsia="Courier New" w:hAnsi="Courier New"/>
                <w:color w:val="1F2937"/>
                <w:sz w:val="19"/>
                <w:szCs w:val="19"/>
              </w:rPr>
              <w:t xml:space="preserve">import joblib</w:t>
            </w:r>
          </w:p>
          <w:p>
            <w:pPr>
              <w:spacing w:after="0"/>
            </w:pPr>
            <w:r>
              <w:rPr>
                <w:rFonts w:ascii="Courier New" w:cs="Courier New" w:eastAsia="Courier New" w:hAnsi="Courier New"/>
                <w:color w:val="1F2937"/>
                <w:sz w:val="19"/>
                <w:szCs w:val="19"/>
              </w:rPr>
              <w:t xml:space="preserve"> </w:t>
            </w:r>
          </w:p>
          <w:p>
            <w:pPr>
              <w:spacing w:after="0"/>
            </w:pPr>
            <w:r>
              <w:rPr>
                <w:rFonts w:ascii="Courier New" w:cs="Courier New" w:eastAsia="Courier New" w:hAnsi="Courier New"/>
                <w:color w:val="1F2937"/>
                <w:sz w:val="19"/>
                <w:szCs w:val="19"/>
              </w:rPr>
              <w:t xml:space="preserve">output_path = "logistic_pipeline.pkl"</w:t>
            </w:r>
          </w:p>
          <w:p>
            <w:pPr>
              <w:spacing w:after="0"/>
            </w:pPr>
            <w:r>
              <w:rPr>
                <w:rFonts w:ascii="Courier New" w:cs="Courier New" w:eastAsia="Courier New" w:hAnsi="Courier New"/>
                <w:color w:val="1F2937"/>
                <w:sz w:val="19"/>
                <w:szCs w:val="19"/>
              </w:rPr>
              <w:t xml:space="preserve">joblib.dump(pipeline, output_path)</w:t>
            </w:r>
          </w:p>
          <w:p>
            <w:pPr>
              <w:spacing w:after="0"/>
            </w:pPr>
            <w:r>
              <w:rPr>
                <w:rFonts w:ascii="Courier New" w:cs="Courier New" w:eastAsia="Courier New" w:hAnsi="Courier New"/>
                <w:color w:val="1F2937"/>
                <w:sz w:val="19"/>
                <w:szCs w:val="19"/>
              </w:rPr>
              <w:t xml:space="preserve"># Saved pipeline to: logistic_pipeline.pkl</w:t>
            </w:r>
          </w:p>
        </w:tc>
      </w:tr>
    </w:tbl>
    <w:p>
      <w:r>
        <w:rPr>
          <w:rFonts w:ascii="Arial" w:cs="Arial" w:eastAsia="Arial" w:hAnsi="Arial"/>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40"/>
              <w:left w:type="dxa" w:w="180"/>
              <w:bottom w:type="dxa" w:w="140"/>
              <w:right w:type="dxa" w:w="180"/>
            </w:tcMar>
          </w:tcPr>
          <w:p>
            <w:pPr>
              <w:spacing w:after="60"/>
            </w:pPr>
            <w:r>
              <w:rPr>
                <w:rFonts w:ascii="Arial" w:cs="Arial" w:eastAsia="Arial" w:hAnsi="Arial"/>
                <w:b/>
                <w:bCs/>
                <w:color w:val="15803D"/>
                <w:sz w:val="20"/>
                <w:szCs w:val="20"/>
              </w:rPr>
              <w:t xml:space="preserve">✅  Why save the whole pipeline, not just the classifier:  </w:t>
            </w:r>
            <w:r>
              <w:rPr>
                <w:rFonts w:ascii="Arial" w:cs="Arial" w:eastAsia="Arial" w:hAnsi="Arial"/>
                <w:color w:val="1F2937"/>
                <w:sz w:val="20"/>
                <w:szCs w:val="20"/>
              </w:rPr>
              <w:t xml:space="preserve">Dumping the entire fitted Pipeline object — preprocessor and classifier together — means loading it back later with joblib.load() gives a single object that can take raw, unprocessed new data straight into .predict(), with no risk of forgetting to re-apply the imputer or scaler separately.</w:t>
            </w:r>
          </w:p>
        </w:tc>
      </w:tr>
    </w:tbl>
    <w:p>
      <w:r>
        <w:rPr>
          <w:rFonts w:ascii="Arial" w:cs="Arial" w:eastAsia="Arial" w:hAnsi="Arial"/>
          <w:sz w:val="36"/>
          <w:szCs w:val="36"/>
        </w:rPr>
        <w:t xml:space="preserve"> </w:t>
      </w:r>
    </w:p>
    <w:p>
      <w:pPr>
        <w:pStyle w:val="Heading1"/>
      </w:pPr>
      <w:r>
        <w:rPr>
          <w:rFonts w:ascii="Arial" w:cs="Arial" w:eastAsia="Arial" w:hAnsi="Arial"/>
        </w:rPr>
        <w:t xml:space="preserve">15. Agenda Items Flagged for Upcoming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Topic</w:t>
            </w:r>
          </w:p>
        </w:tc>
        <w:tc>
          <w:tcPr>
            <w:tcW w:type="dxa" w:w="30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Status</w:t>
            </w:r>
          </w:p>
        </w:tc>
      </w:tr>
      <w:tr>
        <w:tc>
          <w:tcPr>
            <w:tcW w:type="dxa" w:w="63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Logistic Regression practical (Pipeline + ColumnTransformer)</w:t>
            </w:r>
          </w:p>
        </w:tc>
        <w:tc>
          <w:tcPr>
            <w:tcW w:type="dxa" w:w="30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Covered — extended from ML-9 with ROC plotting and model persistence</w:t>
            </w:r>
          </w:p>
        </w:tc>
      </w:tr>
      <w:tr>
        <w:tc>
          <w:tcPr>
            <w:tcW w:type="dxa" w:w="63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ROC curve (manual derivation + sklearn computation)</w:t>
            </w:r>
          </w:p>
        </w:tc>
        <w:tc>
          <w:tcPr>
            <w:tcW w:type="dxa" w:w="30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 Covered in depth today</w:t>
            </w:r>
          </w:p>
        </w:tc>
      </w:tr>
      <w:tr>
        <w:tc>
          <w:tcPr>
            <w:tcW w:type="dxa" w:w="63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Cross-validation split</w:t>
            </w:r>
          </w:p>
        </w:tc>
        <w:tc>
          <w:tcPr>
            <w:tcW w:type="dxa" w:w="30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Covered in depth today</w:t>
            </w:r>
          </w:p>
        </w:tc>
      </w:tr>
      <w:tr>
        <w:tc>
          <w:tcPr>
            <w:tcW w:type="dxa" w:w="63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KNN</w:t>
            </w:r>
          </w:p>
        </w:tc>
        <w:tc>
          <w:tcPr>
            <w:tcW w:type="dxa" w:w="30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 On today's agenda but not yet covered — flagged for next session</w:t>
            </w:r>
          </w:p>
        </w:tc>
      </w:tr>
    </w:tbl>
    <w:p>
      <w:r>
        <w:rPr>
          <w:rFonts w:ascii="Arial" w:cs="Arial" w:eastAsia="Arial" w:hAnsi="Arial"/>
          <w:sz w:val="36"/>
          <w:szCs w:val="36"/>
        </w:rPr>
        <w:t xml:space="preserve"> </w:t>
      </w:r>
    </w:p>
    <w:p>
      <w:pPr>
        <w:pStyle w:val="Heading1"/>
      </w:pPr>
      <w:r>
        <w:rPr>
          <w:rFonts w:ascii="Arial" w:cs="Arial" w:eastAsia="Arial" w:hAnsi="Arial"/>
        </w:rPr>
        <w:t xml:space="preserve">16. Quick Reference — ML-10 Complete Summary</w:t>
      </w:r>
    </w:p>
    <w:p>
      <w:pPr>
        <w:pStyle w:val="Heading2"/>
      </w:pPr>
      <w:r>
        <w:rPr>
          <w:rFonts w:ascii="Arial" w:cs="Arial" w:eastAsia="Arial" w:hAnsi="Arial"/>
        </w:rPr>
        <w:t xml:space="preserve">16.1  Pipeline Design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Tool</w:t>
            </w:r>
          </w:p>
        </w:tc>
        <w:tc>
          <w:tcPr>
            <w:tcW w:type="dxa" w:w="43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Pattern</w:t>
            </w:r>
          </w:p>
        </w:tc>
        <w:tc>
          <w:tcPr>
            <w:tcW w:type="dxa" w:w="26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When</w:t>
            </w:r>
          </w:p>
        </w:tc>
      </w:tr>
      <w:tr>
        <w:tc>
          <w:tcPr>
            <w:tcW w:type="dxa" w:w="2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Pipeline</w:t>
            </w:r>
          </w:p>
        </w:tc>
        <w:tc>
          <w:tcPr>
            <w:tcW w:type="dxa" w:w="43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Sequential — step N's output feeds step N+1</w:t>
            </w:r>
          </w:p>
        </w:tc>
        <w:tc>
          <w:tcPr>
            <w:tcW w:type="dxa" w:w="26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Dependent steps (e.g. impute → scale)</w:t>
            </w:r>
          </w:p>
        </w:tc>
      </w:tr>
      <w:tr>
        <w:tc>
          <w:tcPr>
            <w:tcW w:type="dxa" w:w="2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ColumnTransformer</w:t>
            </w:r>
          </w:p>
        </w:tc>
        <w:tc>
          <w:tcPr>
            <w:tcW w:type="dxa" w:w="43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Parallel — branches run independently, results concatenated</w:t>
            </w:r>
          </w:p>
        </w:tc>
        <w:tc>
          <w:tcPr>
            <w:tcW w:type="dxa" w:w="26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Independent column groups needing different treatment</w:t>
            </w:r>
          </w:p>
        </w:tc>
      </w:tr>
    </w:tbl>
    <w:p>
      <w:r>
        <w:rPr>
          <w:rFonts w:ascii="Arial" w:cs="Arial" w:eastAsia="Arial" w:hAnsi="Arial"/>
          <w:sz w:val="24"/>
          <w:szCs w:val="24"/>
        </w:rPr>
        <w:t xml:space="preserve"> </w:t>
      </w:r>
    </w:p>
    <w:p>
      <w:pPr>
        <w:pStyle w:val="Heading2"/>
      </w:pPr>
      <w:r>
        <w:rPr>
          <w:rFonts w:ascii="Arial" w:cs="Arial" w:eastAsia="Arial" w:hAnsi="Arial"/>
        </w:rPr>
        <w:t xml:space="preserve">16.2  ROC / AUC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Concept</w:t>
            </w:r>
          </w:p>
        </w:tc>
        <w:tc>
          <w:tcPr>
            <w:tcW w:type="dxa" w:w="69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Formula / Definition</w:t>
            </w:r>
          </w:p>
        </w:tc>
      </w:tr>
      <w:tr>
        <w:tc>
          <w:tcPr>
            <w:tcW w:type="dxa" w:w="2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TPR (Recall)</w:t>
            </w:r>
          </w:p>
        </w:tc>
        <w:tc>
          <w:tcPr>
            <w:tcW w:type="dxa" w:w="69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TP / (TP + FN)</w:t>
            </w:r>
          </w:p>
        </w:tc>
      </w:tr>
      <w:tr>
        <w:tc>
          <w:tcPr>
            <w:tcW w:type="dxa" w:w="2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FPR</w:t>
            </w:r>
          </w:p>
        </w:tc>
        <w:tc>
          <w:tcPr>
            <w:tcW w:type="dxa" w:w="69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FP / (FP + TN)</w:t>
            </w:r>
          </w:p>
        </w:tc>
      </w:tr>
      <w:tr>
        <w:tc>
          <w:tcPr>
            <w:tcW w:type="dxa" w:w="2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ROC curve</w:t>
            </w:r>
          </w:p>
        </w:tc>
        <w:tc>
          <w:tcPr>
            <w:tcW w:type="dxa" w:w="69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Plot of TPR (y) vs FPR (x), traced across every threshold from 0 to 1</w:t>
            </w:r>
          </w:p>
        </w:tc>
      </w:tr>
      <w:tr>
        <w:tc>
          <w:tcPr>
            <w:tcW w:type="dxa" w:w="2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AUC</w:t>
            </w:r>
          </w:p>
        </w:tc>
        <w:tc>
          <w:tcPr>
            <w:tcW w:type="dxa" w:w="69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Numerical area under the ROC curve; 1.0 = perfect, 0.5 = random guessing</w:t>
            </w:r>
          </w:p>
        </w:tc>
      </w:tr>
      <w:tr>
        <w:tc>
          <w:tcPr>
            <w:tcW w:type="dxa" w:w="2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Youden's J</w:t>
            </w:r>
          </w:p>
        </w:tc>
        <w:tc>
          <w:tcPr>
            <w:tcW w:type="dxa" w:w="69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Maximize J = TPR − FPR</w:t>
            </w:r>
          </w:p>
        </w:tc>
      </w:tr>
      <w:tr>
        <w:tc>
          <w:tcPr>
            <w:tcW w:type="dxa" w:w="2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Distance to corner</w:t>
            </w:r>
          </w:p>
        </w:tc>
        <w:tc>
          <w:tcPr>
            <w:tcW w:type="dxa" w:w="69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Minimize d = √[(1−TPR)² + FPR²]</w:t>
            </w:r>
          </w:p>
        </w:tc>
      </w:tr>
    </w:tbl>
    <w:p>
      <w:r>
        <w:rPr>
          <w:rFonts w:ascii="Arial" w:cs="Arial" w:eastAsia="Arial" w:hAnsi="Arial"/>
          <w:sz w:val="24"/>
          <w:szCs w:val="24"/>
        </w:rPr>
        <w:t xml:space="preserve"> </w:t>
      </w:r>
    </w:p>
    <w:p>
      <w:pPr>
        <w:pStyle w:val="Heading2"/>
      </w:pPr>
      <w:r>
        <w:rPr>
          <w:rFonts w:ascii="Arial" w:cs="Arial" w:eastAsia="Arial" w:hAnsi="Arial"/>
        </w:rPr>
        <w:t xml:space="preserve">16.3  Cross-Validation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Concept</w:t>
            </w:r>
          </w:p>
        </w:tc>
        <w:tc>
          <w:tcPr>
            <w:tcW w:type="dxa" w:w="67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Key takeaway</w:t>
            </w:r>
          </w:p>
        </w:tc>
      </w:tr>
      <w:tr>
        <w:tc>
          <w:tcPr>
            <w:tcW w:type="dxa" w:w="26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Why CV</w:t>
            </w:r>
          </w:p>
        </w:tc>
        <w:tc>
          <w:tcPr>
            <w:tcW w:type="dxa" w:w="67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 single train/test split can give misleading results purely by chance (e.g. 90% vs 40% test accuracy from the same model)</w:t>
            </w:r>
          </w:p>
        </w:tc>
      </w:tr>
      <w:tr>
        <w:tc>
          <w:tcPr>
            <w:tcW w:type="dxa" w:w="26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K-Fold</w:t>
            </w:r>
          </w:p>
        </w:tc>
        <w:tc>
          <w:tcPr>
            <w:tcW w:type="dxa" w:w="67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Split data into k folds; each fold serves as validation exactly once, train on the rest</w:t>
            </w:r>
          </w:p>
        </w:tc>
      </w:tr>
      <w:tr>
        <w:tc>
          <w:tcPr>
            <w:tcW w:type="dxa" w:w="26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Goal 1 — Evaluation</w:t>
            </w:r>
          </w:p>
        </w:tc>
        <w:tc>
          <w:tcPr>
            <w:tcW w:type="dxa" w:w="67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CV estimates true/realistic model performance; final model is still trained on all data without CV</w:t>
            </w:r>
          </w:p>
        </w:tc>
      </w:tr>
      <w:tr>
        <w:tc>
          <w:tcPr>
            <w:tcW w:type="dxa" w:w="26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Goal 2 — Model Selection</w:t>
            </w:r>
          </w:p>
        </w:tc>
        <w:tc>
          <w:tcPr>
            <w:tcW w:type="dxa" w:w="67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CV compares hyperparameter settings via averaged scores; final model trained on all data using the winning setting</w:t>
            </w:r>
          </w:p>
        </w:tc>
      </w:tr>
      <w:tr>
        <w:tc>
          <w:tcPr>
            <w:tcW w:type="dxa" w:w="26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StratifiedKFold</w:t>
            </w:r>
          </w:p>
        </w:tc>
        <w:tc>
          <w:tcPr>
            <w:tcW w:type="dxa" w:w="67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Use for classification — preserves class balance in every fold</w:t>
            </w:r>
          </w:p>
        </w:tc>
      </w:tr>
      <w:tr>
        <w:tc>
          <w:tcPr>
            <w:tcW w:type="dxa" w:w="26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KFold</w:t>
            </w:r>
          </w:p>
        </w:tc>
        <w:tc>
          <w:tcPr>
            <w:tcW w:type="dxa" w:w="67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Use for regression — no class balance to preserve</w:t>
            </w:r>
          </w:p>
        </w:tc>
      </w:tr>
    </w:tbl>
    <w:p>
      <w:r>
        <w:rPr>
          <w:rFonts w:ascii="Arial" w:cs="Arial" w:eastAsia="Arial" w:hAnsi="Arial"/>
          <w:sz w:val="24"/>
          <w:szCs w:val="24"/>
        </w:rPr>
        <w:t xml:space="preserve"> </w:t>
      </w:r>
    </w:p>
    <w:p>
      <w:pPr>
        <w:pStyle w:val="Heading2"/>
      </w:pPr>
      <w:r>
        <w:rPr>
          <w:rFonts w:ascii="Arial" w:cs="Arial" w:eastAsia="Arial" w:hAnsi="Arial"/>
        </w:rPr>
        <w:t xml:space="preserve">16.4  Carried Forward from ML-7/ML-8/ML-9 (still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Rule</w:t>
            </w:r>
          </w:p>
        </w:tc>
        <w:tc>
          <w:tcPr>
            <w:tcW w:type="dxa" w:w="39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Still true today</w:t>
            </w:r>
          </w:p>
        </w:tc>
      </w:tr>
      <w:tr>
        <w:tc>
          <w:tcPr>
            <w:tcW w:type="dxa" w:w="5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fit_transform() — train only; transform() — test/production only</w:t>
            </w:r>
          </w:p>
        </w:tc>
        <w:tc>
          <w:tcPr>
            <w:tcW w:type="dxa" w:w="39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unchanged, now extended into how CV folds are fit/scored</w:t>
            </w:r>
          </w:p>
        </w:tc>
      </w:tr>
      <w:tr>
        <w:tc>
          <w:tcPr>
            <w:tcW w:type="dxa" w:w="54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stratify=y on train_test_split</w:t>
            </w:r>
          </w:p>
        </w:tc>
        <w:tc>
          <w:tcPr>
            <w:tcW w:type="dxa" w:w="39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 unchanged; same principle now applied to CV folds via StratifiedKFold</w:t>
            </w:r>
          </w:p>
        </w:tc>
      </w:tr>
      <w:tr>
        <w:tc>
          <w:tcPr>
            <w:tcW w:type="dxa" w:w="54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Wrap preprocessing + classifier in one Pipeline</w:t>
            </w:r>
          </w:p>
        </w:tc>
        <w:tc>
          <w:tcPr>
            <w:tcW w:type="dxa" w:w="39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unchanged; today added the formal sequential-vs-parallel reasoning behind why</w:t>
            </w:r>
          </w:p>
        </w:tc>
      </w:tr>
    </w:tbl>
    <w:p>
      <w:r>
        <w:rPr>
          <w:rFonts w:ascii="Arial" w:cs="Arial" w:eastAsia="Arial" w:hAnsi="Arial"/>
          <w:sz w:val="36"/>
          <w:szCs w:val="36"/>
        </w:rPr>
        <w:t xml:space="preserve"> </w:t>
      </w:r>
    </w:p>
    <w:p>
      <w:pPr>
        <w:pStyle w:val="Heading1"/>
      </w:pPr>
      <w:r>
        <w:rPr>
          <w:rFonts w:ascii="Arial" w:cs="Arial" w:eastAsia="Arial" w:hAnsi="Arial"/>
        </w:rPr>
        <w:t xml:space="preserve">17. Senior Engineer Notes — What Experience Adds Beyond the Theory</w:t>
      </w:r>
    </w:p>
    <w:p>
      <w:r>
        <w:rPr>
          <w:rFonts w:ascii="Arial" w:cs="Arial" w:eastAsia="Arial" w:hAnsi="Arial"/>
          <w:color w:val="1F2937"/>
        </w:rPr>
        <w:t xml:space="preserve">Everything above is correct and matches the lecture. This section adds the layer that usually only shows up after you've been burned by it once in a real project — the gap between "the math checks out" and "this works reliably in production."</w:t>
      </w:r>
    </w:p>
    <w:p>
      <w:r>
        <w:rPr>
          <w:rFonts w:ascii="Arial" w:cs="Arial" w:eastAsia="Arial" w:hAnsi="Arial"/>
          <w:sz w:val="24"/>
          <w:szCs w:val="24"/>
        </w:rPr>
        <w:t xml:space="preserve"> </w:t>
      </w:r>
    </w:p>
    <w:p>
      <w:pPr>
        <w:pStyle w:val="Heading2"/>
      </w:pPr>
      <w:r>
        <w:rPr>
          <w:rFonts w:ascii="Arial" w:cs="Arial" w:eastAsia="Arial" w:hAnsi="Arial"/>
        </w:rPr>
        <w:t xml:space="preserve">17.1  AUC Is a Threshold-Agnostic Average — It Can Hide a Model That's Bad at the Threshold You Actually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40"/>
              <w:left w:type="dxa" w:w="180"/>
              <w:bottom w:type="dxa" w:w="140"/>
              <w:right w:type="dxa" w:w="180"/>
            </w:tcMar>
          </w:tcPr>
          <w:p>
            <w:pPr>
              <w:spacing w:after="60"/>
            </w:pPr>
            <w:r>
              <w:rPr>
                <w:rFonts w:ascii="Arial" w:cs="Arial" w:eastAsia="Arial" w:hAnsi="Arial"/>
                <w:b/>
                <w:bCs/>
                <w:color w:val="B91C1C"/>
                <w:sz w:val="20"/>
                <w:szCs w:val="20"/>
              </w:rPr>
              <w:t xml:space="preserve">⚠️  Section 6's AUC comparison ranks models across all thresholds — but you only ever deploy at one.  </w:t>
            </w:r>
            <w:r>
              <w:rPr>
                <w:rFonts w:ascii="Arial" w:cs="Arial" w:eastAsia="Arial" w:hAnsi="Arial"/>
                <w:color w:val="1F2937"/>
                <w:sz w:val="20"/>
                <w:szCs w:val="20"/>
              </w:rPr>
              <w:t xml:space="preserve">Two models can have nearly identical AUC while one is dramatically better specifically in the low-FPR region a fraud or medical-screening system actually operates in, and worse everywhere else that doesn't matter for deployment. Picking a model by AUC alone, without looking at the ROC curve's shape in the specific operating region you'll threshold at, is a common way to ship a model that scores well in a report but underperforms at the actual cutoff used in production. Always inspect the curve near your intended operating point, not just the single summary number.</w:t>
            </w:r>
          </w:p>
        </w:tc>
      </w:tr>
    </w:tbl>
    <w:p>
      <w:r>
        <w:rPr>
          <w:rFonts w:ascii="Arial" w:cs="Arial" w:eastAsia="Arial" w:hAnsi="Arial"/>
          <w:sz w:val="24"/>
          <w:szCs w:val="24"/>
        </w:rPr>
        <w:t xml:space="preserve"> </w:t>
      </w:r>
    </w:p>
    <w:p>
      <w:pPr>
        <w:pStyle w:val="Heading2"/>
      </w:pPr>
      <w:r>
        <w:rPr>
          <w:rFonts w:ascii="Arial" w:cs="Arial" w:eastAsia="Arial" w:hAnsi="Arial"/>
        </w:rPr>
        <w:t xml:space="preserve">17.2  Youden's J and Distance-to-Corner Don't Know About Real-World Error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40"/>
              <w:left w:type="dxa" w:w="180"/>
              <w:bottom w:type="dxa" w:w="140"/>
              <w:right w:type="dxa" w:w="180"/>
            </w:tcMar>
          </w:tcPr>
          <w:p>
            <w:pPr>
              <w:spacing w:after="60"/>
            </w:pPr>
            <w:r>
              <w:rPr>
                <w:rFonts w:ascii="Arial" w:cs="Arial" w:eastAsia="Arial" w:hAnsi="Arial"/>
                <w:b/>
                <w:bCs/>
                <w:color w:val="C2410C"/>
                <w:sz w:val="20"/>
                <w:szCs w:val="20"/>
              </w:rPr>
              <w:t xml:space="preserve">⚠️  Section 7's two methods both implicitly treat a false positive and a false negative as equally costly.  </w:t>
            </w:r>
            <w:r>
              <w:rPr>
                <w:rFonts w:ascii="Arial" w:cs="Arial" w:eastAsia="Arial" w:hAnsi="Arial"/>
                <w:color w:val="1F2937"/>
                <w:sz w:val="20"/>
                <w:szCs w:val="20"/>
              </w:rPr>
              <w:t xml:space="preserve">Youden's J (TPR−FPR) and distance-to-corner both find the threshold that's mathematically "best" under an assumption of symmetric error cost — which is rarely true in practice (medical screening, fraud detection, and churn prediction all have asymmetric costs, same theme as ML-8's 0.5-threshold note). Using either formula as a drop-in replacement for an actual cost-weighted threshold search (e.g. directly optimizing expected cost = cost_FN×FN + cost_FP×FP) is a common shortcut that produces a threshold that's elegant on the ROC curve but wrong for the business problem.</w:t>
            </w:r>
          </w:p>
        </w:tc>
      </w:tr>
    </w:tbl>
    <w:p>
      <w:r>
        <w:rPr>
          <w:rFonts w:ascii="Arial" w:cs="Arial" w:eastAsia="Arial" w:hAnsi="Arial"/>
          <w:sz w:val="24"/>
          <w:szCs w:val="24"/>
        </w:rPr>
        <w:t xml:space="preserve"> </w:t>
      </w:r>
    </w:p>
    <w:p>
      <w:pPr>
        <w:pStyle w:val="Heading2"/>
      </w:pPr>
      <w:r>
        <w:rPr>
          <w:rFonts w:ascii="Arial" w:cs="Arial" w:eastAsia="Arial" w:hAnsi="Arial"/>
        </w:rPr>
        <w:t xml:space="preserve">17.3  K-Fold CV Assumes Rows Are Independent — Violating This Silently Inflates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40"/>
              <w:left w:type="dxa" w:w="180"/>
              <w:bottom w:type="dxa" w:w="140"/>
              <w:right w:type="dxa" w:w="180"/>
            </w:tcMar>
          </w:tcPr>
          <w:p>
            <w:pPr>
              <w:spacing w:after="60"/>
            </w:pPr>
            <w:r>
              <w:rPr>
                <w:rFonts w:ascii="Arial" w:cs="Arial" w:eastAsia="Arial" w:hAnsi="Arial"/>
                <w:b/>
                <w:bCs/>
                <w:color w:val="B91C1C"/>
                <w:sz w:val="20"/>
                <w:szCs w:val="20"/>
              </w:rPr>
              <w:t xml:space="preserve">🚨  Section 9's fold mechanics work cleanly on i.i.d. rows — most real datasets aren't i.i.d.  </w:t>
            </w:r>
            <w:r>
              <w:rPr>
                <w:rFonts w:ascii="Arial" w:cs="Arial" w:eastAsia="Arial" w:hAnsi="Arial"/>
                <w:color w:val="1F2937"/>
                <w:sz w:val="20"/>
                <w:szCs w:val="20"/>
              </w:rPr>
              <w:t xml:space="preserve">If multiple rows come from the same underlying entity (repeated measurements from the same patient, multiple transactions from the same customer, time-ordered events), plain K-Fold can place highly correlated rows from the same entity into both train and validation within a fold — leaking information and producing an optimistic CV score that won't hold up on genuinely new entities. The fix is GroupKFold (split by entity, not by row) or, for time-series data, a time-respecting split (TimeSeriesSplit) instead of random folds. This is one of the most common reasons a CV score looks great in development and the model still underperforms after deployment.</w:t>
            </w:r>
          </w:p>
        </w:tc>
      </w:tr>
    </w:tbl>
    <w:p>
      <w:r>
        <w:rPr>
          <w:rFonts w:ascii="Arial" w:cs="Arial" w:eastAsia="Arial" w:hAnsi="Arial"/>
          <w:sz w:val="24"/>
          <w:szCs w:val="24"/>
        </w:rPr>
        <w:t xml:space="preserve"> </w:t>
      </w:r>
    </w:p>
    <w:p>
      <w:pPr>
        <w:pStyle w:val="Heading2"/>
      </w:pPr>
      <w:r>
        <w:rPr>
          <w:rFonts w:ascii="Arial" w:cs="Arial" w:eastAsia="Arial" w:hAnsi="Arial"/>
        </w:rPr>
        <w:t xml:space="preserve">17.4  Comparing Two Hyperparameter Settings by Averaged CV Score Alone Ignores Variance Across 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40"/>
              <w:left w:type="dxa" w:w="180"/>
              <w:bottom w:type="dxa" w:w="140"/>
              <w:right w:type="dxa" w:w="180"/>
            </w:tcMar>
          </w:tcPr>
          <w:p>
            <w:pPr>
              <w:spacing w:after="60"/>
            </w:pPr>
            <w:r>
              <w:rPr>
                <w:rFonts w:ascii="Arial" w:cs="Arial" w:eastAsia="Arial" w:hAnsi="Arial"/>
                <w:b/>
                <w:bCs/>
                <w:color w:val="C2410C"/>
                <w:sz w:val="20"/>
                <w:szCs w:val="20"/>
              </w:rPr>
              <w:t xml:space="preserve">⚠️  Section 10's averaging step (96/84/90/80/80 → one number) can mask a setting that's unstable.  </w:t>
            </w:r>
            <w:r>
              <w:rPr>
                <w:rFonts w:ascii="Arial" w:cs="Arial" w:eastAsia="Arial" w:hAnsi="Arial"/>
                <w:color w:val="1F2937"/>
                <w:sz w:val="20"/>
                <w:szCs w:val="20"/>
              </w:rPr>
              <w:t xml:space="preserve">Two hyperparameter settings can have the same average CV score while one has much higher variance across folds (e.g. 96/96/96/64/68 vs 84/86/84/82/84) — the second is far more trustworthy even at an identical average, because it's not relying on a couple of lucky folds to hit that average. Comparing only the mean, without also looking at the standard deviation across folds, is a common way to pick the more fragile of two equally-scoring models.</w:t>
            </w:r>
          </w:p>
        </w:tc>
      </w:tr>
    </w:tbl>
    <w:p>
      <w:r>
        <w:rPr>
          <w:rFonts w:ascii="Arial" w:cs="Arial" w:eastAsia="Arial" w:hAnsi="Arial"/>
          <w:sz w:val="24"/>
          <w:szCs w:val="24"/>
        </w:rPr>
        <w:t xml:space="preserve"> </w:t>
      </w:r>
    </w:p>
    <w:p>
      <w:pPr>
        <w:pStyle w:val="Heading2"/>
      </w:pPr>
      <w:r>
        <w:rPr>
          <w:rFonts w:ascii="Arial" w:cs="Arial" w:eastAsia="Arial" w:hAnsi="Arial"/>
        </w:rPr>
        <w:t xml:space="preserve">17.5  A Pipeline/ColumnTransformer Hides Leaks Just as Easily as It Prevents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40"/>
              <w:left w:type="dxa" w:w="180"/>
              <w:bottom w:type="dxa" w:w="140"/>
              <w:right w:type="dxa" w:w="180"/>
            </w:tcMar>
          </w:tcPr>
          <w:p>
            <w:pPr>
              <w:spacing w:after="60"/>
            </w:pPr>
            <w:r>
              <w:rPr>
                <w:rFonts w:ascii="Arial" w:cs="Arial" w:eastAsia="Arial" w:hAnsi="Arial"/>
                <w:b/>
                <w:bCs/>
                <w:color w:val="B91C1C"/>
                <w:sz w:val="20"/>
                <w:szCs w:val="20"/>
              </w:rPr>
              <w:t xml:space="preserve">⚠️  Section 1's sequential-vs-parallel framing is correct, but wrapping everything in a Pipeline isn't an automatic leak guarantee.  </w:t>
            </w:r>
            <w:r>
              <w:rPr>
                <w:rFonts w:ascii="Arial" w:cs="Arial" w:eastAsia="Arial" w:hAnsi="Arial"/>
                <w:color w:val="1F2937"/>
                <w:sz w:val="20"/>
                <w:szCs w:val="20"/>
              </w:rPr>
              <w:t xml:space="preserve">A Pipeline correctly enforces fit-on-train/transform-on-test discipline for the steps inside it — but it does nothing to prevent leakage that happens before the data ever reaches the Pipeline (e.g. computing a global feature like "average purchase amount across the whole dataset" during feature engineering, before the train/test split). Teams sometimes treat "I used a Pipeline" as proof a model is leak-free, when the Pipeline only protects the steps it actually contains — always check what happened to the data upstream of the Pipeline's first step.</w:t>
            </w:r>
          </w:p>
        </w:tc>
      </w:tr>
    </w:tbl>
    <w:p>
      <w:r>
        <w:rPr>
          <w:rFonts w:ascii="Arial" w:cs="Arial" w:eastAsia="Arial" w:hAnsi="Arial"/>
          <w:sz w:val="24"/>
          <w:szCs w:val="24"/>
        </w:rPr>
        <w:t xml:space="preserve"> </w:t>
      </w:r>
    </w:p>
    <w:p>
      <w:pPr>
        <w:pStyle w:val="Heading2"/>
      </w:pPr>
      <w:r>
        <w:rPr>
          <w:rFonts w:ascii="Arial" w:cs="Arial" w:eastAsia="Arial" w:hAnsi="Arial"/>
        </w:rPr>
        <w:t xml:space="preserve">17.6  Quick-Glance Production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Before trusting an AUC/ROC result or a CV-based decision, check:</w:t>
            </w:r>
          </w:p>
        </w:tc>
        <w:tc>
          <w:tcPr>
            <w:tcW w:type="dxa" w:w="4560"/>
            <w:tcBorders>
              <w:top w:val="none" w:color="FFFFFF" w:sz="0"/>
              <w:left w:val="none" w:color="FFFFFF" w:sz="0"/>
              <w:bottom w:val="none" w:color="FFFFFF" w:sz="0"/>
              <w:right w:val="none" w:color="FFFFFF" w:sz="0"/>
            </w:tcBorders>
            <w:shd w:fill="0D1F3C" w:val="clear"/>
            <w:tcMar>
              <w:top w:type="dxa" w:w="100"/>
              <w:left w:type="dxa" w:w="120"/>
              <w:bottom w:type="dxa" w:w="100"/>
              <w:right w:type="dxa" w:w="120"/>
            </w:tcMar>
            <w:vAlign w:val="center"/>
          </w:tcPr>
          <w:p>
            <w:r>
              <w:rPr>
                <w:rFonts w:ascii="Arial" w:cs="Arial" w:eastAsia="Arial" w:hAnsi="Arial"/>
                <w:b/>
                <w:bCs/>
                <w:color w:val="FFFFFF"/>
                <w:sz w:val="19"/>
                <w:szCs w:val="19"/>
              </w:rPr>
              <w:t xml:space="preserve">Why</w:t>
            </w:r>
          </w:p>
        </w:tc>
      </w:tr>
      <w:tr>
        <w:tc>
          <w:tcPr>
            <w:tcW w:type="dxa" w:w="48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Has the ROC curve been inspected near the actual deployment threshold, not just the AUC summary?</w:t>
            </w:r>
          </w:p>
        </w:tc>
        <w:tc>
          <w:tcPr>
            <w:tcW w:type="dxa" w:w="45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AUC averages across all thresholds; deployment uses exactly one</w:t>
            </w:r>
          </w:p>
        </w:tc>
      </w:tr>
      <w:tr>
        <w:tc>
          <w:tcPr>
            <w:tcW w:type="dxa" w:w="48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Was the chosen threshold validated against real error costs, not just Youden's J or distance-to-corner?</w:t>
            </w:r>
          </w:p>
        </w:tc>
        <w:tc>
          <w:tcPr>
            <w:tcW w:type="dxa" w:w="45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Both formulas assume symmetric FP/FN cost, which is rarely true in practice</w:t>
            </w:r>
          </w:p>
        </w:tc>
      </w:tr>
      <w:tr>
        <w:tc>
          <w:tcPr>
            <w:tcW w:type="dxa" w:w="48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Are rows in the dataset truly independent, or do some share an entity/time order?</w:t>
            </w:r>
          </w:p>
        </w:tc>
        <w:tc>
          <w:tcPr>
            <w:tcW w:type="dxa" w:w="45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Plain K-Fold leaks information across folds when rows aren't i.i.d. — use GroupKFold or TimeSeriesSplit instead</w:t>
            </w:r>
          </w:p>
        </w:tc>
      </w:tr>
      <w:tr>
        <w:tc>
          <w:tcPr>
            <w:tcW w:type="dxa" w:w="480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bCs/>
                <w:color w:val="1F2937"/>
                <w:sz w:val="19"/>
                <w:szCs w:val="19"/>
              </w:rPr>
              <w:t xml:space="preserve">Has the standard deviation across CV folds been checked, not just the mean?</w:t>
            </w:r>
          </w:p>
        </w:tc>
        <w:tc>
          <w:tcPr>
            <w:tcW w:type="dxa" w:w="4560"/>
            <w:tcBorders>
              <w:top w:val="none" w:color="FFFFFF" w:sz="0"/>
              <w:left w:val="none" w:color="FFFFFF" w:sz="0"/>
              <w:bottom w:val="none" w:color="FFFFFF" w:sz="0"/>
              <w:right w:val="none" w:color="FFFFFF" w:sz="0"/>
            </w:tcBorders>
            <w:shd w:fill="F8FAFC" w:val="clear"/>
            <w:tcMar>
              <w:top w:type="dxa" w:w="90"/>
              <w:left w:type="dxa" w:w="120"/>
              <w:bottom w:type="dxa" w:w="90"/>
              <w:right w:type="dxa" w:w="120"/>
            </w:tcMar>
          </w:tcPr>
          <w:p>
            <w:r>
              <w:rPr>
                <w:rFonts w:ascii="Arial" w:cs="Arial" w:eastAsia="Arial" w:hAnsi="Arial"/>
                <w:b w:val="false"/>
                <w:bCs w:val="false"/>
                <w:color w:val="1F2937"/>
                <w:sz w:val="19"/>
                <w:szCs w:val="19"/>
              </w:rPr>
              <w:t xml:space="preserve">Two settings can tie on average while one is far less stable across folds</w:t>
            </w:r>
          </w:p>
        </w:tc>
      </w:tr>
      <w:tr>
        <w:tc>
          <w:tcPr>
            <w:tcW w:type="dxa" w:w="480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bCs/>
                <w:color w:val="1F2937"/>
                <w:sz w:val="19"/>
                <w:szCs w:val="19"/>
              </w:rPr>
              <w:t xml:space="preserve">Has data leakage been checked upstream of the Pipeline's first step, not just inside it?</w:t>
            </w:r>
          </w:p>
        </w:tc>
        <w:tc>
          <w:tcPr>
            <w:tcW w:type="dxa" w:w="4560"/>
            <w:tcBorders>
              <w:top w:val="none" w:color="FFFFFF" w:sz="0"/>
              <w:left w:val="none" w:color="FFFFFF" w:sz="0"/>
              <w:bottom w:val="none" w:color="FFFFFF" w:sz="0"/>
              <w:right w:val="none" w:color="FFFFFF" w:sz="0"/>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 Pipeline only protects the steps it contains — feature engineering done before the split can still leak</w:t>
            </w:r>
          </w:p>
        </w:tc>
      </w:tr>
    </w:tbl>
    <w:p>
      <w:r>
        <w:rPr>
          <w:rFonts w:ascii="Arial" w:cs="Arial" w:eastAsia="Arial" w:hAnsi="Arial"/>
          <w:sz w:val="36"/>
          <w:szCs w:val="36"/>
        </w:rPr>
        <w:t xml:space="preserve"> </w:t>
      </w:r>
    </w:p>
    <w:p>
      <w:pPr>
        <w:pBdr>
          <w:top w:val="single" w:color="2E75B6" w:sz="6" w:space="4"/>
        </w:pBdr>
        <w:spacing w:after="120" w:before="0"/>
      </w:pPr>
      <w:r>
        <w:rPr>
          <w:rFonts w:ascii="Arial" w:cs="Arial" w:eastAsia="Arial" w:hAnsi="Arial"/>
        </w:rPr>
        <w:t xml:space="preserve"> </w:t>
      </w:r>
    </w:p>
    <w:p>
      <w:pPr>
        <w:jc w:val="center"/>
      </w:pPr>
      <w:r>
        <w:rPr>
          <w:rFonts w:ascii="Arial" w:cs="Arial" w:eastAsia="Arial" w:hAnsi="Arial"/>
          <w:i/>
          <w:iCs/>
          <w:color w:val="94A3B8"/>
          <w:sz w:val="18"/>
          <w:szCs w:val="18"/>
        </w:rPr>
        <w:t xml:space="preserve">Date: 21 June 2026  |  ML-10: Pipeline/ColumnTransformer Design, ROC Curve, AUC, Cross-Validation, Senior Engineer Notes  |  End of Notes</w:t>
      </w:r>
    </w:p>
    <w:sectPr>
      <w:pgSz w:w="12240" w:h="15840" w:orient="portrait"/>
      <w:pgMar w:top="72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A3560"/>
      <w:sz w:val="30"/>
      <w:szCs w:val="30"/>
    </w:rPr>
  </w:style>
  <w:style w:type="paragraph" w:styleId="Heading2">
    <w:name w:val="Heading 2"/>
    <w:basedOn w:val="Normal"/>
    <w:next w:val="Normal"/>
    <w:qFormat/>
    <w:pPr>
      <w:spacing w:after="120" w:before="160"/>
      <w:outlineLvl w:val="1"/>
    </w:pPr>
    <w:rPr>
      <w:rFonts w:ascii="Arial" w:cs="Arial" w:eastAsia="Arial" w:hAnsi="Arial"/>
      <w:b/>
      <w:bCs/>
      <w:color w:val="2563E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2026-06-28T07:37:17.676Z</dcterms:created>
  <dcterms:modified xsi:type="dcterms:W3CDTF">2026-06-28T07:37:17.676Z</dcterms:modified>
</cp:coreProperties>
</file>

<file path=docProps/custom.xml><?xml version="1.0" encoding="utf-8"?>
<Properties xmlns="http://schemas.openxmlformats.org/officeDocument/2006/custom-properties" xmlns:vt="http://schemas.openxmlformats.org/officeDocument/2006/docPropsVTypes"/>
</file>