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200"/>
              <w:left w:type="dxa" w:w="300"/>
              <w:bottom w:type="dxa" w:w="200"/>
              <w:right w:type="dxa" w:w="300"/>
            </w:tcMar>
          </w:tcPr>
          <w:p>
            <w:pPr>
              <w:spacing w:after="60"/>
            </w:pPr>
            <w:r>
              <w:rPr>
                <w:rFonts w:ascii="Arial" w:cs="Arial" w:eastAsia="Arial" w:hAnsi="Arial"/>
                <w:b/>
                <w:bCs/>
                <w:color w:val="FFFFFF"/>
                <w:sz w:val="44"/>
                <w:szCs w:val="44"/>
              </w:rPr>
              <w:t xml:space="preserve">ML-21</w:t>
            </w:r>
          </w:p>
          <w:p>
            <w:pPr>
              <w:spacing w:after="100"/>
            </w:pPr>
            <w:r>
              <w:rPr>
                <w:rFonts w:ascii="Arial" w:cs="Arial" w:eastAsia="Arial" w:hAnsi="Arial"/>
                <w:b/>
                <w:bCs/>
                <w:color w:val="FFFFFF"/>
                <w:sz w:val="30"/>
                <w:szCs w:val="30"/>
              </w:rPr>
              <w:t xml:space="preserve">Gradient Boosting &amp; XGBoost — Classification</w:t>
            </w:r>
          </w:p>
          <w:p>
            <w:r>
              <w:rPr>
                <w:rFonts w:ascii="Arial" w:cs="Arial" w:eastAsia="Arial" w:hAnsi="Arial"/>
                <w:color w:val="CBD5E1"/>
                <w:sz w:val="21"/>
                <w:szCs w:val="21"/>
              </w:rPr>
              <w:t xml:space="preserve">19 July 2026</w:t>
            </w:r>
          </w:p>
        </w:tc>
      </w:tr>
    </w:tbl>
    <w:p>
      <w:pPr>
        <w:spacing w:after="15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gridCol w:w="2090"/>
      </w:tblGrid>
      <w:tr>
        <w:tc>
          <w:tcPr>
            <w:tcW w:type="dxa" w:w="2090"/>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2563EB"/>
                <w:sz w:val="16"/>
                <w:szCs w:val="16"/>
              </w:rPr>
              <w:t xml:space="preserve">Log-Odds &amp; Sigmoid</w:t>
            </w:r>
          </w:p>
        </w:tc>
        <w:tc>
          <w:tcPr>
            <w:tcW w:type="dxa" w:w="2090"/>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6D28D9"/>
                <w:sz w:val="16"/>
                <w:szCs w:val="16"/>
              </w:rPr>
              <w:t xml:space="preserve">GB Classifier Math</w:t>
            </w:r>
          </w:p>
        </w:tc>
        <w:tc>
          <w:tcPr>
            <w:tcW w:type="dxa" w:w="2090"/>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0F766E"/>
                <w:sz w:val="16"/>
                <w:szCs w:val="16"/>
              </w:rPr>
              <w:t xml:space="preserve">XGBoost Classifier Math</w:t>
            </w:r>
          </w:p>
        </w:tc>
        <w:tc>
          <w:tcPr>
            <w:tcW w:type="dxa" w:w="2090"/>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C2410C"/>
                <w:sz w:val="16"/>
                <w:szCs w:val="16"/>
              </w:rPr>
              <w:t xml:space="preserve">Classifier Practicals</w:t>
            </w:r>
          </w:p>
        </w:tc>
        <w:tc>
          <w:tcPr>
            <w:tcW w:type="dxa" w:w="2090"/>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15803D"/>
                <w:sz w:val="16"/>
                <w:szCs w:val="16"/>
              </w:rPr>
              <w:t xml:space="preserve">What's Next</w:t>
            </w:r>
          </w:p>
        </w:tc>
      </w:tr>
    </w:tbl>
    <w:p>
      <w:pPr>
        <w:spacing w:after="100" w:before="200"/>
      </w:pPr>
      <w:r>
        <w:rPr>
          <w:rFonts w:ascii="Arial" w:cs="Arial" w:eastAsia="Arial" w:hAnsi="Arial"/>
          <w:b/>
          <w:bCs/>
          <w:color w:val="1A3560"/>
          <w:sz w:val="25"/>
          <w:szCs w:val="25"/>
        </w:rPr>
        <w:t xml:space="preserve">Agenda</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700"/>
        <w:gridCol w:w="9750"/>
      </w:tblGrid>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1</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From Regression to Classification — Log-Odds as F0</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2</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Worked Example — Gradient Boosting Classifier by Hand</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3</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XGBoost Classifier — Regularized Gain &amp; Leaf Weights</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4</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GB vs XGBoost — Comparing the Two Update Paths</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5</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Practical — DT, RF &amp; XGBoost Classifier on Iris</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6</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What's Next — FastAPI Deployment &amp; Docker Recap</w:t>
            </w:r>
          </w:p>
        </w:tc>
      </w:tr>
    </w:tbl>
    <w:p>
      <w:pPr>
        <w:pBdr>
          <w:bottom w:val="single" w:color="1A3560" w:sz="6"/>
        </w:pBdr>
        <w:spacing w:after="150" w:before="300"/>
      </w:pPr>
      <w:r>
        <w:rPr>
          <w:rFonts w:ascii="Arial" w:cs="Arial" w:eastAsia="Arial" w:hAnsi="Arial"/>
          <w:b/>
          <w:bCs/>
          <w:color w:val="1A3560"/>
          <w:sz w:val="25"/>
          <w:szCs w:val="25"/>
        </w:rPr>
        <w:t xml:space="preserve">1. From Regression to Classification — Log-Odds as F0</w:t>
      </w:r>
    </w:p>
    <w:p>
      <w:pPr>
        <w:spacing w:after="120"/>
      </w:pPr>
      <w:r>
        <w:rPr>
          <w:rFonts w:ascii="Arial" w:cs="Arial" w:eastAsia="Arial" w:hAnsi="Arial"/>
          <w:color w:val="1F2937"/>
          <w:sz w:val="21"/>
          <w:szCs w:val="21"/>
        </w:rPr>
        <w:t xml:space="preserve">Regression boosting fits residuals directly off a squared-error loss. Classification boosting keeps the same sequential-stump machinery, but swaps in a different loss and a different starting point.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4850"/>
      </w:tblGrid>
      <w:tr>
        <w:trPr>
          <w:tblHeader/>
        </w:trPr>
        <w:tc>
          <w:tcPr>
            <w:tcW w:type="dxa" w:w="18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38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Regression</w:t>
            </w:r>
          </w:p>
        </w:tc>
        <w:tc>
          <w:tcPr>
            <w:tcW w:type="dxa" w:w="48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Classification</w:t>
            </w:r>
          </w:p>
        </w:tc>
      </w:tr>
      <w:tr>
        <w:tc>
          <w:tcPr>
            <w:tcW w:type="dxa" w:w="18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Loss</w:t>
            </w:r>
          </w:p>
        </w:tc>
        <w:tc>
          <w:tcPr>
            <w:tcW w:type="dxa" w:w="38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ℓ = ½(y − ŷ)²</w:t>
            </w:r>
          </w:p>
        </w:tc>
        <w:tc>
          <w:tcPr>
            <w:tcW w:type="dxa" w:w="48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logistic loss: ℓ = y·log(p) + (1−y)·log(1−p)</w:t>
            </w:r>
          </w:p>
        </w:tc>
      </w:tr>
      <w:tr>
        <w:tc>
          <w:tcPr>
            <w:tcW w:type="dxa" w:w="18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Gradient</w:t>
            </w:r>
          </w:p>
        </w:tc>
        <w:tc>
          <w:tcPr>
            <w:tcW w:type="dxa" w:w="38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g = ŷ − y</w:t>
            </w:r>
          </w:p>
        </w:tc>
        <w:tc>
          <w:tcPr>
            <w:tcW w:type="dxa" w:w="48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g = p − y   (p = σ(F), the sigmoid of the raw score)</w:t>
            </w:r>
          </w:p>
        </w:tc>
      </w:tr>
      <w:tr>
        <w:tc>
          <w:tcPr>
            <w:tcW w:type="dxa" w:w="18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F0 (initial model)</w:t>
            </w:r>
          </w:p>
        </w:tc>
        <w:tc>
          <w:tcPr>
            <w:tcW w:type="dxa" w:w="38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mean(y)</w:t>
            </w:r>
          </w:p>
        </w:tc>
        <w:tc>
          <w:tcPr>
            <w:tcW w:type="dxa" w:w="48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log-odds:  F0 = log( p̂ / (1−p̂) )</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2563EB" w:sz="4"/>
              <w:left w:val="single" w:color="2563EB" w:sz="24"/>
              <w:bottom w:val="single" w:color="2563EB" w:sz="4"/>
              <w:right w:val="single" w:color="2563EB" w:sz="4"/>
            </w:tcBorders>
            <w:shd w:fill="DBEA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Trees never output a probability directly</w:t>
            </w:r>
          </w:p>
          <w:p>
            <w:pPr>
              <w:spacing w:after="60"/>
            </w:pPr>
            <w:r>
              <w:rPr>
                <w:rFonts w:ascii="Arial" w:cs="Arial" w:eastAsia="Arial" w:hAnsi="Arial"/>
                <w:color w:val="1F2937"/>
                <w:sz w:val="21"/>
                <w:szCs w:val="21"/>
              </w:rPr>
              <w:t xml:space="preserve">Every stump in the ensemble outputs a raw number (a logit), not a probability. Logistic regression gets probabilities by applying linear regression + sigmoid; gradient-boosted trees get there the same way — sum the raw tree outputs into F(x), then apply σ(F) at the very end to convert to a probability. Skipping that final sigmoid step and reading the raw tree sum as "the probability" is a common source of confusion.</w:t>
            </w:r>
          </w:p>
        </w:tc>
      </w:tr>
    </w:tbl>
    <w:p>
      <w:pPr>
        <w:pBdr>
          <w:bottom w:val="single" w:color="1A3560" w:sz="6"/>
        </w:pBdr>
        <w:spacing w:after="150" w:before="300"/>
      </w:pPr>
      <w:r>
        <w:rPr>
          <w:rFonts w:ascii="Arial" w:cs="Arial" w:eastAsia="Arial" w:hAnsi="Arial"/>
          <w:b/>
          <w:bCs/>
          <w:color w:val="1A3560"/>
          <w:sz w:val="25"/>
          <w:szCs w:val="25"/>
        </w:rPr>
        <w:t xml:space="preserve">2. Worked Example — Gradient Boosting Classifier by Hand</w:t>
      </w:r>
    </w:p>
    <w:p>
      <w:pPr>
        <w:spacing w:after="120"/>
      </w:pPr>
      <w:r>
        <w:rPr>
          <w:rFonts w:ascii="Arial" w:cs="Arial" w:eastAsia="Arial" w:hAnsi="Arial"/>
          <w:color w:val="1F2937"/>
          <w:sz w:val="21"/>
          <w:szCs w:val="21"/>
        </w:rPr>
        <w:t xml:space="preserve">Same 5-row toy dataset as ML-20, now with a binary label: price ≥ 170 → 1, else 0.</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gridCol w:w="2090"/>
      </w:tblGrid>
      <w:tr>
        <w:trPr>
          <w:tblHeader/>
        </w:trPr>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ID</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Size</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Beds</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Price</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Label (y)</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800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900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130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1000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150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1100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170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1200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200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r>
    </w:tbl>
    <w:p>
      <w:pPr>
        <w:spacing w:after="120"/>
      </w:pPr>
    </w:p>
    <w:p>
      <w:pPr>
        <w:spacing w:after="100" w:before="200"/>
      </w:pPr>
      <w:r>
        <w:rPr>
          <w:rFonts w:ascii="Arial" w:cs="Arial" w:eastAsia="Arial" w:hAnsi="Arial"/>
          <w:b/>
          <w:bCs/>
          <w:color w:val="1A3560"/>
          <w:sz w:val="22"/>
          <w:szCs w:val="22"/>
        </w:rPr>
        <w:t xml:space="preserve">Step 1–3 — Initial model F0 and P0</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Step 1: positive fraction  p̂ = (# positive labels) / (total) = 2/5 = 0.4</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Step 2: log-odds initial prediction</w:t>
            </w:r>
          </w:p>
          <w:p>
            <w:pPr>
              <w:spacing w:after="0"/>
            </w:pPr>
            <w:r>
              <w:rPr>
                <w:rFonts w:ascii="Courier New" w:cs="Courier New" w:eastAsia="Courier New" w:hAnsi="Courier New"/>
                <w:color w:val="1F2937"/>
                <w:sz w:val="20"/>
                <w:szCs w:val="20"/>
              </w:rPr>
              <w:t xml:space="preserve">        F0 = log( p̂ / (1−p̂) ) = log(0.4 / 0.6) ≈ -0.4054</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Step 3: initial probability for every row</w:t>
            </w:r>
          </w:p>
          <w:p>
            <w:pPr>
              <w:spacing w:after="0"/>
            </w:pPr>
            <w:r>
              <w:rPr>
                <w:rFonts w:ascii="Courier New" w:cs="Courier New" w:eastAsia="Courier New" w:hAnsi="Courier New"/>
                <w:color w:val="1F2937"/>
                <w:sz w:val="20"/>
                <w:szCs w:val="20"/>
              </w:rPr>
              <w:t xml:space="preserve">        P0 = σ(F0) = 0.4      (same for all 5 rows — F0 is a constant)</w:t>
            </w:r>
          </w:p>
        </w:tc>
      </w:tr>
    </w:tbl>
    <w:p>
      <w:pPr>
        <w:spacing w:after="100" w:before="200"/>
      </w:pPr>
      <w:r>
        <w:rPr>
          <w:rFonts w:ascii="Arial" w:cs="Arial" w:eastAsia="Arial" w:hAnsi="Arial"/>
          <w:b/>
          <w:bCs/>
          <w:color w:val="1A3560"/>
          <w:sz w:val="22"/>
          <w:szCs w:val="22"/>
        </w:rPr>
        <w:t xml:space="preserve">Step 4 — Gradient &amp; Hessian for every row</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g = P0 − y            h = P0 × (1 − P0) = 0.4 × 0.6 = 0.24   (same for every row)</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gridCol w:w="2090"/>
      </w:tblGrid>
      <w:tr>
        <w:trPr>
          <w:tblHeader/>
        </w:trPr>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ID</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Label (y)</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P0</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g = P0−y</w:t>
            </w:r>
          </w:p>
        </w:tc>
        <w:tc>
          <w:tcPr>
            <w:tcW w:type="dxa" w:w="209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h</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r>
      <w:tr>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w:t>
            </w:r>
          </w:p>
        </w:tc>
        <w:tc>
          <w:tcPr>
            <w:tcW w:type="dxa" w:w="209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r>
      <w:tr>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w:t>
            </w:r>
          </w:p>
        </w:tc>
        <w:tc>
          <w:tcPr>
            <w:tcW w:type="dxa" w:w="209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r>
    </w:tbl>
    <w:p>
      <w:pPr>
        <w:spacing w:after="120"/>
      </w:pPr>
    </w:p>
    <w:p>
      <w:pPr>
        <w:spacing w:after="100" w:before="200"/>
      </w:pPr>
      <w:r>
        <w:rPr>
          <w:rFonts w:ascii="Arial" w:cs="Arial" w:eastAsia="Arial" w:hAnsi="Arial"/>
          <w:b/>
          <w:bCs/>
          <w:color w:val="1A3560"/>
          <w:sz w:val="22"/>
          <w:szCs w:val="22"/>
        </w:rPr>
        <w:t xml:space="preserve">Step 5 — Stump creation (GB, λ = 0)</w:t>
      </w:r>
    </w:p>
    <w:p>
      <w:pPr>
        <w:spacing w:after="120"/>
      </w:pPr>
      <w:r>
        <w:rPr>
          <w:rFonts w:ascii="Arial" w:cs="Arial" w:eastAsia="Arial" w:hAnsi="Arial"/>
          <w:color w:val="1F2937"/>
          <w:sz w:val="21"/>
          <w:szCs w:val="21"/>
        </w:rPr>
        <w:t xml:space="preserve">Midpoint candidates: Size → 850, 950, 1050, 1150; Price → 125, 140, 160, 185; Beds → 2.5, 3.5. Suppose Size &lt; 1050 comes out as the best split, giving left = [1,2,3] and right = [4,5].</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G_L = Σ g_i (left)  = 0.4 + 0.4 + 0.4 = 1.2        H_L = 0.24 × 3 = 0.72</w:t>
            </w:r>
          </w:p>
          <w:p>
            <w:pPr>
              <w:spacing w:after="0"/>
            </w:pPr>
            <w:r>
              <w:rPr>
                <w:rFonts w:ascii="Courier New" w:cs="Courier New" w:eastAsia="Courier New" w:hAnsi="Courier New"/>
                <w:color w:val="1F2937"/>
                <w:sz w:val="20"/>
                <w:szCs w:val="20"/>
              </w:rPr>
              <w:t xml:space="preserve">G_R = Σ g_i (right) = −0.6 + −0.6 = −1.2       H_R = 0.24 × 2 = 0.48</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G_P = G_L + G_R = 1.2 + (−1.2) = 0</w:t>
            </w:r>
          </w:p>
          <w:p>
            <w:pPr>
              <w:spacing w:after="0"/>
            </w:pPr>
            <w:r>
              <w:rPr>
                <w:rFonts w:ascii="Courier New" w:cs="Courier New" w:eastAsia="Courier New" w:hAnsi="Courier New"/>
                <w:color w:val="1F2937"/>
                <w:sz w:val="20"/>
                <w:szCs w:val="20"/>
              </w:rPr>
              <w:t xml:space="preserve">H_P = H_L + H_R = 0.72 + 0.48 = 1.2</w:t>
            </w:r>
          </w:p>
        </w:tc>
      </w:tr>
    </w:tbl>
    <w:p>
      <w:pPr>
        <w:spacing w:after="100" w:before="200"/>
      </w:pPr>
      <w:r>
        <w:rPr>
          <w:rFonts w:ascii="Arial" w:cs="Arial" w:eastAsia="Arial" w:hAnsi="Arial"/>
          <w:b/>
          <w:bCs/>
          <w:color w:val="1A3560"/>
          <w:sz w:val="22"/>
          <w:szCs w:val="22"/>
        </w:rPr>
        <w:t xml:space="preserve">Gain (Gradient Boosting, λ = 0 — "pure GB")</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Gain = ½ ( G_L²/H_L + G_R²/H_R − G_P²/H_P )</w:t>
            </w:r>
          </w:p>
          <w:p>
            <w:pPr>
              <w:spacing w:after="0"/>
            </w:pPr>
            <w:r>
              <w:rPr>
                <w:rFonts w:ascii="Courier New" w:cs="Courier New" w:eastAsia="Courier New" w:hAnsi="Courier New"/>
                <w:color w:val="1F2937"/>
                <w:sz w:val="20"/>
                <w:szCs w:val="20"/>
              </w:rPr>
              <w:t xml:space="preserve">     = ½ ( 1.2²/0.72 + (−1.2)²/0.48 − 0 )</w:t>
            </w:r>
          </w:p>
          <w:p>
            <w:pPr>
              <w:spacing w:after="0"/>
            </w:pPr>
            <w:r>
              <w:rPr>
                <w:rFonts w:ascii="Courier New" w:cs="Courier New" w:eastAsia="Courier New" w:hAnsi="Courier New"/>
                <w:color w:val="1F2937"/>
                <w:sz w:val="20"/>
                <w:szCs w:val="20"/>
              </w:rPr>
              <w:t xml:space="preserve">     = ½ ( 2 + 3 )  =  5/2  =  2.5    ← suppose this is the best gain found</w:t>
            </w:r>
          </w:p>
        </w:tc>
      </w:tr>
    </w:tbl>
    <w:p>
      <w:pPr>
        <w:spacing w:after="100" w:before="200"/>
      </w:pPr>
      <w:r>
        <w:rPr>
          <w:rFonts w:ascii="Arial" w:cs="Arial" w:eastAsia="Arial" w:hAnsi="Arial"/>
          <w:b/>
          <w:bCs/>
          <w:color w:val="1A3560"/>
          <w:sz w:val="22"/>
          <w:szCs w:val="22"/>
        </w:rPr>
        <w:t xml:space="preserve">Step 6 — Leaf output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y_side = − G_side / H_side</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y_L = − G_L / H_L = −1.2 / 0.72 = −1.66     (logit for the left leaf)</w:t>
            </w:r>
          </w:p>
          <w:p>
            <w:pPr>
              <w:spacing w:after="0"/>
            </w:pPr>
            <w:r>
              <w:rPr>
                <w:rFonts w:ascii="Courier New" w:cs="Courier New" w:eastAsia="Courier New" w:hAnsi="Courier New"/>
                <w:color w:val="1F2937"/>
                <w:sz w:val="20"/>
                <w:szCs w:val="20"/>
              </w:rPr>
              <w:t xml:space="preserve">y_R = − G_R / H_R = −(−1.2) / 0.48 = 2.5     (logit for the right leaf)</w:t>
            </w:r>
          </w:p>
        </w:tc>
      </w:tr>
    </w:tbl>
    <w:p>
      <w:pPr>
        <w:spacing w:after="120"/>
      </w:pPr>
      <w:r>
        <w:rPr>
          <w:rFonts w:ascii="Arial" w:cs="Arial" w:eastAsia="Arial" w:hAnsi="Arial"/>
          <w:color w:val="1F2937"/>
          <w:sz w:val="21"/>
          <w:szCs w:val="21"/>
        </w:rPr>
        <w:t xml:space="preserve">Stump h1(x): Size &lt; 1050 → left leaf = −1.66, right leaf = 2.5 (these are logits, not probabilities).</w:t>
      </w:r>
    </w:p>
    <w:p>
      <w:pPr>
        <w:spacing w:after="100" w:before="200"/>
      </w:pPr>
      <w:r>
        <w:rPr>
          <w:rFonts w:ascii="Arial" w:cs="Arial" w:eastAsia="Arial" w:hAnsi="Arial"/>
          <w:b/>
          <w:bCs/>
          <w:color w:val="1A3560"/>
          <w:sz w:val="22"/>
          <w:szCs w:val="22"/>
        </w:rPr>
        <w:t xml:space="preserve">Inference on two new points (learning rate = 0.1)</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Input &lt;Size: 800, Beds: 2, Price: 120&gt; → falls left</w:t>
            </w:r>
          </w:p>
          <w:p>
            <w:pPr>
              <w:spacing w:after="0"/>
            </w:pPr>
            <w:r>
              <w:rPr>
                <w:rFonts w:ascii="Courier New" w:cs="Courier New" w:eastAsia="Courier New" w:hAnsi="Courier New"/>
                <w:color w:val="1F2937"/>
                <w:sz w:val="20"/>
                <w:szCs w:val="20"/>
              </w:rPr>
              <w:t xml:space="preserve">  F(x) = F0 + η · h1(x) = −0.4054 + 0.1 × (−1.66) ≈ −0.5721</w:t>
            </w:r>
          </w:p>
          <w:p>
            <w:pPr>
              <w:spacing w:after="0"/>
            </w:pPr>
            <w:r>
              <w:rPr>
                <w:rFonts w:ascii="Courier New" w:cs="Courier New" w:eastAsia="Courier New" w:hAnsi="Courier New"/>
                <w:color w:val="1F2937"/>
                <w:sz w:val="20"/>
                <w:szCs w:val="20"/>
              </w:rPr>
              <w:t xml:space="preserve">  P_pred = σ(F(x)) = σ(−0.5721) ≈ 0.36</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Input &lt;Size: 1800, Beds: 2, Price: 120&gt; → falls right</w:t>
            </w:r>
          </w:p>
          <w:p>
            <w:pPr>
              <w:spacing w:after="0"/>
            </w:pPr>
            <w:r>
              <w:rPr>
                <w:rFonts w:ascii="Courier New" w:cs="Courier New" w:eastAsia="Courier New" w:hAnsi="Courier New"/>
                <w:color w:val="1F2937"/>
                <w:sz w:val="20"/>
                <w:szCs w:val="20"/>
              </w:rPr>
              <w:t xml:space="preserve">  F(x) = F0 + η · h1(x) = −0.4054 + 0.1 × 2.5 ≈ −0.1555</w:t>
            </w:r>
          </w:p>
          <w:p>
            <w:pPr>
              <w:spacing w:after="0"/>
            </w:pPr>
            <w:r>
              <w:rPr>
                <w:rFonts w:ascii="Courier New" w:cs="Courier New" w:eastAsia="Courier New" w:hAnsi="Courier New"/>
                <w:color w:val="1F2937"/>
                <w:sz w:val="20"/>
                <w:szCs w:val="20"/>
              </w:rPr>
              <w:t xml:space="preserve">  P_pred = σ(F(x)) = σ(−0.1555) ≈ 0.46</w:t>
            </w:r>
          </w:p>
        </w:tc>
      </w:tr>
    </w:tbl>
    <w:p>
      <w:r>
        <w:br w:type="page"/>
      </w:r>
    </w:p>
    <w:p>
      <w:pPr>
        <w:pBdr>
          <w:bottom w:val="single" w:color="1A3560" w:sz="6"/>
        </w:pBdr>
        <w:spacing w:after="150" w:before="300"/>
      </w:pPr>
      <w:r>
        <w:rPr>
          <w:rFonts w:ascii="Arial" w:cs="Arial" w:eastAsia="Arial" w:hAnsi="Arial"/>
          <w:b/>
          <w:bCs/>
          <w:color w:val="1A3560"/>
          <w:sz w:val="25"/>
          <w:szCs w:val="25"/>
        </w:rPr>
        <w:t xml:space="preserve">3. XGBoost Classifier — Regularized Gain &amp; Leaf Weights</w:t>
      </w:r>
    </w:p>
    <w:p>
      <w:pPr>
        <w:spacing w:after="120"/>
      </w:pPr>
      <w:r>
        <w:rPr>
          <w:rFonts w:ascii="Arial" w:cs="Arial" w:eastAsia="Arial" w:hAnsi="Arial"/>
          <w:color w:val="1F2937"/>
          <w:sz w:val="21"/>
          <w:szCs w:val="21"/>
        </w:rPr>
        <w:t xml:space="preserve">Same g and h as plain Gradient Boosting (they come from the loss function, not the boosting algorithm) — XGBoost's difference is the λ and γ regularization terms folded into the gain and leaf-weight formulas.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XGBoost Gain (λ, γ):</w:t>
            </w:r>
          </w:p>
          <w:p>
            <w:pPr>
              <w:spacing w:after="0"/>
            </w:pPr>
            <w:r>
              <w:rPr>
                <w:rFonts w:ascii="Courier New" w:cs="Courier New" w:eastAsia="Courier New" w:hAnsi="Courier New"/>
                <w:color w:val="1F2937"/>
                <w:sz w:val="20"/>
                <w:szCs w:val="20"/>
              </w:rPr>
              <w:t xml:space="preserve">  Gain = ½ ( G_L²/(H_L+λ) + G_R²/(H_R+λ) − G_P²/(H_P+λ) ) − γ</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With λ = 1, γ = 0:</w:t>
            </w:r>
          </w:p>
          <w:p>
            <w:pPr>
              <w:spacing w:after="0"/>
            </w:pPr>
            <w:r>
              <w:rPr>
                <w:rFonts w:ascii="Courier New" w:cs="Courier New" w:eastAsia="Courier New" w:hAnsi="Courier New"/>
                <w:color w:val="1F2937"/>
                <w:sz w:val="20"/>
                <w:szCs w:val="20"/>
              </w:rPr>
              <w:t xml:space="preserve">  Gain = ½ ( 1.44/(0.72+1) + 1.44/(0.48+1) − 0 ) − 0</w:t>
            </w:r>
          </w:p>
          <w:p>
            <w:pPr>
              <w:spacing w:after="0"/>
            </w:pPr>
            <w:r>
              <w:rPr>
                <w:rFonts w:ascii="Courier New" w:cs="Courier New" w:eastAsia="Courier New" w:hAnsi="Courier New"/>
                <w:color w:val="1F2937"/>
                <w:sz w:val="20"/>
                <w:szCs w:val="20"/>
              </w:rPr>
              <w:t xml:space="preserve">       = ½ ( 1.44/1.72 + 1.44/1.48 )</w:t>
            </w:r>
          </w:p>
          <w:p>
            <w:pPr>
              <w:spacing w:after="0"/>
            </w:pPr>
            <w:r>
              <w:rPr>
                <w:rFonts w:ascii="Courier New" w:cs="Courier New" w:eastAsia="Courier New" w:hAnsi="Courier New"/>
                <w:color w:val="1F2937"/>
                <w:sz w:val="20"/>
                <w:szCs w:val="20"/>
              </w:rPr>
              <w:t xml:space="preserve">       ≈ 0.90509</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Gain</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Gradient Boosting (λ = 0)</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2.5</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XGBoost (λ = 1)</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0.9051</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6D28D9" w:sz="4"/>
              <w:left w:val="single" w:color="6D28D9" w:sz="24"/>
              <w:bottom w:val="single" w:color="6D28D9" w:sz="4"/>
              <w:right w:val="single" w:color="6D28D9" w:sz="4"/>
            </w:tcBorders>
            <w:shd w:fill="EDE9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λ shrinks the raw gain because the denominators grow</w:t>
            </w:r>
          </w:p>
          <w:p>
            <w:pPr>
              <w:spacing w:after="60"/>
            </w:pPr>
            <w:r>
              <w:rPr>
                <w:rFonts w:ascii="Arial" w:cs="Arial" w:eastAsia="Arial" w:hAnsi="Arial"/>
                <w:color w:val="1F2937"/>
                <w:sz w:val="21"/>
                <w:szCs w:val="21"/>
              </w:rPr>
              <w:t xml:space="preserve">Adding λ to H_L and H_R in the denominator makes every term smaller, so XGBoost's reported gain for the identical split is roughly a third of plain GB's. This isn't XGBoost finding a "worse" split — it's XGBoost being deliberately more conservative about how much credit any single split gets, which is exactly what L2 regularization is supposed to do.</w:t>
            </w:r>
          </w:p>
        </w:tc>
      </w:tr>
    </w:tbl>
    <w:p>
      <w:pPr>
        <w:spacing w:after="100" w:before="200"/>
      </w:pPr>
      <w:r>
        <w:rPr>
          <w:rFonts w:ascii="Arial" w:cs="Arial" w:eastAsia="Arial" w:hAnsi="Arial"/>
          <w:b/>
          <w:bCs/>
          <w:color w:val="1A3560"/>
          <w:sz w:val="22"/>
          <w:szCs w:val="22"/>
        </w:rPr>
        <w:t xml:space="preserve">XGBoost leaf weights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ω_side = − G_side / (H_side + λ)</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ω_L = −1.2 / (0.72 + 1) = −0.69767</w:t>
            </w:r>
          </w:p>
          <w:p>
            <w:pPr>
              <w:spacing w:after="0"/>
            </w:pPr>
            <w:r>
              <w:rPr>
                <w:rFonts w:ascii="Courier New" w:cs="Courier New" w:eastAsia="Courier New" w:hAnsi="Courier New"/>
                <w:color w:val="1F2937"/>
                <w:sz w:val="20"/>
                <w:szCs w:val="20"/>
              </w:rPr>
              <w:t xml:space="preserve">ω_R = −(−1.2) / (0.48 + 1) = 0.81081</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483"/>
        <w:gridCol w:w="3483"/>
        <w:gridCol w:w="3483"/>
      </w:tblGrid>
      <w:tr>
        <w:trPr>
          <w:tblHeader/>
        </w:trPr>
        <w:tc>
          <w:tcPr>
            <w:tcW w:type="dxa" w:w="3483"/>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3483"/>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Leaf weight (L)</w:t>
            </w:r>
          </w:p>
        </w:tc>
        <w:tc>
          <w:tcPr>
            <w:tcW w:type="dxa" w:w="3483"/>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Leaf weight (R)</w:t>
            </w:r>
          </w:p>
        </w:tc>
      </w:tr>
      <w:tr>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GB (λ = 0)</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−1.66</w:t>
            </w:r>
          </w:p>
        </w:tc>
        <w:tc>
          <w:tcPr>
            <w:tcW w:type="dxa" w:w="3483"/>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2.5</w:t>
            </w:r>
          </w:p>
        </w:tc>
      </w:tr>
      <w:tr>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XGBoost (λ = 1)</w:t>
            </w:r>
          </w:p>
        </w:tc>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−0.6976</w:t>
            </w:r>
          </w:p>
        </w:tc>
        <w:tc>
          <w:tcPr>
            <w:tcW w:type="dxa" w:w="3483"/>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0.8108</w:t>
            </w:r>
          </w:p>
        </w:tc>
      </w:tr>
    </w:tbl>
    <w:p>
      <w:pPr>
        <w:spacing w:after="120"/>
      </w:pPr>
      <w:r>
        <w:rPr>
          <w:rFonts w:ascii="Arial" w:cs="Arial" w:eastAsia="Arial" w:hAnsi="Arial"/>
          <w:color w:val="1F2937"/>
          <w:sz w:val="21"/>
          <w:szCs w:val="21"/>
        </w:rPr>
        <w:t xml:space="preserve">Applying the same two inference points with the XGBoost leaf weights: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x = &lt;Size: 800&gt;  → left:   F(x) = −0.40546 + 0.1 × (−0.69767) ≈ −0.4752   → P = σ(F) ≈ 0.38</w:t>
            </w:r>
          </w:p>
          <w:p>
            <w:pPr>
              <w:spacing w:after="0"/>
            </w:pPr>
            <w:r>
              <w:rPr>
                <w:rFonts w:ascii="Courier New" w:cs="Courier New" w:eastAsia="Courier New" w:hAnsi="Courier New"/>
                <w:color w:val="1F2937"/>
                <w:sz w:val="20"/>
                <w:szCs w:val="20"/>
              </w:rPr>
              <w:t xml:space="preserve">x = &lt;Size: 1800&gt; → right:  F(x) = −0.40546 + 0.1 × (0.81081)  ≈ −0.3243   → P = σ(F) ≈ 0.41</w:t>
            </w:r>
          </w:p>
        </w:tc>
      </w:tr>
    </w:tbl>
    <w:p>
      <w:pPr>
        <w:pBdr>
          <w:bottom w:val="single" w:color="1A3560" w:sz="6"/>
        </w:pBdr>
        <w:spacing w:after="150" w:before="300"/>
      </w:pPr>
      <w:r>
        <w:rPr>
          <w:rFonts w:ascii="Arial" w:cs="Arial" w:eastAsia="Arial" w:hAnsi="Arial"/>
          <w:b/>
          <w:bCs/>
          <w:color w:val="1A3560"/>
          <w:sz w:val="25"/>
          <w:szCs w:val="25"/>
        </w:rPr>
        <w:t xml:space="preserve">4. GB vs XGBoost — Comparing the Two Update Paths</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250"/>
        <w:gridCol w:w="1450"/>
        <w:gridCol w:w="1050"/>
        <w:gridCol w:w="1450"/>
        <w:gridCol w:w="1650"/>
      </w:tblGrid>
      <w:tr>
        <w:trPr>
          <w:tblHeader/>
        </w:trPr>
        <w:tc>
          <w:tcPr>
            <w:tcW w:type="dxa" w:w="7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ID</w:t>
            </w:r>
          </w:p>
        </w:tc>
        <w:tc>
          <w:tcPr>
            <w:tcW w:type="dxa" w:w="12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Label (y)</w:t>
            </w:r>
          </w:p>
        </w:tc>
        <w:tc>
          <w:tcPr>
            <w:tcW w:type="dxa" w:w="12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P0</w:t>
            </w:r>
          </w:p>
        </w:tc>
        <w:tc>
          <w:tcPr>
            <w:tcW w:type="dxa" w:w="14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g = P0−y</w:t>
            </w:r>
          </w:p>
        </w:tc>
        <w:tc>
          <w:tcPr>
            <w:tcW w:type="dxa" w:w="10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h</w:t>
            </w:r>
          </w:p>
        </w:tc>
        <w:tc>
          <w:tcPr>
            <w:tcW w:type="dxa" w:w="14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P1 (GB)</w:t>
            </w:r>
          </w:p>
        </w:tc>
        <w:tc>
          <w:tcPr>
            <w:tcW w:type="dxa" w:w="16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P1 (XGBoost)</w:t>
            </w:r>
          </w:p>
        </w:tc>
      </w:tr>
      <w:tr>
        <w:tc>
          <w:tcPr>
            <w:tcW w:type="dxa" w:w="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1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c>
          <w:tcPr>
            <w:tcW w:type="dxa" w:w="1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4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0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c>
          <w:tcPr>
            <w:tcW w:type="dxa" w:w="14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0.36</w:t>
            </w:r>
          </w:p>
        </w:tc>
        <w:tc>
          <w:tcPr>
            <w:tcW w:type="dxa" w:w="16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0.38</w:t>
            </w:r>
          </w:p>
        </w:tc>
      </w:tr>
      <w:tr>
        <w:tc>
          <w:tcPr>
            <w:tcW w:type="dxa" w:w="7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1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c>
          <w:tcPr>
            <w:tcW w:type="dxa" w:w="1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4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0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c>
          <w:tcPr>
            <w:tcW w:type="dxa" w:w="14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0.36</w:t>
            </w:r>
          </w:p>
        </w:tc>
        <w:tc>
          <w:tcPr>
            <w:tcW w:type="dxa" w:w="16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0.38</w:t>
            </w:r>
          </w:p>
        </w:tc>
      </w:tr>
      <w:tr>
        <w:tc>
          <w:tcPr>
            <w:tcW w:type="dxa" w:w="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1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w:t>
            </w:r>
          </w:p>
        </w:tc>
        <w:tc>
          <w:tcPr>
            <w:tcW w:type="dxa" w:w="1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4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0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c>
          <w:tcPr>
            <w:tcW w:type="dxa" w:w="14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0.36</w:t>
            </w:r>
          </w:p>
        </w:tc>
        <w:tc>
          <w:tcPr>
            <w:tcW w:type="dxa" w:w="16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0.38</w:t>
            </w:r>
          </w:p>
        </w:tc>
      </w:tr>
      <w:tr>
        <w:tc>
          <w:tcPr>
            <w:tcW w:type="dxa" w:w="7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1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12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4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w:t>
            </w:r>
          </w:p>
        </w:tc>
        <w:tc>
          <w:tcPr>
            <w:tcW w:type="dxa" w:w="10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c>
          <w:tcPr>
            <w:tcW w:type="dxa" w:w="14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0.46</w:t>
            </w:r>
          </w:p>
        </w:tc>
        <w:tc>
          <w:tcPr>
            <w:tcW w:type="dxa" w:w="16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0.41</w:t>
            </w:r>
          </w:p>
        </w:tc>
      </w:tr>
      <w:tr>
        <w:tc>
          <w:tcPr>
            <w:tcW w:type="dxa" w:w="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1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12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w:t>
            </w:r>
          </w:p>
        </w:tc>
        <w:tc>
          <w:tcPr>
            <w:tcW w:type="dxa" w:w="14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w:t>
            </w:r>
          </w:p>
        </w:tc>
        <w:tc>
          <w:tcPr>
            <w:tcW w:type="dxa" w:w="10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0.24</w:t>
            </w:r>
          </w:p>
        </w:tc>
        <w:tc>
          <w:tcPr>
            <w:tcW w:type="dxa" w:w="14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0.46</w:t>
            </w:r>
          </w:p>
        </w:tc>
        <w:tc>
          <w:tcPr>
            <w:tcW w:type="dxa" w:w="16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0.41</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6D28D9" w:sz="4"/>
              <w:left w:val="single" w:color="6D28D9" w:sz="24"/>
              <w:bottom w:val="single" w:color="6D28D9" w:sz="4"/>
              <w:right w:val="single" w:color="6D28D9" w:sz="4"/>
            </w:tcBorders>
            <w:shd w:fill="EDE9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GB makes larger jumps; XGBoost makes smaller, regularized ones</w:t>
            </w:r>
          </w:p>
          <w:p>
            <w:pPr>
              <w:spacing w:after="60"/>
            </w:pPr>
            <w:r>
              <w:rPr>
                <w:rFonts w:ascii="Arial" w:cs="Arial" w:eastAsia="Arial" w:hAnsi="Arial"/>
                <w:color w:val="1F2937"/>
                <w:sz w:val="21"/>
                <w:szCs w:val="21"/>
              </w:rPr>
              <w:t xml:space="preserve">GB (no λ) makes larger jumps — stronger corrections per round. Its predicted probabilities move further from the P0=0.4 baseline (0.36 / 0.46) after just one stump.</w:t>
            </w:r>
          </w:p>
          <w:p>
            <w:pPr>
              <w:spacing w:after="60"/>
            </w:pPr>
            <w:r>
              <w:rPr>
                <w:rFonts w:ascii="Arial" w:cs="Arial" w:eastAsia="Arial" w:hAnsi="Arial"/>
                <w:color w:val="1F2937"/>
                <w:sz w:val="21"/>
                <w:szCs w:val="21"/>
              </w:rPr>
              <w:t xml:space="preserve">XGBoost with λ=1 makes smaller, more conservative updates (0.38 / 0.41) — regularized, which often generalizes better even though it looks like it's "learning slower" on any single round.</w:t>
            </w:r>
          </w:p>
        </w:tc>
      </w:tr>
    </w:tbl>
    <w:p>
      <w:pPr>
        <w:spacing w:after="120"/>
      </w:pPr>
      <w:r>
        <w:rPr>
          <w:rFonts w:ascii="Arial" w:cs="Arial" w:eastAsia="Arial" w:hAnsi="Arial"/>
          <w:color w:val="1F2937"/>
          <w:sz w:val="21"/>
          <w:szCs w:val="21"/>
        </w:rPr>
        <w:t xml:space="preserve">This mirrors the learning_rate trade-off from ML-20: a faster learning rate trains fewer trees in less time but risks overshooting; a lower learning rate needs more trees, trains slower, but tends to be more precise. λ is a second, independent way to apply that same "go slower, be more careful" philosophy — this time at the split level rather than the ensemble level.</w:t>
      </w:r>
    </w:p>
    <w:p>
      <w:pPr>
        <w:spacing w:after="100" w:before="200"/>
      </w:pPr>
      <w:r>
        <w:rPr>
          <w:rFonts w:ascii="Arial" w:cs="Arial" w:eastAsia="Arial" w:hAnsi="Arial"/>
          <w:b/>
          <w:bCs/>
          <w:color w:val="1A3560"/>
          <w:sz w:val="22"/>
          <w:szCs w:val="22"/>
        </w:rPr>
        <w:t xml:space="preserve">Multi-class extension</w:t>
      </w:r>
    </w:p>
    <w:p>
      <w:pPr>
        <w:spacing w:after="120"/>
      </w:pPr>
      <w:r>
        <w:rPr>
          <w:rFonts w:ascii="Arial" w:cs="Arial" w:eastAsia="Arial" w:hAnsi="Arial"/>
          <w:color w:val="1F2937"/>
          <w:sz w:val="21"/>
          <w:szCs w:val="21"/>
        </w:rPr>
        <w:t xml:space="preserve">Logistic loss as written above is for 2-class problems. For K classes (e.g. Iris's 3 species), XGBoost trains one boosted model per class in parallel each round — model → class A vs. rest, class B vs. rest, class C vs. rest — each producing its own raw score F(x), and then applies softmax across the K scores to get normalized class probabilities. Training cost scales roughly linearly with the number of classes, since it's genuinely K models worth of trees being grown per boosting round, not one.</w:t>
      </w:r>
    </w:p>
    <w:p>
      <w:r>
        <w:br w:type="page"/>
      </w:r>
    </w:p>
    <w:p>
      <w:pPr>
        <w:pBdr>
          <w:bottom w:val="single" w:color="1A3560" w:sz="6"/>
        </w:pBdr>
        <w:spacing w:after="150" w:before="300"/>
      </w:pPr>
      <w:r>
        <w:rPr>
          <w:rFonts w:ascii="Arial" w:cs="Arial" w:eastAsia="Arial" w:hAnsi="Arial"/>
          <w:b/>
          <w:bCs/>
          <w:color w:val="1A3560"/>
          <w:sz w:val="25"/>
          <w:szCs w:val="25"/>
        </w:rPr>
        <w:t xml:space="preserve">5. Practical — DT, RF &amp; XGBoost Classifier on Iris</w:t>
      </w:r>
    </w:p>
    <w:p>
      <w:pPr>
        <w:spacing w:after="120"/>
      </w:pPr>
      <w:r>
        <w:rPr>
          <w:rFonts w:ascii="Arial" w:cs="Arial" w:eastAsia="Arial" w:hAnsi="Arial"/>
          <w:color w:val="1F2937"/>
          <w:sz w:val="21"/>
          <w:szCs w:val="21"/>
        </w:rPr>
        <w:t xml:space="preserve">Dataset: Iris (150 rows, 4 features), test_size=0.2, random_state=42, stratify=y — note the stratified split, different from ML-19's practical, so these numbers aren't directly comparable to that session's DT/RF results.</w:t>
      </w:r>
    </w:p>
    <w:p>
      <w:pPr>
        <w:spacing w:after="100" w:before="200"/>
      </w:pPr>
      <w:r>
        <w:rPr>
          <w:rFonts w:ascii="Arial" w:cs="Arial" w:eastAsia="Arial" w:hAnsi="Arial"/>
          <w:b/>
          <w:bCs/>
          <w:color w:val="1A3560"/>
          <w:sz w:val="22"/>
          <w:szCs w:val="22"/>
        </w:rPr>
        <w:t xml:space="preserve">Decision Tree Classifier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dt = DecisionTreeClassifier(</w:t>
            </w:r>
          </w:p>
          <w:p>
            <w:pPr>
              <w:spacing w:after="0"/>
            </w:pPr>
            <w:r>
              <w:rPr>
                <w:rFonts w:ascii="Courier New" w:cs="Courier New" w:eastAsia="Courier New" w:hAnsi="Courier New"/>
                <w:color w:val="1F2937"/>
                <w:sz w:val="20"/>
                <w:szCs w:val="20"/>
              </w:rPr>
              <w:t xml:space="preserve">    criterion='entropy', max_depth=4,</w:t>
            </w:r>
          </w:p>
          <w:p>
            <w:pPr>
              <w:spacing w:after="0"/>
            </w:pPr>
            <w:r>
              <w:rPr>
                <w:rFonts w:ascii="Courier New" w:cs="Courier New" w:eastAsia="Courier New" w:hAnsi="Courier New"/>
                <w:color w:val="1F2937"/>
                <w:sz w:val="20"/>
                <w:szCs w:val="20"/>
              </w:rPr>
              <w:t xml:space="preserve">    min_samples_split=2, min_samples_leaf=1,</w:t>
            </w:r>
          </w:p>
          <w:p>
            <w:pPr>
              <w:spacing w:after="0"/>
            </w:pPr>
            <w:r>
              <w:rPr>
                <w:rFonts w:ascii="Courier New" w:cs="Courier New" w:eastAsia="Courier New" w:hAnsi="Courier New"/>
                <w:color w:val="1F2937"/>
                <w:sz w:val="20"/>
                <w:szCs w:val="20"/>
              </w:rPr>
              <w:t xml:space="preserve">    splitter='best', random_state=42</w:t>
            </w:r>
          </w:p>
          <w:p>
            <w:pPr>
              <w:spacing w:after="0"/>
            </w:pPr>
            <w:r>
              <w:rPr>
                <w:rFonts w:ascii="Courier New" w:cs="Courier New" w:eastAsia="Courier New" w:hAnsi="Courier New"/>
                <w:color w:val="1F2937"/>
                <w:sz w:val="20"/>
                <w:szCs w:val="20"/>
              </w:rPr>
              <w:t xml:space="preserv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Accuracy</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0.9333</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Confusion matrix</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[[10,0,0], [0,9,1], [0,1,9]]</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Importance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sepal length (cm)</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0.0066</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sepal width (cm)</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0.0146</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petal length (cm)</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0.6720</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petal width (cm)</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0.3068</w:t>
            </w:r>
          </w:p>
        </w:tc>
      </w:tr>
    </w:tbl>
    <w:p>
      <w:pPr>
        <w:spacing w:after="100" w:before="200"/>
      </w:pPr>
      <w:r>
        <w:rPr>
          <w:rFonts w:ascii="Arial" w:cs="Arial" w:eastAsia="Arial" w:hAnsi="Arial"/>
          <w:b/>
          <w:bCs/>
          <w:color w:val="1A3560"/>
          <w:sz w:val="22"/>
          <w:szCs w:val="22"/>
        </w:rPr>
        <w:t xml:space="preserve">Random Forest Classifier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rf = RandomForestClassifier(</w:t>
            </w:r>
          </w:p>
          <w:p>
            <w:pPr>
              <w:spacing w:after="0"/>
            </w:pPr>
            <w:r>
              <w:rPr>
                <w:rFonts w:ascii="Courier New" w:cs="Courier New" w:eastAsia="Courier New" w:hAnsi="Courier New"/>
                <w:color w:val="1F2937"/>
                <w:sz w:val="20"/>
                <w:szCs w:val="20"/>
              </w:rPr>
              <w:t xml:space="preserve">    n_estimators=100, criterion='gini', max_depth=4,</w:t>
            </w:r>
          </w:p>
          <w:p>
            <w:pPr>
              <w:spacing w:after="0"/>
            </w:pPr>
            <w:r>
              <w:rPr>
                <w:rFonts w:ascii="Courier New" w:cs="Courier New" w:eastAsia="Courier New" w:hAnsi="Courier New"/>
                <w:color w:val="1F2937"/>
                <w:sz w:val="20"/>
                <w:szCs w:val="20"/>
              </w:rPr>
              <w:t xml:space="preserve">    bootstrap=True, max_features='sqrt', oob_score=True,</w:t>
            </w:r>
          </w:p>
          <w:p>
            <w:pPr>
              <w:spacing w:after="0"/>
            </w:pPr>
            <w:r>
              <w:rPr>
                <w:rFonts w:ascii="Courier New" w:cs="Courier New" w:eastAsia="Courier New" w:hAnsi="Courier New"/>
                <w:color w:val="1F2937"/>
                <w:sz w:val="20"/>
                <w:szCs w:val="20"/>
              </w:rPr>
              <w:t xml:space="preserve">    random_state=42</w:t>
            </w:r>
          </w:p>
          <w:p>
            <w:pPr>
              <w:spacing w:after="0"/>
            </w:pPr>
            <w:r>
              <w:rPr>
                <w:rFonts w:ascii="Courier New" w:cs="Courier New" w:eastAsia="Courier New" w:hAnsi="Courier New"/>
                <w:color w:val="1F2937"/>
                <w:sz w:val="20"/>
                <w:szCs w:val="20"/>
              </w:rPr>
              <w:t xml:space="preserv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Accuracy</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0.9667</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OOB Score</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0.9583</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Confusion matrix</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[[10,0,0], [0,9,1], [0,0,10]]</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Importance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sepal length (cm)</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0.1156</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sepal width (cm)</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0.0108</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petal length (cm)</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0.4377</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petal width (cm)</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0.4359</w:t>
            </w:r>
          </w:p>
        </w:tc>
      </w:tr>
    </w:tbl>
    <w:p>
      <w:r>
        <w:br w:type="page"/>
      </w:r>
    </w:p>
    <w:p>
      <w:pPr>
        <w:spacing w:after="100" w:before="200"/>
      </w:pPr>
      <w:r>
        <w:rPr>
          <w:rFonts w:ascii="Arial" w:cs="Arial" w:eastAsia="Arial" w:hAnsi="Arial"/>
          <w:b/>
          <w:bCs/>
          <w:color w:val="1A3560"/>
          <w:sz w:val="22"/>
          <w:szCs w:val="22"/>
        </w:rPr>
        <w:t xml:space="preserve">XGBoost Classifier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xgb_clf = xgb.XGBClassifier(</w:t>
            </w:r>
          </w:p>
          <w:p>
            <w:pPr>
              <w:spacing w:after="0"/>
            </w:pPr>
            <w:r>
              <w:rPr>
                <w:rFonts w:ascii="Courier New" w:cs="Courier New" w:eastAsia="Courier New" w:hAnsi="Courier New"/>
                <w:color w:val="1F2937"/>
                <w:sz w:val="20"/>
                <w:szCs w:val="20"/>
              </w:rPr>
              <w:t xml:space="preserve">    n_estimators=200, learning_rate=0.05, max_depth=4,</w:t>
            </w:r>
          </w:p>
          <w:p>
            <w:pPr>
              <w:spacing w:after="0"/>
            </w:pPr>
            <w:r>
              <w:rPr>
                <w:rFonts w:ascii="Courier New" w:cs="Courier New" w:eastAsia="Courier New" w:hAnsi="Courier New"/>
                <w:color w:val="1F2937"/>
                <w:sz w:val="20"/>
                <w:szCs w:val="20"/>
              </w:rPr>
              <w:t xml:space="preserve">    subsample=0.9, colsample_bytree=0.8, reg_lambda=1.0,</w:t>
            </w:r>
          </w:p>
          <w:p>
            <w:pPr>
              <w:spacing w:after="0"/>
            </w:pPr>
            <w:r>
              <w:rPr>
                <w:rFonts w:ascii="Courier New" w:cs="Courier New" w:eastAsia="Courier New" w:hAnsi="Courier New"/>
                <w:color w:val="1F2937"/>
                <w:sz w:val="20"/>
                <w:szCs w:val="20"/>
              </w:rPr>
              <w:t xml:space="preserve">    objective='multi:softprob', eval_metric='mlogloss', num_class=3,</w:t>
            </w:r>
          </w:p>
          <w:p>
            <w:pPr>
              <w:spacing w:after="0"/>
            </w:pPr>
            <w:r>
              <w:rPr>
                <w:rFonts w:ascii="Courier New" w:cs="Courier New" w:eastAsia="Courier New" w:hAnsi="Courier New"/>
                <w:color w:val="1F2937"/>
                <w:sz w:val="20"/>
                <w:szCs w:val="20"/>
              </w:rPr>
              <w:t xml:space="preserve">    random_state=20, tree_method='hist'</w:t>
            </w:r>
          </w:p>
          <w:p>
            <w:pPr>
              <w:spacing w:after="0"/>
            </w:pPr>
            <w:r>
              <w:rPr>
                <w:rFonts w:ascii="Courier New" w:cs="Courier New" w:eastAsia="Courier New" w:hAnsi="Courier New"/>
                <w:color w:val="1F2937"/>
                <w:sz w:val="20"/>
                <w:szCs w:val="20"/>
              </w:rPr>
              <w:t xml:space="preserv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Accuracy</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0.9333</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Confusion matrix</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[[10,0,0], [0,9,1], [0,1,9]]</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Importance</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petal width (cm)</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0.5389</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petal length (cm)</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0.4178</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sepal width (cm)</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0.0226</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sepal length (cm)</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0.0207</w:t>
            </w:r>
          </w:p>
        </w:tc>
      </w:tr>
    </w:tbl>
    <w:p>
      <w:pPr>
        <w:spacing w:after="120"/>
      </w:pPr>
      <w:r>
        <w:rPr>
          <w:rFonts w:ascii="Arial" w:cs="Arial" w:eastAsia="Arial" w:hAnsi="Arial"/>
          <w:color w:val="1F2937"/>
          <w:sz w:val="21"/>
          <w:szCs w:val="21"/>
        </w:rPr>
        <w:t xml:space="preserve">All three models agree on the held-out prediction: sepal_length=5.7, sepal_width=3.1, petal_length=4.9, petal_width=2.0 → predicted species: virginica.</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2563EB" w:sz="4"/>
              <w:left w:val="single" w:color="2563EB" w:sz="24"/>
              <w:bottom w:val="single" w:color="2563EB" w:sz="4"/>
              <w:right w:val="single" w:color="2563EB" w:sz="4"/>
            </w:tcBorders>
            <w:shd w:fill="DBEA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Same accuracy, different importance ranking</w:t>
            </w:r>
          </w:p>
          <w:p>
            <w:pPr>
              <w:spacing w:after="60"/>
            </w:pPr>
            <w:r>
              <w:rPr>
                <w:rFonts w:ascii="Arial" w:cs="Arial" w:eastAsia="Arial" w:hAnsi="Arial"/>
                <w:color w:val="1F2937"/>
                <w:sz w:val="21"/>
                <w:szCs w:val="21"/>
              </w:rPr>
              <w:t xml:space="preserve">DT and XGBoost tie at 0.9333 accuracy with an identical confusion matrix, but XGBoost's feature importances flip the top two: petal width (0.539) edges out petal length (0.418), the reverse of the single tree's ordering (petal length 0.672 &gt; petal width 0.307). Different models can agree completely on predictions while disagreeing on which feature they're leaning on most — importance rankings aren't a single ground truth to be recovered, they're specific to how each model happened to structure its splits.</w:t>
            </w:r>
          </w:p>
        </w:tc>
      </w:tr>
    </w:tbl>
    <w:p>
      <w:pPr>
        <w:pBdr>
          <w:bottom w:val="single" w:color="1A3560" w:sz="6"/>
        </w:pBdr>
        <w:spacing w:after="150" w:before="300"/>
      </w:pPr>
      <w:r>
        <w:rPr>
          <w:rFonts w:ascii="Arial" w:cs="Arial" w:eastAsia="Arial" w:hAnsi="Arial"/>
          <w:b/>
          <w:bCs/>
          <w:color w:val="1A3560"/>
          <w:sz w:val="25"/>
          <w:szCs w:val="25"/>
        </w:rPr>
        <w:t xml:space="preserve">6. What's Next — FastAPI Deployment &amp; Docker Recap</w:t>
      </w:r>
    </w:p>
    <w:p>
      <w:pPr>
        <w:spacing w:after="120"/>
      </w:pPr>
      <w:r>
        <w:rPr>
          <w:rFonts w:ascii="Arial" w:cs="Arial" w:eastAsia="Arial" w:hAnsi="Arial"/>
          <w:color w:val="1F2937"/>
          <w:sz w:val="21"/>
          <w:szCs w:val="21"/>
        </w:rPr>
        <w:t xml:space="preserve">This closes out the core ML curriculum — today's session marked "Machine Learning Completed" on the whiteboard. FastAPI deployment notes for wiring these saved models (.pkl files) into a live prediction endpoint live in a separate document; the brief recap here is what's needed to place today's material in context.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900"/>
        <w:gridCol w:w="8550"/>
      </w:tblGrid>
      <w:tr>
        <w:trPr>
          <w:tblHeader/>
        </w:trPr>
        <w:tc>
          <w:tcPr>
            <w:tcW w:type="dxa" w:w="19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Concept</w:t>
            </w:r>
          </w:p>
        </w:tc>
        <w:tc>
          <w:tcPr>
            <w:tcW w:type="dxa" w:w="85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Recap</w:t>
            </w:r>
          </w:p>
        </w:tc>
      </w:tr>
      <w:tr>
        <w:tc>
          <w:tcPr>
            <w:tcW w:type="dxa" w:w="19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uvicorn</w:t>
            </w:r>
          </w:p>
        </w:tc>
        <w:tc>
          <w:tcPr>
            <w:tcW w:type="dxa" w:w="8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Handles the low-level networking — binds a socket, accepts incoming connections. Does not know anything about your model or your routes.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FastAPI</w:t>
            </w:r>
          </w:p>
        </w:tc>
        <w:tc>
          <w:tcPr>
            <w:tcW w:type="dxa" w:w="8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The framework layer — defines what happens once a request has arrived (which function runs, what it returns). Needs uvicorn underneath it to actually be reachable.</w:t>
            </w:r>
          </w:p>
        </w:tc>
      </w:tr>
      <w:tr>
        <w:tc>
          <w:tcPr>
            <w:tcW w:type="dxa" w:w="19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Typical port</w:t>
            </w:r>
          </w:p>
        </w:tc>
        <w:tc>
          <w:tcPr>
            <w:tcW w:type="dxa" w:w="8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8000 — not a technical requirement, just the generic convention most people follow for local FastAPI servers.</w:t>
            </w:r>
          </w:p>
        </w:tc>
      </w:tr>
      <w:tr>
        <w:tc>
          <w:tcPr>
            <w:tcW w:type="dxa" w:w="19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Docker</w:t>
            </w:r>
          </w:p>
        </w:tc>
        <w:tc>
          <w:tcPr>
            <w:tcW w:type="dxa" w:w="8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Conceptually covered already (images, containers, Dockerfile, DockerHub, Docker Engine — see ML-20). Hands-on Docker practical is being folded directly into the final project rather than run as a standalone exercise, since a real model + a real API are needed to make the practical meaningful.</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0F766E" w:sz="4"/>
              <w:left w:val="single" w:color="0F766E" w:sz="24"/>
              <w:bottom w:val="single" w:color="0F766E" w:sz="4"/>
              <w:right w:val="single" w:color="0F766E" w:sz="4"/>
            </w:tcBorders>
            <w:shd w:fill="CCFBF1"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Two packages, two jobs</w:t>
            </w:r>
          </w:p>
          <w:p>
            <w:pPr>
              <w:spacing w:after="60"/>
            </w:pPr>
            <w:r>
              <w:rPr>
                <w:rFonts w:ascii="Arial" w:cs="Arial" w:eastAsia="Arial" w:hAnsi="Arial"/>
                <w:color w:val="1F2937"/>
                <w:sz w:val="21"/>
                <w:szCs w:val="21"/>
              </w:rPr>
              <w:t xml:space="preserve">FastAPI will not work without uvicorn; uvicorn will work without FastAPI, but on its own it wouldn't make sense for serving a model — uvicorn alone has nothing to route requests to. The pattern for the deployment doc: load the trained model with joblib, wrap prediction logic in a plain Python function, then let FastAPI's routing hand incoming requests to that function and uvicorn handle the actual network traffic.</w:t>
            </w:r>
          </w:p>
        </w:tc>
      </w:tr>
    </w:tbl>
    <w:p>
      <w:r>
        <w:br w:type="page"/>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180"/>
              <w:left w:type="dxa" w:w="300"/>
              <w:bottom w:type="dxa" w:w="180"/>
              <w:right w:type="dxa" w:w="300"/>
            </w:tcMar>
          </w:tcPr>
          <w:p>
            <w:pPr>
              <w:spacing w:after="60"/>
            </w:pPr>
            <w:r>
              <w:rPr>
                <w:rFonts w:ascii="Arial" w:cs="Arial" w:eastAsia="Arial" w:hAnsi="Arial"/>
                <w:b/>
                <w:bCs/>
                <w:color w:val="FFFFFF"/>
                <w:sz w:val="25"/>
                <w:szCs w:val="25"/>
              </w:rPr>
              <w:t xml:space="preserve">SENIOR ENGINEER NOTES</w:t>
            </w:r>
          </w:p>
          <w:p>
            <w:pPr>
              <w:spacing w:after="40"/>
            </w:pPr>
            <w:r>
              <w:rPr>
                <w:rFonts w:ascii="Arial" w:cs="Arial" w:eastAsia="Arial" w:hAnsi="Arial"/>
                <w:b/>
                <w:bCs/>
                <w:color w:val="CBD5E1"/>
                <w:sz w:val="21"/>
                <w:szCs w:val="21"/>
              </w:rPr>
              <w:t xml:space="preserve">Production Gotchas — GB/XGBoost Classification &amp; Deployment Prep</w:t>
            </w:r>
          </w:p>
          <w:p>
            <w:r>
              <w:rPr>
                <w:rFonts w:ascii="Arial" w:cs="Arial" w:eastAsia="Arial" w:hAnsi="Arial"/>
                <w:color w:val="93C5FD"/>
                <w:sz w:val="20"/>
                <w:szCs w:val="20"/>
              </w:rPr>
              <w:t xml:space="preserve">ML-21</w:t>
            </w:r>
          </w:p>
        </w:tc>
      </w:tr>
    </w:tbl>
    <w:p>
      <w:pPr>
        <w:spacing w:after="150" w:before="200"/>
      </w:pPr>
    </w:p>
    <w:p>
      <w:pPr>
        <w:spacing w:after="100" w:before="200"/>
      </w:pPr>
      <w:r>
        <w:rPr>
          <w:rFonts w:ascii="Arial" w:cs="Arial" w:eastAsia="Arial" w:hAnsi="Arial"/>
          <w:b/>
          <w:bCs/>
          <w:color w:val="1A3560"/>
          <w:sz w:val="22"/>
          <w:szCs w:val="22"/>
        </w:rPr>
        <w:t xml:space="preserve">Production Wisdom</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Raw boosted-tree output is a logit, and shipping it un-sigmoided is a silent production bug</w:t>
            </w:r>
          </w:p>
          <w:p>
            <w:pPr>
              <w:spacing w:after="60"/>
            </w:pPr>
            <w:r>
              <w:rPr>
                <w:rFonts w:ascii="Arial" w:cs="Arial" w:eastAsia="Arial" w:hAnsi="Arial"/>
                <w:color w:val="1F2937"/>
                <w:sz w:val="21"/>
                <w:szCs w:val="21"/>
              </w:rPr>
              <w:t xml:space="preserve">Every worked example in this session ends the same way — compute F(x), then apply σ(F(x)) to get a usable probability. It's an easy step to drop when translating notebook code into a serving function, especially if a teammate copies model.predict() (which sklearn/XGBoost apply the sigmoid for internally) but a custom scoring function computes raw F(x) by hand and forgets the last step. The failure mode is quiet: F(x) values look like plausible numbers (small, sometimes negative), not obviously wrong, so a threshold check like 'if score &gt; 0.5' silently misclassifies almost everything since F(x) ranges over all reals, not [0,1].</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A tied accuracy score (DT vs. XGBoost at 0.9333, identical confusion matrix) does not mean the models are interchangeable</w:t>
            </w:r>
          </w:p>
          <w:p>
            <w:pPr>
              <w:spacing w:after="60"/>
            </w:pPr>
            <w:r>
              <w:rPr>
                <w:rFonts w:ascii="Arial" w:cs="Arial" w:eastAsia="Arial" w:hAnsi="Arial"/>
                <w:color w:val="1F2937"/>
                <w:sz w:val="21"/>
                <w:szCs w:val="21"/>
              </w:rPr>
              <w:t xml:space="preserve">Both models produced literally the same confusion matrix on this 30-row test set, but they got there via very different feature-importance profiles (DT leans on petal length, XGBoost leans on petal width) and very different internal complexity (one tree vs. 200 boosted trees with L2 regularization). Matching predictions on one small test set is not evidence the two models will generalize the same way on new data — don't let a tied metric collapse the decision between 'ship the simple interpretable tree' and 'ship the 200-tree ensemble' down to 'they scored the same.'</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Multi-class boosting cost scales with the number of classes — budget for it before assuming XGBoost is a drop-in swap</w:t>
            </w:r>
          </w:p>
          <w:p>
            <w:pPr>
              <w:spacing w:after="60"/>
            </w:pPr>
            <w:r>
              <w:rPr>
                <w:rFonts w:ascii="Arial" w:cs="Arial" w:eastAsia="Arial" w:hAnsi="Arial"/>
                <w:color w:val="1F2937"/>
                <w:sz w:val="21"/>
                <w:szCs w:val="21"/>
              </w:rPr>
              <w:t xml:space="preserve">The softmax multi-class extension trains one boosted model per class every round (3 models per round for Iris's 3 species). Doubling the number of classes in a production classification problem roughly doubles the tree-fitting work per boosting round, which is easy to overlook if a team's mental model of 'switch to XGBoost' comes entirely from binary-classification benchmarks. Re-estimate training time and serving latency specifically for the true class count before committing to it for a many-class problem.</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λ isn't free regularization — it changes what 'best split' even means, not just how confident the model is</w:t>
            </w:r>
          </w:p>
          <w:p>
            <w:pPr>
              <w:spacing w:after="60"/>
            </w:pPr>
            <w:r>
              <w:rPr>
                <w:rFonts w:ascii="Arial" w:cs="Arial" w:eastAsia="Arial" w:hAnsi="Arial"/>
                <w:color w:val="1F2937"/>
                <w:sz w:val="21"/>
                <w:szCs w:val="21"/>
              </w:rPr>
              <w:t xml:space="preserve">Gain(GB, λ=0) = 2.5 and Gain(XGBoost, λ=1) = 0.9051 for the identical Size&lt;1050 split in this session's numbers. λ shrinking the gain number is expected and fine — but because λ is added to every candidate split's denominator, it can change which split wins, not just by how much, particularly on splits with small H (few or low-confidence rows) where λ dominates the denominator. Never assume the split chosen with λ=0 during EDA or a quick sklearn GB run is the same split XGBoost with default λ=1 will actually choose in production — verify against the regularized model, not the unregularized one.</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stratify=y in train_test_split matters more than this balanced Iris example suggests</w:t>
            </w:r>
          </w:p>
          <w:p>
            <w:pPr>
              <w:spacing w:after="60"/>
            </w:pPr>
            <w:r>
              <w:rPr>
                <w:rFonts w:ascii="Arial" w:cs="Arial" w:eastAsia="Arial" w:hAnsi="Arial"/>
                <w:color w:val="1F2937"/>
                <w:sz w:val="21"/>
                <w:szCs w:val="21"/>
              </w:rPr>
              <w:t xml:space="preserve">This session's split used stratify=y, which is easy to treat as boilerplate on a perfectly balanced 50/50/50 dataset like Iris — stratifying barely changes anything here. On an imbalanced production dataset, however, omitting stratify can produce a test set with a meaningfully different class ratio than training, making accuracy (and worse, per-class recall) swing between runs for reasons that have nothing to do with model quality. Treat stratify=y as a default to keep on, not a detail that only matters once a dataset is visibly imbalanced — by the time it's visibly imbalanced, unstratified splits have likely already been silently corrupting earlier comparisons.</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0F766E" w:sz="4"/>
              <w:left w:val="single" w:color="0F766E" w:sz="4"/>
              <w:bottom w:val="single" w:color="0F766E" w:sz="4"/>
              <w:right w:val="single" w:color="0F766E" w:sz="4"/>
            </w:tcBorders>
            <w:shd w:fill="CCFBF1" w:color="auto" w:val="clear"/>
            <w:tcMar>
              <w:top w:type="dxa" w:w="150"/>
              <w:left w:type="dxa" w:w="250"/>
              <w:bottom w:type="dxa" w:w="150"/>
              <w:right w:type="dxa" w:w="250"/>
            </w:tcMar>
          </w:tcPr>
          <w:p>
            <w:pPr>
              <w:spacing w:after="80"/>
            </w:pPr>
            <w:r>
              <w:rPr>
                <w:rFonts w:ascii="Arial" w:cs="Arial" w:eastAsia="Arial" w:hAnsi="Arial"/>
                <w:b/>
                <w:bCs/>
                <w:color w:val="0F766E"/>
                <w:sz w:val="19"/>
                <w:szCs w:val="19"/>
              </w:rPr>
              <w:t xml:space="preserve">● LOW</w:t>
            </w:r>
          </w:p>
          <w:p>
            <w:pPr>
              <w:spacing w:after="80"/>
            </w:pPr>
            <w:r>
              <w:rPr>
                <w:rFonts w:ascii="Arial" w:cs="Arial" w:eastAsia="Arial" w:hAnsi="Arial"/>
                <w:b/>
                <w:bCs/>
                <w:color w:val="1F2937"/>
                <w:sz w:val="21"/>
                <w:szCs w:val="21"/>
              </w:rPr>
              <w:t xml:space="preserve">uvicorn and FastAPI have separable failure modes — diagnose which layer actually broke</w:t>
            </w:r>
          </w:p>
          <w:p>
            <w:pPr>
              <w:spacing w:after="60"/>
            </w:pPr>
            <w:r>
              <w:rPr>
                <w:rFonts w:ascii="Arial" w:cs="Arial" w:eastAsia="Arial" w:hAnsi="Arial"/>
                <w:color w:val="1F2937"/>
                <w:sz w:val="21"/>
                <w:szCs w:val="21"/>
              </w:rPr>
              <w:t xml:space="preserve">Because FastAPI depends on uvicorn but not vice versa, a deployment issue reported as 'the API is down' can mean two very different things: uvicorn never bound the socket (a networking/port problem, nothing to do with your model code), or uvicorn is running fine but a FastAPI route handler is throwing (a code/model problem). Conflating these during an incident wastes time debugging model logic when the real issue is a port conflict, or vice versa — check that the socket is actually listening before assuming the failure is inside your prediction function.</w:t>
            </w:r>
          </w:p>
        </w:tc>
      </w:tr>
    </w:tbl>
    <w:p>
      <w:pPr>
        <w:spacing w:after="120" w:before="250"/>
      </w:pPr>
      <w:r>
        <w:rPr>
          <w:rFonts w:ascii="Arial" w:cs="Arial" w:eastAsia="Arial" w:hAnsi="Arial"/>
          <w:b/>
          <w:bCs/>
          <w:color w:val="1A3560"/>
          <w:sz w:val="25"/>
          <w:szCs w:val="25"/>
        </w:rPr>
        <w:t xml:space="preserve">Quick-Glance Checklist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5350"/>
      </w:tblGrid>
      <w:tr>
        <w:trPr>
          <w:tblHeader/>
        </w:trPr>
        <w:tc>
          <w:tcPr>
            <w:tcW w:type="dxa" w:w="5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6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w:t>
            </w:r>
          </w:p>
        </w:tc>
        <w:tc>
          <w:tcPr>
            <w:tcW w:type="dxa" w:w="53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it matters</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Does every serving path apply sigmoid/softmax to the raw model score before using it as a probability?</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Raw tree/boosting output is a logit; thresholding it directly silently misclassifies almost everything</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a tied or near-tied accuracy between two model types checked against feature-importance and complexity before picking one?</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Identical predictions on a small test set doesn't mean the models generalize the same way</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Has training/serving cost been re-estimated for the true number of classes, not extrapolated from binary benchmarks?</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Multi-class boosting trains one model per class per round — cost scales with class count</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Has the split chosen under λ=0 (or a quick unregularized run) been re-verified against the actual λ used in production?</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λ can change which split wins, not just how confident the model is in it</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stratify=y used by default on every train/test split, not just on visibly imbalanced datasets?</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Unstratified splits can silently skew comparisons long before an imbalance is obvious</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6</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When 'the API is down' is reported, is the failure isolated to uvicorn (networking) vs. FastAPI (route/model code) before debugging?</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The two layers fail independently and need different fixes</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2026-08-12T05:42:25.472Z</dcterms:created>
  <dcterms:modified xsi:type="dcterms:W3CDTF">2026-08-12T05:42:25.558Z</dcterms:modified>
</cp:coreProperties>
</file>

<file path=docProps/custom.xml><?xml version="1.0" encoding="utf-8"?>
<Properties xmlns="http://schemas.openxmlformats.org/officeDocument/2006/custom-properties" xmlns:vt="http://schemas.openxmlformats.org/officeDocument/2006/docPropsVTypes"/>
</file>