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0D1F3C" w:color="auto" w:val="clear"/>
            <w:tcMar>
              <w:top w:type="dxa" w:w="320"/>
              <w:left w:type="dxa" w:w="320"/>
              <w:bottom w:type="dxa" w:w="320"/>
              <w:right w:type="dxa" w:w="320"/>
            </w:tcMar>
          </w:tcPr>
          <w:p>
            <w:pPr>
              <w:spacing w:after="60"/>
            </w:pPr>
            <w:r>
              <w:rPr>
                <w:rFonts w:ascii="Arial" w:cs="Arial" w:eastAsia="Arial" w:hAnsi="Arial"/>
                <w:b/>
                <w:bCs/>
                <w:color w:val="93C5FD"/>
                <w:sz w:val="22"/>
                <w:szCs w:val="22"/>
              </w:rPr>
              <w:t xml:space="preserve">ML-18</w:t>
            </w:r>
          </w:p>
          <w:p>
            <w:pPr>
              <w:spacing w:after="100"/>
            </w:pPr>
            <w:r>
              <w:rPr>
                <w:rFonts w:ascii="Arial" w:cs="Arial" w:eastAsia="Arial" w:hAnsi="Arial"/>
                <w:b/>
                <w:bCs/>
                <w:color w:val="FFFFFF"/>
                <w:sz w:val="44"/>
                <w:szCs w:val="44"/>
              </w:rPr>
              <w:t xml:space="preserve">Decision Tree Regressor &amp; Ensemble Methods</w:t>
            </w:r>
          </w:p>
          <w:p>
            <w:r>
              <w:rPr>
                <w:rFonts w:ascii="Arial" w:cs="Arial" w:eastAsia="Arial" w:hAnsi="Arial"/>
                <w:color w:val="CBD5E1"/>
                <w:sz w:val="20"/>
                <w:szCs w:val="20"/>
              </w:rPr>
              <w:t xml:space="preserve">12 July 2026</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72"/>
            <w:tcBorders>
              <w:top w:val="none" w:color="FFFFFF" w:sz="0"/>
              <w:left w:val="none" w:color="FFFFFF" w:sz="0"/>
              <w:bottom w:val="none" w:color="FFFFFF" w:sz="0"/>
              <w:right w:val="none" w:color="FFFFFF" w:sz="0"/>
            </w:tcBorders>
            <w:shd w:fill="DBEAFE" w:color="auto" w:val="clear"/>
            <w:tcMar>
              <w:top w:type="dxa" w:w="80"/>
              <w:left w:type="dxa" w:w="120"/>
              <w:bottom w:type="dxa" w:w="80"/>
              <w:right w:type="dxa" w:w="120"/>
            </w:tcMar>
          </w:tcPr>
          <w:p>
            <w:pPr>
              <w:jc w:val="center"/>
            </w:pPr>
            <w:r>
              <w:rPr>
                <w:rFonts w:ascii="Arial" w:cs="Arial" w:eastAsia="Arial" w:hAnsi="Arial"/>
                <w:b/>
                <w:bCs/>
                <w:color w:val="2563EB"/>
                <w:sz w:val="17"/>
                <w:szCs w:val="17"/>
              </w:rPr>
              <w:t xml:space="preserve">Decision Tree Regressor</w:t>
            </w:r>
          </w:p>
        </w:tc>
        <w:tc>
          <w:tcPr>
            <w:tcW w:type="dxa" w:w="1872"/>
            <w:tcBorders>
              <w:top w:val="none" w:color="FFFFFF" w:sz="0"/>
              <w:left w:val="none" w:color="FFFFFF" w:sz="0"/>
              <w:bottom w:val="none" w:color="FFFFFF" w:sz="0"/>
              <w:right w:val="none" w:color="FFFFFF" w:sz="0"/>
            </w:tcBorders>
            <w:shd w:fill="EDE9FE" w:color="auto" w:val="clear"/>
            <w:tcMar>
              <w:top w:type="dxa" w:w="80"/>
              <w:left w:type="dxa" w:w="120"/>
              <w:bottom w:type="dxa" w:w="80"/>
              <w:right w:type="dxa" w:w="120"/>
            </w:tcMar>
          </w:tcPr>
          <w:p>
            <w:pPr>
              <w:jc w:val="center"/>
            </w:pPr>
            <w:r>
              <w:rPr>
                <w:rFonts w:ascii="Arial" w:cs="Arial" w:eastAsia="Arial" w:hAnsi="Arial"/>
                <w:b/>
                <w:bCs/>
                <w:color w:val="6D28D9"/>
                <w:sz w:val="17"/>
                <w:szCs w:val="17"/>
              </w:rPr>
              <w:t xml:space="preserve">Variance Reduction</w:t>
            </w:r>
          </w:p>
        </w:tc>
        <w:tc>
          <w:tcPr>
            <w:tcW w:type="dxa" w:w="1872"/>
            <w:tcBorders>
              <w:top w:val="none" w:color="FFFFFF" w:sz="0"/>
              <w:left w:val="none" w:color="FFFFFF" w:sz="0"/>
              <w:bottom w:val="none" w:color="FFFFFF" w:sz="0"/>
              <w:right w:val="none" w:color="FFFFFF" w:sz="0"/>
            </w:tcBorders>
            <w:shd w:fill="CCFBF1" w:color="auto" w:val="clear"/>
            <w:tcMar>
              <w:top w:type="dxa" w:w="80"/>
              <w:left w:type="dxa" w:w="120"/>
              <w:bottom w:type="dxa" w:w="80"/>
              <w:right w:type="dxa" w:w="120"/>
            </w:tcMar>
          </w:tcPr>
          <w:p>
            <w:pPr>
              <w:jc w:val="center"/>
            </w:pPr>
            <w:r>
              <w:rPr>
                <w:rFonts w:ascii="Arial" w:cs="Arial" w:eastAsia="Arial" w:hAnsi="Arial"/>
                <w:b/>
                <w:bCs/>
                <w:color w:val="0F766E"/>
                <w:sz w:val="17"/>
                <w:szCs w:val="17"/>
              </w:rPr>
              <w:t xml:space="preserve">Bagging &amp; Boosting</w:t>
            </w:r>
          </w:p>
        </w:tc>
        <w:tc>
          <w:tcPr>
            <w:tcW w:type="dxa" w:w="1872"/>
            <w:tcBorders>
              <w:top w:val="none" w:color="FFFFFF" w:sz="0"/>
              <w:left w:val="none" w:color="FFFFFF" w:sz="0"/>
              <w:bottom w:val="none" w:color="FFFFFF" w:sz="0"/>
              <w:right w:val="none" w:color="FFFFFF" w:sz="0"/>
            </w:tcBorders>
            <w:shd w:fill="FFEDD5" w:color="auto" w:val="clear"/>
            <w:tcMar>
              <w:top w:type="dxa" w:w="80"/>
              <w:left w:type="dxa" w:w="120"/>
              <w:bottom w:type="dxa" w:w="80"/>
              <w:right w:type="dxa" w:w="120"/>
            </w:tcMar>
          </w:tcPr>
          <w:p>
            <w:pPr>
              <w:jc w:val="center"/>
            </w:pPr>
            <w:r>
              <w:rPr>
                <w:rFonts w:ascii="Arial" w:cs="Arial" w:eastAsia="Arial" w:hAnsi="Arial"/>
                <w:b/>
                <w:bCs/>
                <w:color w:val="C2410C"/>
                <w:sz w:val="17"/>
                <w:szCs w:val="17"/>
              </w:rPr>
              <w:t xml:space="preserve">Bootstrap</w:t>
            </w:r>
          </w:p>
        </w:tc>
        <w:tc>
          <w:tcPr>
            <w:tcW w:type="dxa" w:w="1872"/>
            <w:tcBorders>
              <w:top w:val="none" w:color="FFFFFF" w:sz="0"/>
              <w:left w:val="none" w:color="FFFFFF" w:sz="0"/>
              <w:bottom w:val="none" w:color="FFFFFF" w:sz="0"/>
              <w:right w:val="none" w:color="FFFFFF" w:sz="0"/>
            </w:tcBorders>
            <w:shd w:fill="DCFCE7" w:color="auto" w:val="clear"/>
            <w:tcMar>
              <w:top w:type="dxa" w:w="80"/>
              <w:left w:type="dxa" w:w="120"/>
              <w:bottom w:type="dxa" w:w="80"/>
              <w:right w:type="dxa" w:w="120"/>
            </w:tcMar>
          </w:tcPr>
          <w:p>
            <w:pPr>
              <w:jc w:val="center"/>
            </w:pPr>
            <w:r>
              <w:rPr>
                <w:rFonts w:ascii="Arial" w:cs="Arial" w:eastAsia="Arial" w:hAnsi="Arial"/>
                <w:b/>
                <w:bCs/>
                <w:color w:val="15803D"/>
                <w:sz w:val="17"/>
                <w:szCs w:val="17"/>
              </w:rPr>
              <w:t xml:space="preserve">Random Forest</w:t>
            </w:r>
          </w:p>
        </w:tc>
      </w:tr>
    </w:tbl>
    <w:p>
      <w:pPr>
        <w:spacing w:after="240"/>
      </w:pPr>
    </w:p>
    <w:p>
      <w:pPr>
        <w:spacing w:after="140" w:before="280"/>
      </w:pPr>
      <w:r>
        <w:rPr>
          <w:rFonts w:ascii="Arial" w:cs="Arial" w:eastAsia="Arial" w:hAnsi="Arial"/>
          <w:b/>
          <w:bCs/>
          <w:color w:val="1A3560"/>
          <w:sz w:val="30"/>
          <w:szCs w:val="30"/>
        </w:rP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1</w:t>
            </w:r>
          </w:p>
        </w:tc>
        <w:tc>
          <w:tcPr>
            <w:tcW w:type="dxa" w:w="8660"/>
            <w:tcBorders>
              <w:top w:val="single" w:color="E2E8F0" w:sz="4"/>
              <w:left w:val="single" w:color="E2E8F0" w:sz="4"/>
              <w:bottom w:val="single" w:color="E2E8F0" w:sz="4"/>
              <w:right w:val="single" w:color="E2E8F0" w:sz="4"/>
            </w:tcBorders>
            <w:shd w:fill="FFFFFF"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Decision Tree Regressor — Predicting Continuous Values</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2</w:t>
            </w:r>
          </w:p>
        </w:tc>
        <w:tc>
          <w:tcPr>
            <w:tcW w:type="dxa" w:w="8660"/>
            <w:tcBorders>
              <w:top w:val="single" w:color="E2E8F0" w:sz="4"/>
              <w:left w:val="single" w:color="E2E8F0" w:sz="4"/>
              <w:bottom w:val="single" w:color="E2E8F0" w:sz="4"/>
              <w:right w:val="single" w:color="E2E8F0" w:sz="4"/>
            </w:tcBorders>
            <w:shd w:fill="F8FAFC"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Idea Behind DT Regression — Variance Reduction</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3</w:t>
            </w:r>
          </w:p>
        </w:tc>
        <w:tc>
          <w:tcPr>
            <w:tcW w:type="dxa" w:w="8660"/>
            <w:tcBorders>
              <w:top w:val="single" w:color="E2E8F0" w:sz="4"/>
              <w:left w:val="single" w:color="E2E8F0" w:sz="4"/>
              <w:bottom w:val="single" w:color="E2E8F0" w:sz="4"/>
              <w:right w:val="single" w:color="E2E8F0" w:sz="4"/>
            </w:tcBorders>
            <w:shd w:fill="FFFFFF"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Worked Example — House Price Prediction</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4</w:t>
            </w:r>
          </w:p>
        </w:tc>
        <w:tc>
          <w:tcPr>
            <w:tcW w:type="dxa" w:w="8660"/>
            <w:tcBorders>
              <w:top w:val="single" w:color="E2E8F0" w:sz="4"/>
              <w:left w:val="single" w:color="E2E8F0" w:sz="4"/>
              <w:bottom w:val="single" w:color="E2E8F0" w:sz="4"/>
              <w:right w:val="single" w:color="E2E8F0" w:sz="4"/>
            </w:tcBorders>
            <w:shd w:fill="F8FAFC"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Recursive Splitting &amp; Overfitting</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5</w:t>
            </w:r>
          </w:p>
        </w:tc>
        <w:tc>
          <w:tcPr>
            <w:tcW w:type="dxa" w:w="8660"/>
            <w:tcBorders>
              <w:top w:val="single" w:color="E2E8F0" w:sz="4"/>
              <w:left w:val="single" w:color="E2E8F0" w:sz="4"/>
              <w:bottom w:val="single" w:color="E2E8F0" w:sz="4"/>
              <w:right w:val="single" w:color="E2E8F0" w:sz="4"/>
            </w:tcBorders>
            <w:shd w:fill="FFFFFF"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Pre-Pruning Hyperparameters</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6</w:t>
            </w:r>
          </w:p>
        </w:tc>
        <w:tc>
          <w:tcPr>
            <w:tcW w:type="dxa" w:w="8660"/>
            <w:tcBorders>
              <w:top w:val="single" w:color="E2E8F0" w:sz="4"/>
              <w:left w:val="single" w:color="E2E8F0" w:sz="4"/>
              <w:bottom w:val="single" w:color="E2E8F0" w:sz="4"/>
              <w:right w:val="single" w:color="E2E8F0" w:sz="4"/>
            </w:tcBorders>
            <w:shd w:fill="F8FAFC"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Ensemble Methods — Bagging vs. Boosting</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7</w:t>
            </w:r>
          </w:p>
        </w:tc>
        <w:tc>
          <w:tcPr>
            <w:tcW w:type="dxa" w:w="8660"/>
            <w:tcBorders>
              <w:top w:val="single" w:color="E2E8F0" w:sz="4"/>
              <w:left w:val="single" w:color="E2E8F0" w:sz="4"/>
              <w:bottom w:val="single" w:color="E2E8F0" w:sz="4"/>
              <w:right w:val="single" w:color="E2E8F0" w:sz="4"/>
            </w:tcBorders>
            <w:shd w:fill="FFFFFF"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Bootstrap Sampling &amp; Out-of-Bag (OOB) Data</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8</w:t>
            </w:r>
          </w:p>
        </w:tc>
        <w:tc>
          <w:tcPr>
            <w:tcW w:type="dxa" w:w="8660"/>
            <w:tcBorders>
              <w:top w:val="single" w:color="E2E8F0" w:sz="4"/>
              <w:left w:val="single" w:color="E2E8F0" w:sz="4"/>
              <w:bottom w:val="single" w:color="E2E8F0" w:sz="4"/>
              <w:right w:val="single" w:color="E2E8F0" w:sz="4"/>
            </w:tcBorders>
            <w:shd w:fill="F8FAFC"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Random Forest — Bagging + Bootstrap + Decision Tree</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9</w:t>
            </w:r>
          </w:p>
        </w:tc>
        <w:tc>
          <w:tcPr>
            <w:tcW w:type="dxa" w:w="8660"/>
            <w:tcBorders>
              <w:top w:val="single" w:color="E2E8F0" w:sz="4"/>
              <w:left w:val="single" w:color="E2E8F0" w:sz="4"/>
              <w:bottom w:val="single" w:color="E2E8F0" w:sz="4"/>
              <w:right w:val="single" w:color="E2E8F0" w:sz="4"/>
            </w:tcBorders>
            <w:shd w:fill="FFFFFF"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Random Forest — Final Prediction &amp; Interpretability</w:t>
            </w:r>
          </w:p>
        </w:tc>
      </w:tr>
    </w:tbl>
    <w:p>
      <w:pPr>
        <w:spacing w:after="280"/>
      </w:pPr>
    </w:p>
    <w:p>
      <w:pPr>
        <w:spacing w:after="140" w:before="280"/>
      </w:pPr>
      <w:r>
        <w:rPr>
          <w:rFonts w:ascii="Arial" w:cs="Arial" w:eastAsia="Arial" w:hAnsi="Arial"/>
          <w:b/>
          <w:bCs/>
          <w:color w:val="1A3560"/>
          <w:sz w:val="30"/>
          <w:szCs w:val="30"/>
        </w:rPr>
        <w:t xml:space="preserve">1. Decision Tree Regressor</w:t>
      </w:r>
    </w:p>
    <w:p>
      <w:pPr>
        <w:spacing w:after="160"/>
      </w:pPr>
      <w:r>
        <w:rPr>
          <w:rFonts w:ascii="Arial" w:cs="Arial" w:eastAsia="Arial" w:hAnsi="Arial"/>
          <w:color w:val="1F2937"/>
          <w:sz w:val="22"/>
          <w:szCs w:val="22"/>
        </w:rPr>
        <w:t xml:space="preserve">A Decision Tree Regressor (DT-R) predicts a continuous value — e.g. house price, temperature, stock value — rather than a class label.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DT (classifier)   →  leaf output: Yes / No  (a class)</w:t>
            </w:r>
          </w:p>
          <w:p>
            <w:pPr>
              <w:spacing w:after="20"/>
            </w:pPr>
            <w:r>
              <w:rPr>
                <w:rFonts w:ascii="Courier New" w:cs="Courier New" w:eastAsia="Courier New" w:hAnsi="Courier New"/>
                <w:color w:val="1A3560"/>
                <w:sz w:val="20"/>
                <w:szCs w:val="20"/>
              </w:rPr>
              <w:t xml:space="preserve">DT-R (regressor)  →  leaf output: a number</w:t>
            </w:r>
          </w:p>
        </w:tc>
      </w:tr>
    </w:tbl>
    <w:p>
      <w:pPr>
        <w:spacing w:after="100" w:before="200"/>
      </w:pPr>
      <w:r>
        <w:rPr>
          <w:rFonts w:ascii="Arial" w:cs="Arial" w:eastAsia="Arial" w:hAnsi="Arial"/>
          <w:b/>
          <w:bCs/>
          <w:color w:val="2563EB"/>
          <w:sz w:val="25"/>
          <w:szCs w:val="25"/>
        </w:rPr>
        <w:t xml:space="preserve">Classification Tree vs. Regression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463"/>
        <w:gridCol w:w="3463"/>
      </w:tblGrid>
      <w:tr>
        <w:trPr>
          <w:tblHeader/>
        </w:trPr>
        <w:tc>
          <w:tcPr>
            <w:tcW w:type="dxa" w:w="2434"/>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Aspect</w:t>
            </w:r>
          </w:p>
        </w:tc>
        <w:tc>
          <w:tcPr>
            <w:tcW w:type="dxa" w:w="3463"/>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Classification Tree</w:t>
            </w:r>
          </w:p>
        </w:tc>
        <w:tc>
          <w:tcPr>
            <w:tcW w:type="dxa" w:w="3463"/>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Regression Tree</w:t>
            </w:r>
          </w:p>
        </w:tc>
      </w:tr>
      <w:tr>
        <w:tc>
          <w:tcPr>
            <w:tcW w:type="dxa" w:w="2434"/>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Output</w:t>
            </w:r>
          </w:p>
        </w:tc>
        <w:tc>
          <w:tcPr>
            <w:tcW w:type="dxa" w:w="3463"/>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Class label</w:t>
            </w:r>
          </w:p>
        </w:tc>
        <w:tc>
          <w:tcPr>
            <w:tcW w:type="dxa" w:w="3463"/>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Numeric value</w:t>
            </w:r>
          </w:p>
        </w:tc>
      </w:tr>
      <w:tr>
        <w:tc>
          <w:tcPr>
            <w:tcW w:type="dxa" w:w="2434"/>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Impurity</w:t>
            </w:r>
          </w:p>
        </w:tc>
        <w:tc>
          <w:tcPr>
            <w:tcW w:type="dxa" w:w="3463"/>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Entropy / Gini</w:t>
            </w:r>
          </w:p>
        </w:tc>
        <w:tc>
          <w:tcPr>
            <w:tcW w:type="dxa" w:w="3463"/>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Variance / MSE</w:t>
            </w:r>
          </w:p>
        </w:tc>
      </w:tr>
      <w:tr>
        <w:tc>
          <w:tcPr>
            <w:tcW w:type="dxa" w:w="2434"/>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Leaf prediction</w:t>
            </w:r>
          </w:p>
        </w:tc>
        <w:tc>
          <w:tcPr>
            <w:tcW w:type="dxa" w:w="3463"/>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Majority class</w:t>
            </w:r>
          </w:p>
        </w:tc>
        <w:tc>
          <w:tcPr>
            <w:tcW w:type="dxa" w:w="3463"/>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Mean / Median of values</w:t>
            </w:r>
          </w:p>
        </w:tc>
      </w:tr>
      <w:tr>
        <w:tc>
          <w:tcPr>
            <w:tcW w:type="dxa" w:w="2434"/>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Split criterion</w:t>
            </w:r>
          </w:p>
        </w:tc>
        <w:tc>
          <w:tcPr>
            <w:tcW w:type="dxa" w:w="3463"/>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Information Gain</w:t>
            </w:r>
          </w:p>
        </w:tc>
        <w:tc>
          <w:tcPr>
            <w:tcW w:type="dxa" w:w="3463"/>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Variance Reduction</w:t>
            </w:r>
          </w:p>
        </w:tc>
      </w:tr>
    </w:tbl>
    <w:p>
      <w:pPr>
        <w:spacing w:after="200"/>
      </w:pPr>
    </w:p>
    <w:p>
      <w:pPr>
        <w:spacing w:after="140" w:before="280"/>
      </w:pPr>
      <w:r>
        <w:rPr>
          <w:rFonts w:ascii="Arial" w:cs="Arial" w:eastAsia="Arial" w:hAnsi="Arial"/>
          <w:b/>
          <w:bCs/>
          <w:color w:val="1A3560"/>
          <w:sz w:val="30"/>
          <w:szCs w:val="30"/>
        </w:rPr>
        <w:t xml:space="preserve">2. Idea Behind DT Regression — Variance Reduction</w:t>
      </w:r>
    </w:p>
    <w:p>
      <w:pPr>
        <w:spacing w:after="160"/>
      </w:pPr>
      <w:r>
        <w:rPr>
          <w:rFonts w:ascii="Arial" w:cs="Arial" w:eastAsia="Arial" w:hAnsi="Arial"/>
          <w:color w:val="1F2937"/>
          <w:sz w:val="22"/>
          <w:szCs w:val="22"/>
        </w:rPr>
        <w:t xml:space="preserve">Instead of asking “which split makes each side purer by class?”, regression asks “which split makes each side's values less spread out (lower variance)?”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y → 10, 20, 30, 80, 90, 100</w:t>
            </w:r>
          </w:p>
          <w:p>
            <w:pPr>
              <w:spacing w:after="20"/>
            </w:pPr>
            <w:r>
              <w:rPr>
                <w:rFonts w:ascii="Courier New" w:cs="Courier New" w:eastAsia="Courier New" w:hAnsi="Courier New"/>
                <w:color w:val="1A3560"/>
                <w:sz w:val="20"/>
                <w:szCs w:val="20"/>
              </w:rPr>
              <w:t xml:space="preserve"/>
            </w:r>
          </w:p>
          <w:p>
            <w:pPr>
              <w:spacing w:after="20"/>
            </w:pPr>
            <w:r>
              <w:rPr>
                <w:rFonts w:ascii="Courier New" w:cs="Courier New" w:eastAsia="Courier New" w:hAnsi="Courier New"/>
                <w:color w:val="1A3560"/>
                <w:sz w:val="20"/>
                <w:szCs w:val="20"/>
              </w:rPr>
              <w:t xml:space="preserve">y1 → 10, 20, 30    →  smaller spread (low variance)</w:t>
            </w:r>
          </w:p>
          <w:p>
            <w:pPr>
              <w:spacing w:after="20"/>
            </w:pPr>
            <w:r>
              <w:rPr>
                <w:rFonts w:ascii="Courier New" w:cs="Courier New" w:eastAsia="Courier New" w:hAnsi="Courier New"/>
                <w:color w:val="1A3560"/>
                <w:sz w:val="20"/>
                <w:szCs w:val="20"/>
              </w:rPr>
              <w:t xml:space="preserve">y2 → 80, 90, 100  →  smaller spread (low variance)</w:t>
            </w:r>
          </w:p>
        </w:tc>
      </w:tr>
    </w:tbl>
    <w:p>
      <w:pPr>
        <w:spacing w:after="160"/>
      </w:pPr>
      <w:r>
        <w:rPr>
          <w:rFonts w:ascii="Arial" w:cs="Arial" w:eastAsia="Arial" w:hAnsi="Arial"/>
          <w:color w:val="475569"/>
          <w:sz w:val="22"/>
          <w:szCs w:val="22"/>
        </w:rPr>
        <w:t xml:space="preserve">Splitting the data this way turns one high-variance group into two low-variance groups — exactly the effect a good split should have.</w:t>
      </w:r>
    </w:p>
    <w:p>
      <w:pPr>
        <w:spacing w:after="200"/>
      </w:pPr>
    </w:p>
    <w:p>
      <w:pPr>
        <w:spacing w:after="140" w:before="280"/>
      </w:pPr>
      <w:r>
        <w:rPr>
          <w:rFonts w:ascii="Arial" w:cs="Arial" w:eastAsia="Arial" w:hAnsi="Arial"/>
          <w:b/>
          <w:bCs/>
          <w:color w:val="1A3560"/>
          <w:sz w:val="30"/>
          <w:szCs w:val="30"/>
        </w:rPr>
        <w:t xml:space="preserve">3. Worked Example — House Price Prediction</w:t>
      </w:r>
    </w:p>
    <w:p>
      <w:pPr>
        <w:spacing w:after="160"/>
      </w:pPr>
      <w:r>
        <w:rPr>
          <w:rFonts w:ascii="Arial" w:cs="Arial" w:eastAsia="Arial" w:hAnsi="Arial"/>
          <w:color w:val="1F2937"/>
          <w:sz w:val="22"/>
          <w:szCs w:val="22"/>
        </w:rPr>
        <w:t xml:space="preserve">Dataset (10 lakh = 1 million):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3744"/>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Square Feet</w:t>
            </w:r>
          </w:p>
        </w:tc>
        <w:tc>
          <w:tcPr>
            <w:tcW w:type="dxa" w:w="3744"/>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Price (₹ in lakhs)</w:t>
            </w:r>
          </w:p>
        </w:tc>
      </w:tr>
      <w:tr>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3744"/>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800</w:t>
            </w:r>
          </w:p>
        </w:tc>
        <w:tc>
          <w:tcPr>
            <w:tcW w:type="dxa" w:w="3744"/>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50</w:t>
            </w:r>
          </w:p>
        </w:tc>
      </w:tr>
      <w:tr>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3744"/>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850</w:t>
            </w:r>
          </w:p>
        </w:tc>
        <w:tc>
          <w:tcPr>
            <w:tcW w:type="dxa" w:w="3744"/>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52</w:t>
            </w:r>
          </w:p>
        </w:tc>
      </w:tr>
      <w:tr>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3</w:t>
            </w:r>
          </w:p>
        </w:tc>
        <w:tc>
          <w:tcPr>
            <w:tcW w:type="dxa" w:w="3744"/>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900</w:t>
            </w:r>
          </w:p>
        </w:tc>
        <w:tc>
          <w:tcPr>
            <w:tcW w:type="dxa" w:w="3744"/>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54</w:t>
            </w:r>
          </w:p>
        </w:tc>
      </w:tr>
      <w:tr>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4</w:t>
            </w:r>
          </w:p>
        </w:tc>
        <w:tc>
          <w:tcPr>
            <w:tcW w:type="dxa" w:w="3744"/>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1500</w:t>
            </w:r>
          </w:p>
        </w:tc>
        <w:tc>
          <w:tcPr>
            <w:tcW w:type="dxa" w:w="3744"/>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90</w:t>
            </w:r>
          </w:p>
        </w:tc>
      </w:tr>
      <w:tr>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5</w:t>
            </w:r>
          </w:p>
        </w:tc>
        <w:tc>
          <w:tcPr>
            <w:tcW w:type="dxa" w:w="3744"/>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1600</w:t>
            </w:r>
          </w:p>
        </w:tc>
        <w:tc>
          <w:tcPr>
            <w:tcW w:type="dxa" w:w="3744"/>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95</w:t>
            </w:r>
          </w:p>
        </w:tc>
      </w:tr>
      <w:tr>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6</w:t>
            </w:r>
          </w:p>
        </w:tc>
        <w:tc>
          <w:tcPr>
            <w:tcW w:type="dxa" w:w="3744"/>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1700</w:t>
            </w:r>
          </w:p>
        </w:tc>
        <w:tc>
          <w:tcPr>
            <w:tcW w:type="dxa" w:w="3744"/>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100</w:t>
            </w:r>
          </w:p>
        </w:tc>
      </w:tr>
    </w:tbl>
    <w:p>
      <w:pPr>
        <w:spacing w:after="140"/>
      </w:pPr>
    </w:p>
    <w:p>
      <w:pPr>
        <w:spacing w:after="100" w:before="200"/>
      </w:pPr>
      <w:r>
        <w:rPr>
          <w:rFonts w:ascii="Arial" w:cs="Arial" w:eastAsia="Arial" w:hAnsi="Arial"/>
          <w:b/>
          <w:bCs/>
          <w:color w:val="2563EB"/>
          <w:sz w:val="25"/>
          <w:szCs w:val="25"/>
        </w:rPr>
        <w:t xml:space="preserve">Step 1 — compute parent variance (price)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μ(price) = 73.5</w:t>
            </w:r>
          </w:p>
          <w:p>
            <w:pPr>
              <w:spacing w:after="20"/>
            </w:pPr>
            <w:r>
              <w:rPr>
                <w:rFonts w:ascii="Courier New" w:cs="Courier New" w:eastAsia="Courier New" w:hAnsi="Courier New"/>
                <w:color w:val="1A3560"/>
                <w:sz w:val="20"/>
                <w:szCs w:val="20"/>
              </w:rPr>
              <w:t xml:space="preserve">var = (1/n) Σ(yᵢ - μ)²</w:t>
            </w:r>
          </w:p>
          <w:p>
            <w:pPr>
              <w:spacing w:after="20"/>
            </w:pPr>
            <w:r>
              <w:rPr>
                <w:rFonts w:ascii="Courier New" w:cs="Courier New" w:eastAsia="Courier New" w:hAnsi="Courier New"/>
                <w:color w:val="1A3560"/>
                <w:sz w:val="20"/>
                <w:szCs w:val="20"/>
              </w:rPr>
              <w:t xml:space="preserve">    = (1/6) [ (50-73.5)² + (52-73.5)² + (54-73.5)² + (90-73.5)² + (95-73.5)² + (100-73.5)² ]</w:t>
            </w:r>
          </w:p>
          <w:p>
            <w:pPr>
              <w:spacing w:after="20"/>
            </w:pPr>
            <w:r>
              <w:rPr>
                <w:rFonts w:ascii="Courier New" w:cs="Courier New" w:eastAsia="Courier New" w:hAnsi="Courier New"/>
                <w:color w:val="1A3560"/>
                <w:sz w:val="20"/>
                <w:szCs w:val="20"/>
              </w:rPr>
              <w:t xml:space="preserve">    = 471.9</w:t>
            </w:r>
          </w:p>
        </w:tc>
      </w:tr>
    </w:tbl>
    <w:p>
      <w:pPr>
        <w:spacing w:after="100" w:before="200"/>
      </w:pPr>
      <w:r>
        <w:rPr>
          <w:rFonts w:ascii="Arial" w:cs="Arial" w:eastAsia="Arial" w:hAnsi="Arial"/>
          <w:b/>
          <w:bCs/>
          <w:color w:val="2563EB"/>
          <w:sz w:val="25"/>
          <w:szCs w:val="25"/>
        </w:rPr>
        <w:t xml:space="preserve">Step 2 — for each feature, test every split point</w:t>
      </w:r>
    </w:p>
    <w:p>
      <w:pPr>
        <w:pStyle w:val="ListParagraph"/>
        <w:numPr>
          <w:ilvl w:val="0"/>
          <w:numId w:val="1"/>
        </w:numPr>
        <w:spacing w:after="80"/>
        <w:ind w:left="360"/>
      </w:pPr>
      <w:r>
        <w:rPr>
          <w:rFonts w:ascii="Arial" w:cs="Arial" w:eastAsia="Arial" w:hAnsi="Arial"/>
          <w:color w:val="1F2937"/>
          <w:sz w:val="22"/>
          <w:szCs w:val="22"/>
        </w:rPr>
        <w:t xml:space="preserve">Pick a column/feature</w:t>
      </w:r>
    </w:p>
    <w:p>
      <w:pPr>
        <w:pStyle w:val="ListParagraph"/>
        <w:numPr>
          <w:ilvl w:val="0"/>
          <w:numId w:val="1"/>
        </w:numPr>
        <w:spacing w:after="80"/>
        <w:ind w:left="360"/>
      </w:pPr>
      <w:r>
        <w:rPr>
          <w:rFonts w:ascii="Arial" w:cs="Arial" w:eastAsia="Arial" w:hAnsi="Arial"/>
          <w:color w:val="1F2937"/>
          <w:sz w:val="22"/>
          <w:szCs w:val="22"/>
        </w:rPr>
        <w:t xml:space="preserve">Sort the values in ascending order</w:t>
      </w:r>
    </w:p>
    <w:p>
      <w:pPr>
        <w:pStyle w:val="ListParagraph"/>
        <w:numPr>
          <w:ilvl w:val="0"/>
          <w:numId w:val="1"/>
        </w:numPr>
        <w:spacing w:after="80"/>
        <w:ind w:left="360"/>
      </w:pPr>
      <w:r>
        <w:rPr>
          <w:rFonts w:ascii="Arial" w:cs="Arial" w:eastAsia="Arial" w:hAnsi="Arial"/>
          <w:color w:val="1F2937"/>
          <w:sz w:val="22"/>
          <w:szCs w:val="22"/>
        </w:rPr>
        <w:t xml:space="preserve">Compute split points (midpoint between consecutive values)</w:t>
      </w:r>
    </w:p>
    <w:p>
      <w:pPr>
        <w:pStyle w:val="ListParagraph"/>
        <w:numPr>
          <w:ilvl w:val="0"/>
          <w:numId w:val="1"/>
        </w:numPr>
        <w:spacing w:after="80"/>
        <w:ind w:left="360"/>
      </w:pPr>
      <w:r>
        <w:rPr>
          <w:rFonts w:ascii="Arial" w:cs="Arial" w:eastAsia="Arial" w:hAnsi="Arial"/>
          <w:color w:val="1F2937"/>
          <w:sz w:val="22"/>
          <w:szCs w:val="22"/>
        </w:rPr>
        <w:t xml:space="preserve">For each split point, compute the Variance Reduction (VR)</w:t>
      </w:r>
    </w:p>
    <w:p>
      <w:pPr>
        <w:spacing w:after="160"/>
      </w:pPr>
    </w:p>
    <w:p>
      <w:pPr>
        <w:spacing w:after="160"/>
      </w:pPr>
      <w:r>
        <w:rPr>
          <w:rFonts w:ascii="Arial" w:cs="Arial" w:eastAsia="Arial" w:hAnsi="Arial"/>
          <w:color w:val="1F2937"/>
          <w:sz w:val="22"/>
          <w:szCs w:val="22"/>
        </w:rPr>
        <w:t xml:space="preserve">Square-feet column sorted: 800, 850, 900, 1500, 1600, 1700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Candidate split points: 825, 875, 1200, 1550, 1650</w:t>
            </w:r>
          </w:p>
        </w:tc>
      </w:tr>
    </w:tbl>
    <w:p>
      <w:pPr>
        <w:spacing w:after="160"/>
      </w:pPr>
    </w:p>
    <w:p>
      <w:pPr>
        <w:spacing w:after="100" w:before="200"/>
      </w:pPr>
      <w:r>
        <w:rPr>
          <w:rFonts w:ascii="Arial" w:cs="Arial" w:eastAsia="Arial" w:hAnsi="Arial"/>
          <w:b/>
          <w:bCs/>
          <w:color w:val="2563EB"/>
          <w:sz w:val="25"/>
          <w:szCs w:val="25"/>
        </w:rPr>
        <w:t xml:space="preserve">Evaluating the split at 1200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557"/>
        <w:gridCol w:w="3557"/>
      </w:tblGrid>
      <w:tr>
        <w:trPr>
          <w:tblHeader/>
        </w:trPr>
        <w:tc>
          <w:tcPr>
            <w:tcW w:type="dxa" w:w="2246"/>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Square feet ≥ 1200 ?</w:t>
            </w:r>
          </w:p>
        </w:tc>
        <w:tc>
          <w:tcPr>
            <w:tcW w:type="dxa" w:w="3557"/>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Left (&lt; 1200)</w:t>
            </w:r>
          </w:p>
        </w:tc>
        <w:tc>
          <w:tcPr>
            <w:tcW w:type="dxa" w:w="3557"/>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Right (≥ 1200)</w:t>
            </w:r>
          </w:p>
        </w:tc>
      </w:tr>
      <w:tr>
        <w:tc>
          <w:tcPr>
            <w:tcW w:type="dxa" w:w="2246"/>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Rows</w:t>
            </w:r>
          </w:p>
        </w:tc>
        <w:tc>
          <w:tcPr>
            <w:tcW w:type="dxa" w:w="3557"/>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800→50, 850→52, 900→54</w:t>
            </w:r>
          </w:p>
        </w:tc>
        <w:tc>
          <w:tcPr>
            <w:tcW w:type="dxa" w:w="3557"/>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1500→90, 1600→95, 1700→100</w:t>
            </w:r>
          </w:p>
        </w:tc>
      </w:tr>
      <w:tr>
        <w:tc>
          <w:tcPr>
            <w:tcW w:type="dxa" w:w="2246"/>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Mean</w:t>
            </w:r>
          </w:p>
        </w:tc>
        <w:tc>
          <w:tcPr>
            <w:tcW w:type="dxa" w:w="3557"/>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52</w:t>
            </w:r>
          </w:p>
        </w:tc>
        <w:tc>
          <w:tcPr>
            <w:tcW w:type="dxa" w:w="3557"/>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95</w:t>
            </w:r>
          </w:p>
        </w:tc>
      </w:tr>
      <w:tr>
        <w:tc>
          <w:tcPr>
            <w:tcW w:type="dxa" w:w="2246"/>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Variance</w:t>
            </w:r>
          </w:p>
        </w:tc>
        <w:tc>
          <w:tcPr>
            <w:tcW w:type="dxa" w:w="3557"/>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8/3 ≈ 2.67</w:t>
            </w:r>
          </w:p>
        </w:tc>
        <w:tc>
          <w:tcPr>
            <w:tcW w:type="dxa" w:w="3557"/>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56/3 ≈ 16.67</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Weighted variance (split at 1200) = (3/6)×2.67 + (3/6)×16.67 = 1.335 + 8.335 = 9.67</w:t>
            </w:r>
          </w:p>
          <w:p>
            <w:pPr>
              <w:spacing w:after="20"/>
            </w:pPr>
            <w:r>
              <w:rPr>
                <w:rFonts w:ascii="Courier New" w:cs="Courier New" w:eastAsia="Courier New" w:hAnsi="Courier New"/>
                <w:color w:val="1A3560"/>
                <w:sz w:val="20"/>
                <w:szCs w:val="20"/>
              </w:rPr>
              <w:t xml:space="preserve">Variance Reduction (1200) = 471.9 - 9.67 = 462.23</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FCE7" w:color="auto" w:val="clear"/>
            <w:tcMar>
              <w:top w:type="dxa" w:w="160"/>
              <w:left w:type="dxa" w:w="200"/>
              <w:bottom w:type="dxa" w:w="160"/>
              <w:right w:type="dxa" w:w="200"/>
            </w:tcMar>
          </w:tcPr>
          <w:p>
            <w:pPr>
              <w:spacing w:after="60"/>
            </w:pPr>
            <w:r>
              <w:rPr>
                <w:rFonts w:ascii="Arial" w:cs="Arial" w:eastAsia="Arial" w:hAnsi="Arial"/>
                <w:b/>
                <w:bCs/>
                <w:color w:val="15803D"/>
                <w:sz w:val="22"/>
                <w:szCs w:val="22"/>
              </w:rPr>
              <w:t xml:space="preserve">▸ Choosing the best split at the root</w:t>
            </w:r>
          </w:p>
          <w:p>
            <w:pPr>
              <w:spacing w:after="40"/>
            </w:pPr>
            <w:r>
              <w:rPr>
                <w:rFonts w:ascii="Arial" w:cs="Arial" w:eastAsia="Arial" w:hAnsi="Arial"/>
                <w:color w:val="15803D"/>
                <w:sz w:val="21"/>
                <w:szCs w:val="21"/>
              </w:rPr>
              <w:t xml:space="preserve">Testing all candidate split points (825, 875, 1200, 1550, 1650), the split at 1200 gives by far the highest Variance Reduction (462.23) — so “Square-feet ≥ 1200” becomes the root node.</w:t>
            </w:r>
          </w:p>
        </w:tc>
      </w:tr>
    </w:tbl>
    <w:p>
      <w:pPr>
        <w:spacing w:after="200"/>
      </w:pPr>
    </w:p>
    <w:p>
      <w:pPr>
        <w:spacing w:after="140" w:before="280"/>
      </w:pPr>
      <w:r>
        <w:rPr>
          <w:rFonts w:ascii="Arial" w:cs="Arial" w:eastAsia="Arial" w:hAnsi="Arial"/>
          <w:b/>
          <w:bCs/>
          <w:color w:val="1A3560"/>
          <w:sz w:val="30"/>
          <w:szCs w:val="30"/>
        </w:rPr>
        <w:t xml:space="preserve">4. Recursive Splitting</w:t>
      </w:r>
    </w:p>
    <w:p>
      <w:pPr>
        <w:spacing w:after="160"/>
      </w:pPr>
      <w:r>
        <w:rPr>
          <w:rFonts w:ascii="Arial" w:cs="Arial" w:eastAsia="Arial" w:hAnsi="Arial"/>
          <w:color w:val="1F2937"/>
          <w:sz w:val="22"/>
          <w:szCs w:val="22"/>
        </w:rPr>
        <w:t xml:space="preserve">Root node: Square-feet ≥ 1200 → left branch = {800, 850, 900}, right branch = {1500, 1600, 1700}. Each branch is then split again the same way.</w:t>
      </w:r>
    </w:p>
    <w:p>
      <w:pPr>
        <w:spacing w:after="100" w:before="200"/>
      </w:pPr>
      <w:r>
        <w:rPr>
          <w:rFonts w:ascii="Arial" w:cs="Arial" w:eastAsia="Arial" w:hAnsi="Arial"/>
          <w:b/>
          <w:bCs/>
          <w:color w:val="2563EB"/>
          <w:sz w:val="25"/>
          <w:szCs w:val="25"/>
        </w:rPr>
        <w:t xml:space="preserve">Left branch — candidate splits at 825 and 875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434"/>
        <w:gridCol w:w="2434"/>
        <w:gridCol w:w="1872"/>
        <w:gridCol w:w="1310"/>
      </w:tblGrid>
      <w:tr>
        <w:trPr>
          <w:tblHeader/>
        </w:trPr>
        <w:tc>
          <w:tcPr>
            <w:tcW w:type="dxa" w:w="131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Split</w:t>
            </w:r>
          </w:p>
        </w:tc>
        <w:tc>
          <w:tcPr>
            <w:tcW w:type="dxa" w:w="2434"/>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Left</w:t>
            </w:r>
          </w:p>
        </w:tc>
        <w:tc>
          <w:tcPr>
            <w:tcW w:type="dxa" w:w="2434"/>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Right</w:t>
            </w:r>
          </w:p>
        </w:tc>
        <w:tc>
          <w:tcPr>
            <w:tcW w:type="dxa" w:w="187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Weighted Var</w:t>
            </w:r>
          </w:p>
        </w:tc>
        <w:tc>
          <w:tcPr>
            <w:tcW w:type="dxa" w:w="131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VR</w:t>
            </w:r>
          </w:p>
        </w:tc>
      </w:tr>
      <w:tr>
        <w:tc>
          <w:tcPr>
            <w:tcW w:type="dxa" w:w="131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825</w:t>
            </w:r>
          </w:p>
        </w:tc>
        <w:tc>
          <w:tcPr>
            <w:tcW w:type="dxa" w:w="2434"/>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{800}→50</w:t>
            </w:r>
          </w:p>
        </w:tc>
        <w:tc>
          <w:tcPr>
            <w:tcW w:type="dxa" w:w="2434"/>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{850,900}→52,54</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(1/3)×0 + (2/3)×1 ≈ 0.67</w:t>
            </w:r>
          </w:p>
        </w:tc>
        <w:tc>
          <w:tcPr>
            <w:tcW w:type="dxa" w:w="131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2.67 - 0.67 = 2.0</w:t>
            </w:r>
          </w:p>
        </w:tc>
      </w:tr>
      <w:tr>
        <w:tc>
          <w:tcPr>
            <w:tcW w:type="dxa" w:w="131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875</w:t>
            </w:r>
          </w:p>
        </w:tc>
        <w:tc>
          <w:tcPr>
            <w:tcW w:type="dxa" w:w="2434"/>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{800,850}→50,52</w:t>
            </w:r>
          </w:p>
        </w:tc>
        <w:tc>
          <w:tcPr>
            <w:tcW w:type="dxa" w:w="2434"/>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{900}→54</w:t>
            </w:r>
          </w:p>
        </w:tc>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(assumed similar magnitude)</w:t>
            </w:r>
          </w:p>
        </w:tc>
        <w:tc>
          <w:tcPr>
            <w:tcW w:type="dxa" w:w="131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 1.0</w:t>
            </w:r>
          </w:p>
        </w:tc>
      </w:tr>
    </w:tbl>
    <w:p>
      <w:pPr>
        <w:spacing w:after="140"/>
      </w:pPr>
    </w:p>
    <w:p>
      <w:pPr>
        <w:spacing w:after="160"/>
      </w:pPr>
      <w:r>
        <w:rPr>
          <w:rFonts w:ascii="Arial" w:cs="Arial" w:eastAsia="Arial" w:hAnsi="Arial"/>
          <w:color w:val="475569"/>
          <w:sz w:val="22"/>
          <w:szCs w:val="22"/>
        </w:rPr>
        <w:t xml:space="preserve">Split at 825 gives the higher VR (2.0), so the left branch splits there.</w:t>
      </w:r>
    </w:p>
    <w:p>
      <w:pPr>
        <w:spacing w:after="160"/>
      </w:pPr>
    </w:p>
    <w:p>
      <w:pPr>
        <w:spacing w:after="100" w:before="200"/>
      </w:pPr>
      <w:r>
        <w:rPr>
          <w:rFonts w:ascii="Arial" w:cs="Arial" w:eastAsia="Arial" w:hAnsi="Arial"/>
          <w:b/>
          <w:bCs/>
          <w:color w:val="2563EB"/>
          <w:sz w:val="25"/>
          <w:szCs w:val="25"/>
        </w:rPr>
        <w:t xml:space="preserve">Right branch — candidate splits at 1550 and 1650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434"/>
        <w:gridCol w:w="2434"/>
        <w:gridCol w:w="1872"/>
        <w:gridCol w:w="1310"/>
      </w:tblGrid>
      <w:tr>
        <w:trPr>
          <w:tblHeader/>
        </w:trPr>
        <w:tc>
          <w:tcPr>
            <w:tcW w:type="dxa" w:w="131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Split</w:t>
            </w:r>
          </w:p>
        </w:tc>
        <w:tc>
          <w:tcPr>
            <w:tcW w:type="dxa" w:w="2434"/>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Left</w:t>
            </w:r>
          </w:p>
        </w:tc>
        <w:tc>
          <w:tcPr>
            <w:tcW w:type="dxa" w:w="2434"/>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Right</w:t>
            </w:r>
          </w:p>
        </w:tc>
        <w:tc>
          <w:tcPr>
            <w:tcW w:type="dxa" w:w="187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Weighted Var</w:t>
            </w:r>
          </w:p>
        </w:tc>
        <w:tc>
          <w:tcPr>
            <w:tcW w:type="dxa" w:w="131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VR</w:t>
            </w:r>
          </w:p>
        </w:tc>
      </w:tr>
      <w:tr>
        <w:tc>
          <w:tcPr>
            <w:tcW w:type="dxa" w:w="131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1550</w:t>
            </w:r>
          </w:p>
        </w:tc>
        <w:tc>
          <w:tcPr>
            <w:tcW w:type="dxa" w:w="2434"/>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{1500}→90</w:t>
            </w:r>
          </w:p>
        </w:tc>
        <w:tc>
          <w:tcPr>
            <w:tcW w:type="dxa" w:w="2434"/>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{1600,1700}→95,100</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(1/3)×0 + (2/3)×6.25 ≈ 4.16</w:t>
            </w:r>
          </w:p>
        </w:tc>
        <w:tc>
          <w:tcPr>
            <w:tcW w:type="dxa" w:w="131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16.67 - 4.16 = 12.51</w:t>
            </w:r>
          </w:p>
        </w:tc>
      </w:tr>
      <w:tr>
        <w:tc>
          <w:tcPr>
            <w:tcW w:type="dxa" w:w="131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1650</w:t>
            </w:r>
          </w:p>
        </w:tc>
        <w:tc>
          <w:tcPr>
            <w:tcW w:type="dxa" w:w="2434"/>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{1500,1600}→90,95</w:t>
            </w:r>
          </w:p>
        </w:tc>
        <w:tc>
          <w:tcPr>
            <w:tcW w:type="dxa" w:w="2434"/>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{1700}→100</w:t>
            </w:r>
          </w:p>
        </w:tc>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(assumed similar magnitude)</w:t>
            </w:r>
          </w:p>
        </w:tc>
        <w:tc>
          <w:tcPr>
            <w:tcW w:type="dxa" w:w="131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 10.51</w:t>
            </w:r>
          </w:p>
        </w:tc>
      </w:tr>
    </w:tbl>
    <w:p>
      <w:pPr>
        <w:spacing w:after="140"/>
      </w:pPr>
    </w:p>
    <w:p>
      <w:pPr>
        <w:spacing w:after="160"/>
      </w:pPr>
      <w:r>
        <w:rPr>
          <w:rFonts w:ascii="Arial" w:cs="Arial" w:eastAsia="Arial" w:hAnsi="Arial"/>
          <w:color w:val="475569"/>
          <w:sz w:val="22"/>
          <w:szCs w:val="22"/>
        </w:rPr>
        <w:t xml:space="preserve">Split at 1550 gives the higher VR (12.51), so the right branch splits there — and the process repeats recursively on every resulting branch until stopped.</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BEAFE" w:color="auto" w:val="clear"/>
            <w:tcMar>
              <w:top w:type="dxa" w:w="160"/>
              <w:left w:type="dxa" w:w="200"/>
              <w:bottom w:type="dxa" w:w="160"/>
              <w:right w:type="dxa" w:w="200"/>
            </w:tcMar>
          </w:tcPr>
          <w:p>
            <w:pPr>
              <w:spacing w:after="60"/>
            </w:pPr>
            <w:r>
              <w:rPr>
                <w:rFonts w:ascii="Arial" w:cs="Arial" w:eastAsia="Arial" w:hAnsi="Arial"/>
                <w:b/>
                <w:bCs/>
                <w:color w:val="2563EB"/>
                <w:sz w:val="22"/>
                <w:szCs w:val="22"/>
              </w:rPr>
              <w:t xml:space="preserve">▸ Test prediction</w:t>
            </w:r>
          </w:p>
          <w:p>
            <w:pPr>
              <w:spacing w:after="40"/>
            </w:pPr>
            <w:r>
              <w:rPr>
                <w:rFonts w:ascii="Arial" w:cs="Arial" w:eastAsia="Arial" w:hAnsi="Arial"/>
                <w:color w:val="2563EB"/>
                <w:sz w:val="21"/>
                <w:szCs w:val="21"/>
              </w:rPr>
              <w:t xml:space="preserve">A new point with sqft = 1680 falls on the right branch (≥ 1200), then the sub-branch ≥ 1550 containing {1600→95, 1700→100} — predicting a price close to 100, the leaf's mean/median value.</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EE2E2" w:color="auto" w:val="clear"/>
            <w:tcMar>
              <w:top w:type="dxa" w:w="160"/>
              <w:left w:type="dxa" w:w="200"/>
              <w:bottom w:type="dxa" w:w="160"/>
              <w:right w:type="dxa" w:w="200"/>
            </w:tcMar>
          </w:tcPr>
          <w:p>
            <w:pPr>
              <w:spacing w:after="60"/>
            </w:pPr>
            <w:r>
              <w:rPr>
                <w:rFonts w:ascii="Arial" w:cs="Arial" w:eastAsia="Arial" w:hAnsi="Arial"/>
                <w:b/>
                <w:bCs/>
                <w:color w:val="B91C1C"/>
                <w:sz w:val="22"/>
                <w:szCs w:val="22"/>
              </w:rPr>
              <w:t xml:space="preserve">⚠ Overfitting</w:t>
            </w:r>
          </w:p>
          <w:p>
            <w:pPr>
              <w:spacing w:after="40"/>
            </w:pPr>
            <w:r>
              <w:rPr>
                <w:rFonts w:ascii="Arial" w:cs="Arial" w:eastAsia="Arial" w:hAnsi="Arial"/>
                <w:color w:val="B91C1C"/>
                <w:sz w:val="21"/>
                <w:szCs w:val="21"/>
              </w:rPr>
              <w:t xml:space="preserve">If every leaf node is allowed to become pure (a single unique value per leaf), the tree has essentially memorized the training data — this leads directly to overfitting.</w:t>
            </w:r>
          </w:p>
        </w:tc>
      </w:tr>
    </w:tbl>
    <w:p>
      <w:pPr>
        <w:spacing w:after="200"/>
      </w:pPr>
    </w:p>
    <w:p>
      <w:pPr>
        <w:spacing w:after="140" w:before="280"/>
      </w:pPr>
      <w:r>
        <w:rPr>
          <w:rFonts w:ascii="Arial" w:cs="Arial" w:eastAsia="Arial" w:hAnsi="Arial"/>
          <w:b/>
          <w:bCs/>
          <w:color w:val="1A3560"/>
          <w:sz w:val="30"/>
          <w:szCs w:val="30"/>
        </w:rPr>
        <w:t xml:space="preserve">5. Pre-Pruning Hyperparameters (Early Stopping)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Hyperparameter</w:t>
            </w:r>
          </w:p>
        </w:tc>
        <w:tc>
          <w:tcPr>
            <w:tcW w:type="dxa" w:w="624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Meaning</w:t>
            </w:r>
          </w:p>
        </w:tc>
      </w:tr>
      <w:tr>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min_samples_split = 2</w:t>
            </w:r>
          </w:p>
        </w:tc>
        <w:tc>
          <w:tcPr>
            <w:tcW w:type="dxa" w:w="62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Only split a node if it contains more than 2 samples (len(data) &gt; 2 → allow split)</w:t>
            </w:r>
          </w:p>
        </w:tc>
      </w:tr>
      <w:tr>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min_samples_leaf = 1</w:t>
            </w:r>
          </w:p>
        </w:tc>
        <w:tc>
          <w:tcPr>
            <w:tcW w:type="dxa" w:w="624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Each leaf must contain ≥ 1 sample — a value of 1 risks overfitting; raising it forces smoother, more general leaves</w:t>
            </w:r>
          </w:p>
        </w:tc>
      </w:tr>
    </w:tbl>
    <w:p>
      <w:pPr>
        <w:spacing w:after="160"/>
      </w:pPr>
    </w:p>
    <w:p>
      <w:pPr>
        <w:spacing w:after="100" w:before="200"/>
      </w:pPr>
      <w:r>
        <w:rPr>
          <w:rFonts w:ascii="Arial" w:cs="Arial" w:eastAsia="Arial" w:hAnsi="Arial"/>
          <w:b/>
          <w:bCs/>
          <w:color w:val="2563EB"/>
          <w:sz w:val="25"/>
          <w:szCs w:val="25"/>
        </w:rPr>
        <w:t xml:space="preserve">Multi-feature worked mini-example</w:t>
      </w:r>
    </w:p>
    <w:p>
      <w:pPr>
        <w:spacing w:after="160"/>
      </w:pPr>
      <w:r>
        <w:rPr>
          <w:rFonts w:ascii="Arial" w:cs="Arial" w:eastAsia="Arial" w:hAnsi="Arial"/>
          <w:color w:val="1F2937"/>
          <w:sz w:val="22"/>
          <w:szCs w:val="22"/>
        </w:rPr>
        <w:t xml:space="preserve">Features x₁...x₅ → y, with parent variance = 400. Testing splits on x₁ (sorted values 10, 20, 30, 40, 50 → midpoints 15, 25, 35, 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VR(x₁ &lt; 15) = 400 - 100 = 300</w:t>
            </w:r>
          </w:p>
          <w:p>
            <w:pPr>
              <w:spacing w:after="20"/>
            </w:pPr>
            <w:r>
              <w:rPr>
                <w:rFonts w:ascii="Courier New" w:cs="Courier New" w:eastAsia="Courier New" w:hAnsi="Courier New"/>
                <w:color w:val="1A3560"/>
                <w:sz w:val="20"/>
                <w:szCs w:val="20"/>
              </w:rPr>
              <w:t xml:space="preserve">VR(x₁ &lt; 25) = 200</w:t>
            </w:r>
          </w:p>
          <w:p>
            <w:pPr>
              <w:spacing w:after="20"/>
            </w:pPr>
            <w:r>
              <w:rPr>
                <w:rFonts w:ascii="Courier New" w:cs="Courier New" w:eastAsia="Courier New" w:hAnsi="Courier New"/>
                <w:color w:val="1A3560"/>
                <w:sz w:val="20"/>
                <w:szCs w:val="20"/>
              </w:rPr>
              <w:t xml:space="preserve">VR(x₁ &lt; 35) = 350   ← highest so far</w:t>
            </w:r>
          </w:p>
          <w:p>
            <w:pPr>
              <w:spacing w:after="20"/>
            </w:pPr>
            <w:r>
              <w:rPr>
                <w:rFonts w:ascii="Courier New" w:cs="Courier New" w:eastAsia="Courier New" w:hAnsi="Courier New"/>
                <w:color w:val="1A3560"/>
                <w:sz w:val="20"/>
                <w:szCs w:val="20"/>
              </w:rPr>
              <w:t xml:space="preserve">VR(x₁ &lt; 45) = 190</w:t>
            </w:r>
          </w:p>
        </w:tc>
      </w:tr>
    </w:tbl>
    <w:p>
      <w:pPr>
        <w:spacing w:after="160"/>
      </w:pPr>
      <w:r>
        <w:rPr>
          <w:rFonts w:ascii="Arial" w:cs="Arial" w:eastAsia="Arial" w:hAnsi="Arial"/>
          <w:color w:val="475569"/>
          <w:sz w:val="22"/>
          <w:szCs w:val="22"/>
        </w:rPr>
        <w:t xml:space="preserve">The same process (sort → midpoints → VR at each midpoint) repeats for x₂ through x₅, and the single highest VR across ALL features and ALL their candidate splits determines the actual root node.</w:t>
      </w:r>
    </w:p>
    <w:p>
      <w:pPr>
        <w:spacing w:after="240"/>
      </w:pPr>
    </w:p>
    <w:p>
      <w:pPr>
        <w:spacing w:after="140" w:before="280"/>
      </w:pPr>
      <w:r>
        <w:rPr>
          <w:rFonts w:ascii="Arial" w:cs="Arial" w:eastAsia="Arial" w:hAnsi="Arial"/>
          <w:b/>
          <w:bCs/>
          <w:color w:val="1A3560"/>
          <w:sz w:val="30"/>
          <w:szCs w:val="30"/>
        </w:rPr>
        <w:t xml:space="preserve">6. Ensemble Methods — Bagging vs. Boosting</w:t>
      </w:r>
    </w:p>
    <w:p>
      <w:pPr>
        <w:spacing w:after="160"/>
      </w:pPr>
      <w:r>
        <w:rPr>
          <w:rFonts w:ascii="Arial" w:cs="Arial" w:eastAsia="Arial" w:hAnsi="Arial"/>
          <w:color w:val="1F2937"/>
          <w:sz w:val="22"/>
          <w:szCs w:val="22"/>
        </w:rPr>
        <w:t xml:space="preserve">Ensemble method/learning/technique: creating multiple models for a single problem statement, then combining their outputs.</w:t>
      </w:r>
    </w:p>
    <w:p>
      <w:pPr>
        <w:spacing w:after="100" w:before="200"/>
      </w:pPr>
      <w:r>
        <w:rPr>
          <w:rFonts w:ascii="Arial" w:cs="Arial" w:eastAsia="Arial" w:hAnsi="Arial"/>
          <w:b/>
          <w:bCs/>
          <w:color w:val="2563EB"/>
          <w:sz w:val="25"/>
          <w:szCs w:val="25"/>
        </w:rPr>
        <w:t xml:space="preserve">Bagging — parallel, independent models</w:t>
      </w:r>
    </w:p>
    <w:p>
      <w:pPr>
        <w:spacing w:after="160"/>
      </w:pPr>
      <w:r>
        <w:rPr>
          <w:rFonts w:ascii="Arial" w:cs="Arial" w:eastAsia="Arial" w:hAnsi="Arial"/>
          <w:color w:val="1F2937"/>
          <w:sz w:val="22"/>
          <w:szCs w:val="22"/>
        </w:rPr>
        <w:t xml:space="preserve">Models are trained independently (in parallel), often on different feature subsets or data samples, then their predictions are aggregated: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Input (x₁,x₂,x₃,x₄,x₅), y numerical:</w:t>
            </w:r>
          </w:p>
          <w:p>
            <w:pPr>
              <w:spacing w:after="20"/>
            </w:pPr>
            <w:r>
              <w:rPr>
                <w:rFonts w:ascii="Courier New" w:cs="Courier New" w:eastAsia="Courier New" w:hAnsi="Courier New"/>
                <w:color w:val="1A3560"/>
                <w:sz w:val="20"/>
                <w:szCs w:val="20"/>
              </w:rPr>
              <w:t xml:space="preserve">  Model 1: Linear Regression (lr=0.01)   on (x₁,x₂,x₃)   → prediction A = 100</w:t>
            </w:r>
          </w:p>
          <w:p>
            <w:pPr>
              <w:spacing w:after="20"/>
            </w:pPr>
            <w:r>
              <w:rPr>
                <w:rFonts w:ascii="Courier New" w:cs="Courier New" w:eastAsia="Courier New" w:hAnsi="Courier New"/>
                <w:color w:val="1A3560"/>
                <w:sz w:val="20"/>
                <w:szCs w:val="20"/>
              </w:rPr>
              <w:t xml:space="preserve">  Model 2: Linear/Polynomial (lr=0.001)  on (x₁,x₂,x₃)   → prediction A = 120</w:t>
            </w:r>
          </w:p>
          <w:p>
            <w:pPr>
              <w:spacing w:after="20"/>
            </w:pPr>
            <w:r>
              <w:rPr>
                <w:rFonts w:ascii="Courier New" w:cs="Courier New" w:eastAsia="Courier New" w:hAnsi="Courier New"/>
                <w:color w:val="1A3560"/>
                <w:sz w:val="20"/>
                <w:szCs w:val="20"/>
              </w:rPr>
              <w:t xml:space="preserve">  Model 3: SVM (kernel=rbf)              on (x₂,x₃,x₄)   → prediction B = 140</w:t>
            </w:r>
          </w:p>
          <w:p>
            <w:pPr>
              <w:spacing w:after="20"/>
            </w:pPr>
            <w:r>
              <w:rPr>
                <w:rFonts w:ascii="Courier New" w:cs="Courier New" w:eastAsia="Courier New" w:hAnsi="Courier New"/>
                <w:color w:val="1A3560"/>
                <w:sz w:val="20"/>
                <w:szCs w:val="20"/>
              </w:rPr>
              <w:t xml:space="preserve">                                                         ↓</w:t>
            </w:r>
          </w:p>
          <w:p>
            <w:pPr>
              <w:spacing w:after="20"/>
            </w:pPr>
            <w:r>
              <w:rPr>
                <w:rFonts w:ascii="Courier New" w:cs="Courier New" w:eastAsia="Courier New" w:hAnsi="Courier New"/>
                <w:color w:val="1A3560"/>
                <w:sz w:val="20"/>
                <w:szCs w:val="20"/>
              </w:rPr>
              <w:t xml:space="preserve">                                                  Aggregation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w:t>
            </w:r>
          </w:p>
        </w:tc>
        <w:tc>
          <w:tcPr>
            <w:tcW w:type="dxa" w:w="624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Aggregation rule</w:t>
            </w:r>
          </w:p>
        </w:tc>
      </w:tr>
      <w:tr>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Classification</w:t>
            </w:r>
          </w:p>
        </w:tc>
        <w:tc>
          <w:tcPr>
            <w:tcW w:type="dxa" w:w="62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Majority vote across models</w:t>
            </w:r>
          </w:p>
        </w:tc>
      </w:tr>
      <w:tr>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Regression</w:t>
            </w:r>
          </w:p>
        </w:tc>
        <w:tc>
          <w:tcPr>
            <w:tcW w:type="dxa" w:w="624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Average or median across models</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CCFBF1" w:color="auto" w:val="clear"/>
            <w:tcMar>
              <w:top w:type="dxa" w:w="160"/>
              <w:left w:type="dxa" w:w="200"/>
              <w:bottom w:type="dxa" w:w="160"/>
              <w:right w:type="dxa" w:w="200"/>
            </w:tcMar>
          </w:tcPr>
          <w:p>
            <w:pPr>
              <w:spacing w:after="60"/>
            </w:pPr>
            <w:r>
              <w:rPr>
                <w:rFonts w:ascii="Arial" w:cs="Arial" w:eastAsia="Arial" w:hAnsi="Arial"/>
                <w:b/>
                <w:bCs/>
                <w:color w:val="0F766E"/>
                <w:sz w:val="22"/>
                <w:szCs w:val="22"/>
              </w:rPr>
              <w:t xml:space="preserve">▸ Random Forest = Bagging + Decision Tree</w:t>
            </w:r>
          </w:p>
          <w:p>
            <w:pPr>
              <w:spacing w:after="40"/>
            </w:pPr>
            <w:r>
              <w:rPr>
                <w:rFonts w:ascii="Arial" w:cs="Arial" w:eastAsia="Arial" w:hAnsi="Arial"/>
                <w:color w:val="0F766E"/>
                <w:sz w:val="21"/>
                <w:szCs w:val="21"/>
              </w:rPr>
              <w:t xml:space="preserve">Random Forest is the most common bagging example — many Decision Trees trained independently (in parallel) on bootstrapped data, then aggregated by majority vote (classification) or averaging (regression).</w:t>
            </w:r>
          </w:p>
        </w:tc>
      </w:tr>
    </w:tbl>
    <w:p>
      <w:pPr>
        <w:spacing w:after="200"/>
      </w:pPr>
    </w:p>
    <w:p>
      <w:pPr>
        <w:spacing w:after="100" w:before="200"/>
      </w:pPr>
      <w:r>
        <w:rPr>
          <w:rFonts w:ascii="Arial" w:cs="Arial" w:eastAsia="Arial" w:hAnsi="Arial"/>
          <w:b/>
          <w:bCs/>
          <w:color w:val="2563EB"/>
          <w:sz w:val="25"/>
          <w:szCs w:val="25"/>
        </w:rPr>
        <w:t xml:space="preserve">Boosting — sequential, error-correcting models</w:t>
      </w:r>
    </w:p>
    <w:p>
      <w:pPr>
        <w:spacing w:after="160"/>
      </w:pPr>
      <w:r>
        <w:rPr>
          <w:rFonts w:ascii="Arial" w:cs="Arial" w:eastAsia="Arial" w:hAnsi="Arial"/>
          <w:color w:val="1F2937"/>
          <w:sz w:val="22"/>
          <w:szCs w:val="22"/>
        </w:rPr>
        <w:t xml:space="preserve">Unlike bagging, boosting trains models one after another — each new model specifically targets the errors left by the previous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ML-1  →  ML-2  →  ML-3  →  ML-4  →  ML-5</w:t>
            </w:r>
          </w:p>
          <w:p>
            <w:pPr>
              <w:spacing w:after="20"/>
            </w:pPr>
            <w:r>
              <w:rPr>
                <w:rFonts w:ascii="Courier New" w:cs="Courier New" w:eastAsia="Courier New" w:hAnsi="Courier New"/>
                <w:color w:val="1A3560"/>
                <w:sz w:val="20"/>
                <w:szCs w:val="20"/>
              </w:rPr>
              <w:t xml:space="preserve">(each model is a simple base learner — often a shallow tree / "stump", depth 1–3)</w:t>
            </w:r>
          </w:p>
        </w:tc>
      </w:tr>
    </w:tbl>
    <w:p>
      <w:pPr>
        <w:spacing w:after="160"/>
      </w:pPr>
      <w:r>
        <w:rPr>
          <w:rFonts w:ascii="Arial" w:cs="Arial" w:eastAsia="Arial" w:hAnsi="Arial"/>
          <w:color w:val="1F2937"/>
          <w:sz w:val="22"/>
          <w:szCs w:val="22"/>
        </w:rPr>
        <w:t xml:space="preserve">Model 1 handles the cases it's good at; whatever it gets wrong becomes the focus of Model 2's errors to correct; Model 3 targets what's still wrong after Model 2, and so on. XGBoost and Gradient Boosting are the canonical examples — boosting + Decision Tree (or another simple base model), applied sequentially.</w:t>
      </w:r>
    </w:p>
    <w:p>
      <w:pPr>
        <w:spacing w:after="200"/>
      </w:pPr>
    </w:p>
    <w:p>
      <w:pPr>
        <w:spacing w:after="140" w:before="280"/>
      </w:pPr>
      <w:r>
        <w:rPr>
          <w:rFonts w:ascii="Arial" w:cs="Arial" w:eastAsia="Arial" w:hAnsi="Arial"/>
          <w:b/>
          <w:bCs/>
          <w:color w:val="1A3560"/>
          <w:sz w:val="30"/>
          <w:szCs w:val="30"/>
        </w:rPr>
        <w:t xml:space="preserve">7. Bootstrap Sampling &amp; Out-of-Bag (OOB) Data</w:t>
      </w:r>
    </w:p>
    <w:p>
      <w:pPr>
        <w:spacing w:after="160"/>
      </w:pPr>
      <w:r>
        <w:rPr>
          <w:rFonts w:ascii="Arial" w:cs="Arial" w:eastAsia="Arial" w:hAnsi="Arial"/>
          <w:color w:val="1F2937"/>
          <w:sz w:val="22"/>
          <w:szCs w:val="22"/>
        </w:rPr>
        <w:t xml:space="preserve">Bootstrap: build a new dataset of the same size as the original by randomly sampling rows WITH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x</w:t>
            </w:r>
          </w:p>
        </w:tc>
        <w:tc>
          <w:tcPr>
            <w:tcW w:type="dxa" w:w="468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w:t>
            </w:r>
          </w:p>
        </w:tc>
      </w:tr>
      <w:tr>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200</w:t>
            </w:r>
          </w:p>
        </w:tc>
      </w:tr>
      <w:tr>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300</w:t>
            </w:r>
          </w:p>
        </w:tc>
      </w:tr>
      <w:tr>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3</w:t>
            </w:r>
          </w:p>
        </w:tc>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400</w:t>
            </w:r>
          </w:p>
        </w:tc>
      </w:tr>
      <w:tr>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4</w:t>
            </w:r>
          </w:p>
        </w:tc>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500</w:t>
            </w:r>
          </w:p>
        </w:tc>
      </w:tr>
      <w:tr>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5</w:t>
            </w:r>
          </w:p>
        </w:tc>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600</w:t>
            </w:r>
          </w:p>
        </w:tc>
      </w:tr>
      <w:tr>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6</w:t>
            </w:r>
          </w:p>
        </w:tc>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700</w:t>
            </w:r>
          </w:p>
        </w:tc>
      </w:tr>
    </w:tbl>
    <w:p>
      <w:pPr>
        <w:spacing w:after="140"/>
      </w:pPr>
    </w:p>
    <w:p>
      <w:pPr>
        <w:spacing w:after="160"/>
      </w:pPr>
      <w:r>
        <w:rPr>
          <w:rFonts w:ascii="Arial" w:cs="Arial" w:eastAsia="Arial" w:hAnsi="Arial"/>
          <w:color w:val="1F2937"/>
          <w:sz w:val="22"/>
          <w:szCs w:val="22"/>
        </w:rPr>
        <w:t xml:space="preserve">Bootstrap dataset 1 (6 rows, sampled with replacement — note row 2 and row 1 repeat, rows 3 and 6 never picked):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BT-Dataset-1: [1→200, 2→300, 2→300, 4→500, 5→600, 1→200]   total count = 6</w:t>
            </w:r>
          </w:p>
          <w:p>
            <w:pPr>
              <w:spacing w:after="20"/>
            </w:pPr>
            <w:r>
              <w:rPr>
                <w:rFonts w:ascii="Courier New" w:cs="Courier New" w:eastAsia="Courier New" w:hAnsi="Courier New"/>
                <w:color w:val="1A3560"/>
                <w:sz w:val="20"/>
                <w:szCs w:val="20"/>
              </w:rPr>
              <w:t xml:space="preserve">  → rows 3 and 6 never picked → these become the Out-of-Bag (OOB) set for this bootstrap</w:t>
            </w:r>
          </w:p>
          <w:p>
            <w:pPr>
              <w:spacing w:after="20"/>
            </w:pPr>
            <w:r>
              <w:rPr>
                <w:rFonts w:ascii="Courier New" w:cs="Courier New" w:eastAsia="Courier New" w:hAnsi="Courier New"/>
                <w:color w:val="1A3560"/>
                <w:sz w:val="20"/>
                <w:szCs w:val="20"/>
              </w:rPr>
              <w:t xml:space="preserve"/>
            </w:r>
          </w:p>
          <w:p>
            <w:pPr>
              <w:spacing w:after="20"/>
            </w:pPr>
            <w:r>
              <w:rPr>
                <w:rFonts w:ascii="Courier New" w:cs="Courier New" w:eastAsia="Courier New" w:hAnsi="Courier New"/>
                <w:color w:val="1A3560"/>
                <w:sz w:val="20"/>
                <w:szCs w:val="20"/>
              </w:rPr>
              <w:t xml:space="preserve">BT-Dataset-2: [1→200, 2→300, 3→400, 3→400, 5→600, 6→700]   total count = 6</w:t>
            </w:r>
          </w:p>
          <w:p>
            <w:pPr>
              <w:spacing w:after="20"/>
            </w:pPr>
            <w:r>
              <w:rPr>
                <w:rFonts w:ascii="Courier New" w:cs="Courier New" w:eastAsia="Courier New" w:hAnsi="Courier New"/>
                <w:color w:val="1A3560"/>
                <w:sz w:val="20"/>
                <w:szCs w:val="20"/>
              </w:rPr>
              <w:t xml:space="preserve">  → rows 4 never picked → OOB set for this bootstrap</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EDE9FE" w:color="auto" w:val="clear"/>
            <w:tcMar>
              <w:top w:type="dxa" w:w="160"/>
              <w:left w:type="dxa" w:w="200"/>
              <w:bottom w:type="dxa" w:w="160"/>
              <w:right w:type="dxa" w:w="200"/>
            </w:tcMar>
          </w:tcPr>
          <w:p>
            <w:pPr>
              <w:spacing w:after="60"/>
            </w:pPr>
            <w:r>
              <w:rPr>
                <w:rFonts w:ascii="Arial" w:cs="Arial" w:eastAsia="Arial" w:hAnsi="Arial"/>
                <w:b/>
                <w:bCs/>
                <w:color w:val="6D28D9"/>
                <w:sz w:val="22"/>
                <w:szCs w:val="22"/>
              </w:rPr>
              <w:t xml:space="preserve">▸ Why ~63.2% / ~36.8%?</w:t>
            </w:r>
          </w:p>
          <w:p>
            <w:pPr>
              <w:spacing w:after="40"/>
            </w:pPr>
            <w:r>
              <w:rPr>
                <w:rFonts w:ascii="Arial" w:cs="Arial" w:eastAsia="Arial" w:hAnsi="Arial"/>
                <w:color w:val="6D28D9"/>
                <w:sz w:val="21"/>
                <w:szCs w:val="21"/>
              </w:rPr>
              <w:t xml:space="preserve">Probability a specific row is NEVER picked after N random draws (with replacement) from N rows: (1 - 1/N)^N.</w:t>
            </w:r>
          </w:p>
          <w:p>
            <w:pPr>
              <w:spacing w:after="40"/>
            </w:pPr>
            <w:r>
              <w:rPr>
                <w:rFonts w:ascii="Arial" w:cs="Arial" w:eastAsia="Arial" w:hAnsi="Arial"/>
                <w:color w:val="6D28D9"/>
                <w:sz w:val="21"/>
                <w:szCs w:val="21"/>
              </w:rPr>
              <w:t xml:space="preserve">As N grows large, this approaches 1/e ≈ 0.3678 → about 36.8% of rows are left out of any given bootstrap sample — this is the Out-of-Bag (OOB) data.</w:t>
            </w:r>
          </w:p>
          <w:p>
            <w:pPr>
              <w:spacing w:after="40"/>
            </w:pPr>
            <w:r>
              <w:rPr>
                <w:rFonts w:ascii="Arial" w:cs="Arial" w:eastAsia="Arial" w:hAnsi="Arial"/>
                <w:color w:val="6D28D9"/>
                <w:sz w:val="21"/>
                <w:szCs w:val="21"/>
              </w:rPr>
              <w:t xml:space="preserve">The remaining 100% - 36.8% = 63.2% of rows appear in the bootstrap sample (some as duplicates).</w:t>
            </w:r>
          </w:p>
        </w:tc>
      </w:tr>
    </w:tbl>
    <w:p>
      <w:pPr>
        <w:spacing w:after="160"/>
      </w:pPr>
    </w:p>
    <w:p>
      <w:pPr>
        <w:spacing w:after="160"/>
      </w:pPr>
      <w:r>
        <w:rPr>
          <w:rFonts w:ascii="Arial" w:cs="Arial" w:eastAsia="Arial" w:hAnsi="Arial"/>
          <w:color w:val="1F2937"/>
          <w:sz w:val="22"/>
          <w:szCs w:val="22"/>
        </w:rPr>
        <w:t xml:space="preserve">Each bootstrap dataset trains its own Decision Tree, and its own OOB rows serve as a free validation set for that specific tree: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Bootstrap-data-1 → 63.2% train DT-1 (model) — 36.8% (OOB) → validation</w:t>
            </w:r>
          </w:p>
          <w:p>
            <w:pPr>
              <w:spacing w:after="20"/>
            </w:pPr>
            <w:r>
              <w:rPr>
                <w:rFonts w:ascii="Courier New" w:cs="Courier New" w:eastAsia="Courier New" w:hAnsi="Courier New"/>
                <w:color w:val="1A3560"/>
                <w:sz w:val="20"/>
                <w:szCs w:val="20"/>
              </w:rPr>
              <w:t xml:space="preserve">Bootstrap-data-2 → 63.2% train DT-2 (model) — 36.8% (OOB) → validation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FCE7" w:color="auto" w:val="clear"/>
            <w:tcMar>
              <w:top w:type="dxa" w:w="160"/>
              <w:left w:type="dxa" w:w="200"/>
              <w:bottom w:type="dxa" w:w="160"/>
              <w:right w:type="dxa" w:w="200"/>
            </w:tcMar>
          </w:tcPr>
          <w:p>
            <w:pPr>
              <w:spacing w:after="60"/>
            </w:pPr>
            <w:r>
              <w:rPr>
                <w:rFonts w:ascii="Arial" w:cs="Arial" w:eastAsia="Arial" w:hAnsi="Arial"/>
                <w:b/>
                <w:bCs/>
                <w:color w:val="15803D"/>
                <w:sz w:val="22"/>
                <w:szCs w:val="22"/>
              </w:rPr>
              <w:t xml:space="preserve">▸ Random Forest is self-validated</w:t>
            </w:r>
          </w:p>
          <w:p>
            <w:pPr>
              <w:spacing w:after="40"/>
            </w:pPr>
            <w:r>
              <w:rPr>
                <w:rFonts w:ascii="Arial" w:cs="Arial" w:eastAsia="Arial" w:hAnsi="Arial"/>
                <w:color w:val="15803D"/>
                <w:sz w:val="21"/>
                <w:szCs w:val="21"/>
              </w:rPr>
              <w:t xml:space="preserve">Because every tree in the forest has its own held-out OOB rows, Random Forest gets a built-in validation signal without needing a separate train/test split — this is why it's described as a self-validated model.</w:t>
            </w:r>
          </w:p>
        </w:tc>
      </w:tr>
    </w:tbl>
    <w:p>
      <w:pPr>
        <w:spacing w:after="240"/>
      </w:pPr>
    </w:p>
    <w:p>
      <w:pPr>
        <w:spacing w:after="140" w:before="280"/>
      </w:pPr>
      <w:r>
        <w:rPr>
          <w:rFonts w:ascii="Arial" w:cs="Arial" w:eastAsia="Arial" w:hAnsi="Arial"/>
          <w:b/>
          <w:bCs/>
          <w:color w:val="1A3560"/>
          <w:sz w:val="30"/>
          <w:szCs w:val="30"/>
        </w:rPr>
        <w:t xml:space="preserve">8. Random Forest — Bagging + Bootstrap + Decision Tree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Dataset → n_estimators = 100 → 100 bootstrap datasets → 100 Decision Trees (DT-1 ... DT-100)</w:t>
            </w:r>
          </w:p>
          <w:p>
            <w:pPr>
              <w:spacing w:after="20"/>
            </w:pPr>
            <w:r>
              <w:rPr>
                <w:rFonts w:ascii="Courier New" w:cs="Courier New" w:eastAsia="Courier New" w:hAnsi="Courier New"/>
                <w:color w:val="1A3560"/>
                <w:sz w:val="20"/>
                <w:szCs w:val="20"/>
              </w:rPr>
              <w:t xml:space="preserve">        → max_features = 2 → at every node, only 2 randomly chosen features are considered for the split</w:t>
            </w:r>
          </w:p>
        </w:tc>
      </w:tr>
    </w:tbl>
    <w:p>
      <w:pPr>
        <w:spacing w:after="160"/>
      </w:pPr>
      <w:r>
        <w:rPr>
          <w:rFonts w:ascii="Arial" w:cs="Arial" w:eastAsia="Arial" w:hAnsi="Arial"/>
          <w:color w:val="1F2937"/>
          <w:sz w:val="22"/>
          <w:szCs w:val="22"/>
        </w:rPr>
        <w:t xml:space="preserve">For every node (root or decision), each tree is only allowed to pick from a random subset of features — e.g. root considers only {x₁, x₃}, computes variance reduction for each, and picks whichever gives the highest VR: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Root node candidates: x₁, x₃  (randomly selected from all available features)</w:t>
            </w:r>
          </w:p>
          <w:p>
            <w:pPr>
              <w:spacing w:after="20"/>
            </w:pPr>
            <w:r>
              <w:rPr>
                <w:rFonts w:ascii="Courier New" w:cs="Courier New" w:eastAsia="Courier New" w:hAnsi="Courier New"/>
                <w:color w:val="1A3560"/>
                <w:sz w:val="20"/>
                <w:szCs w:val="20"/>
              </w:rPr>
              <w:t xml:space="preserve">  → sort values, find midpoints, compute VR(left, right) for each</w:t>
            </w:r>
          </w:p>
          <w:p>
            <w:pPr>
              <w:spacing w:after="20"/>
            </w:pPr>
            <w:r>
              <w:rPr>
                <w:rFonts w:ascii="Courier New" w:cs="Courier New" w:eastAsia="Courier New" w:hAnsi="Courier New"/>
                <w:color w:val="1A3560"/>
                <w:sz w:val="20"/>
                <w:szCs w:val="20"/>
              </w:rPr>
              <w:t xml:space="preserve">  → highest VR determines the actual root split for THIS tree</w:t>
            </w:r>
          </w:p>
          <w:p>
            <w:pPr>
              <w:spacing w:after="20"/>
            </w:pPr>
            <w:r>
              <w:rPr>
                <w:rFonts w:ascii="Courier New" w:cs="Courier New" w:eastAsia="Courier New" w:hAnsi="Courier New"/>
                <w:color w:val="1A3560"/>
                <w:sz w:val="20"/>
                <w:szCs w:val="20"/>
              </w:rPr>
              <w:t xml:space="preserve"/>
            </w:r>
          </w:p>
          <w:p>
            <w:pPr>
              <w:spacing w:after="20"/>
            </w:pPr>
            <w:r>
              <w:rPr>
                <w:rFonts w:ascii="Courier New" w:cs="Courier New" w:eastAsia="Courier New" w:hAnsi="Courier New"/>
                <w:color w:val="1A3560"/>
                <w:sz w:val="20"/>
                <w:szCs w:val="20"/>
              </w:rPr>
              <w:t xml:space="preserve">Next node down: a fresh random subset is drawn again (e.g. x₂, x₄)</w:t>
            </w:r>
          </w:p>
        </w:tc>
      </w:tr>
    </w:tbl>
    <w:p>
      <w:pPr>
        <w:spacing w:after="160"/>
      </w:pPr>
      <w:r>
        <w:rPr>
          <w:rFonts w:ascii="Arial" w:cs="Arial" w:eastAsia="Arial" w:hAnsi="Arial"/>
          <w:color w:val="475569"/>
          <w:sz w:val="22"/>
          <w:szCs w:val="22"/>
        </w:rPr>
        <w:t xml:space="preserve">This random feature subsampling at every node — combined with each tree training on a different bootstrap sample — is what makes the 100 trees meaningfully different from one another, which is essential for the ensemble to generalize better than any single tree.</w:t>
      </w:r>
    </w:p>
    <w:p>
      <w:pPr>
        <w:spacing w:after="200"/>
      </w:pPr>
    </w:p>
    <w:p>
      <w:pPr>
        <w:spacing w:after="140" w:before="280"/>
      </w:pPr>
      <w:r>
        <w:rPr>
          <w:rFonts w:ascii="Arial" w:cs="Arial" w:eastAsia="Arial" w:hAnsi="Arial"/>
          <w:b/>
          <w:bCs/>
          <w:color w:val="1A3560"/>
          <w:sz w:val="30"/>
          <w:szCs w:val="30"/>
        </w:rPr>
        <w:t xml:space="preserve">9. Random Forest — Final Prediction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ŷ_RF(x) = (1/N) Σᵢ₌₁ᴺ fₙ(x)      where N = number of trees, fₙ = the n-th tree's prediction function</w:t>
            </w:r>
          </w:p>
        </w:tc>
      </w:tr>
    </w:tbl>
    <w:p>
      <w:pPr>
        <w:spacing w:after="160"/>
      </w:pPr>
      <w:r>
        <w:rPr>
          <w:rFonts w:ascii="Arial" w:cs="Arial" w:eastAsia="Arial" w:hAnsi="Arial"/>
          <w:color w:val="1F2937"/>
          <w:sz w:val="22"/>
          <w:szCs w:val="22"/>
        </w:rPr>
        <w:t xml:space="preserve">Worked example — predicting price for sqft=1200, bedrooms≥3, age=4 using 3 trees (N=3):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f₁(x) = 97.5</w:t>
            </w:r>
          </w:p>
          <w:p>
            <w:pPr>
              <w:spacing w:after="20"/>
            </w:pPr>
            <w:r>
              <w:rPr>
                <w:rFonts w:ascii="Courier New" w:cs="Courier New" w:eastAsia="Courier New" w:hAnsi="Courier New"/>
                <w:color w:val="1A3560"/>
                <w:sz w:val="20"/>
                <w:szCs w:val="20"/>
              </w:rPr>
              <w:t xml:space="preserve">f₂(x) = 93.75</w:t>
            </w:r>
          </w:p>
          <w:p>
            <w:pPr>
              <w:spacing w:after="20"/>
            </w:pPr>
            <w:r>
              <w:rPr>
                <w:rFonts w:ascii="Courier New" w:cs="Courier New" w:eastAsia="Courier New" w:hAnsi="Courier New"/>
                <w:color w:val="1A3560"/>
                <w:sz w:val="20"/>
                <w:szCs w:val="20"/>
              </w:rPr>
              <w:t xml:space="preserve">f₃(x) = 90</w:t>
            </w:r>
          </w:p>
          <w:p>
            <w:pPr>
              <w:spacing w:after="20"/>
            </w:pPr>
            <w:r>
              <w:rPr>
                <w:rFonts w:ascii="Courier New" w:cs="Courier New" w:eastAsia="Courier New" w:hAnsi="Courier New"/>
                <w:color w:val="1A3560"/>
                <w:sz w:val="20"/>
                <w:szCs w:val="20"/>
              </w:rPr>
              <w:t xml:space="preserve"/>
            </w:r>
          </w:p>
          <w:p>
            <w:pPr>
              <w:spacing w:after="20"/>
            </w:pPr>
            <w:r>
              <w:rPr>
                <w:rFonts w:ascii="Courier New" w:cs="Courier New" w:eastAsia="Courier New" w:hAnsi="Courier New"/>
                <w:color w:val="1A3560"/>
                <w:sz w:val="20"/>
                <w:szCs w:val="20"/>
              </w:rPr>
              <w:t xml:space="preserve">ŷ_RF(x) = (1/3)(97.5 + 93.75 + 90) = 93.75</w:t>
            </w:r>
          </w:p>
        </w:tc>
      </w:tr>
    </w:tbl>
    <w:p>
      <w:pPr>
        <w:spacing w:after="200"/>
      </w:pPr>
    </w:p>
    <w:p>
      <w:pPr>
        <w:spacing w:after="100" w:before="200"/>
      </w:pPr>
      <w:r>
        <w:rPr>
          <w:rFonts w:ascii="Arial" w:cs="Arial" w:eastAsia="Arial" w:hAnsi="Arial"/>
          <w:b/>
          <w:bCs/>
          <w:color w:val="2563EB"/>
          <w:sz w:val="25"/>
          <w:szCs w:val="25"/>
        </w:rPr>
        <w:t xml:space="preserve">Interpretability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Model</w:t>
            </w:r>
          </w:p>
        </w:tc>
        <w:tc>
          <w:tcPr>
            <w:tcW w:type="dxa" w:w="624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Interpretability</w:t>
            </w:r>
          </w:p>
        </w:tc>
      </w:tr>
      <w:tr>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Decision Tree</w:t>
            </w:r>
          </w:p>
        </w:tc>
        <w:tc>
          <w:tcPr>
            <w:tcW w:type="dxa" w:w="62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Easy to interpret — a single, fully readable chain of if-else logic</w:t>
            </w:r>
          </w:p>
        </w:tc>
      </w:tr>
      <w:tr>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Random Forest</w:t>
            </w:r>
          </w:p>
        </w:tc>
        <w:tc>
          <w:tcPr>
            <w:tcW w:type="dxa" w:w="624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A “black box” — 100 trees voting/averaging is not humanly traceable, but far more powerful and generalizable than any single tree</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0D1F3C" w:color="auto" w:val="clear"/>
            <w:tcMar>
              <w:top w:type="dxa" w:w="320"/>
              <w:left w:type="dxa" w:w="320"/>
              <w:bottom w:type="dxa" w:w="320"/>
              <w:right w:type="dxa" w:w="320"/>
            </w:tcMar>
          </w:tcPr>
          <w:p>
            <w:pPr>
              <w:spacing w:after="60"/>
            </w:pPr>
            <w:r>
              <w:rPr>
                <w:rFonts w:ascii="Arial" w:cs="Arial" w:eastAsia="Arial" w:hAnsi="Arial"/>
                <w:b/>
                <w:bCs/>
                <w:color w:val="93C5FD"/>
                <w:sz w:val="22"/>
                <w:szCs w:val="22"/>
              </w:rPr>
              <w:t xml:space="preserve">SENIOR ENGINEER NOTES</w:t>
            </w:r>
          </w:p>
          <w:p>
            <w:pPr>
              <w:spacing w:after="100"/>
            </w:pPr>
            <w:r>
              <w:rPr>
                <w:rFonts w:ascii="Arial" w:cs="Arial" w:eastAsia="Arial" w:hAnsi="Arial"/>
                <w:b/>
                <w:bCs/>
                <w:color w:val="FFFFFF"/>
                <w:sz w:val="44"/>
                <w:szCs w:val="44"/>
              </w:rPr>
              <w:t xml:space="preserve">Production Gotchas — DT Regressor &amp; Ensembles</w:t>
            </w:r>
          </w:p>
          <w:p>
            <w:r>
              <w:rPr>
                <w:rFonts w:ascii="Arial" w:cs="Arial" w:eastAsia="Arial" w:hAnsi="Arial"/>
                <w:color w:val="CBD5E1"/>
                <w:sz w:val="20"/>
                <w:szCs w:val="20"/>
              </w:rPr>
              <w:t xml:space="preserve">ML-18</w:t>
            </w:r>
          </w:p>
        </w:tc>
      </w:tr>
    </w:tbl>
    <w:p>
      <w:pPr>
        <w:spacing w:after="240"/>
      </w:pPr>
    </w:p>
    <w:p>
      <w:pPr>
        <w:spacing w:after="140" w:before="280"/>
      </w:pPr>
      <w:r>
        <w:rPr>
          <w:rFonts w:ascii="Arial" w:cs="Arial" w:eastAsia="Arial" w:hAnsi="Arial"/>
          <w:b/>
          <w:bCs/>
          <w:color w:val="1A3560"/>
          <w:sz w:val="30"/>
          <w:szCs w:val="30"/>
        </w:rPr>
        <w:t xml:space="preserve">Production Wisdom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EE2E2" w:color="auto" w:val="clear"/>
            <w:tcMar>
              <w:top w:type="dxa" w:w="160"/>
              <w:left w:type="dxa" w:w="220"/>
              <w:bottom w:type="dxa" w:w="160"/>
              <w:right w:type="dxa" w:w="220"/>
            </w:tcMar>
          </w:tcPr>
          <w:p>
            <w:pPr>
              <w:spacing w:after="40"/>
            </w:pPr>
            <w:r>
              <w:rPr>
                <w:rFonts w:ascii="Arial" w:cs="Arial" w:eastAsia="Arial" w:hAnsi="Arial"/>
                <w:b/>
                <w:bCs/>
                <w:color w:val="B91C1C"/>
                <w:sz w:val="16"/>
                <w:szCs w:val="16"/>
              </w:rPr>
              <w:t xml:space="preserve">● HIGH SEVERITY</w:t>
            </w:r>
          </w:p>
          <w:p>
            <w:pPr>
              <w:spacing w:after="80"/>
            </w:pPr>
            <w:r>
              <w:rPr>
                <w:rFonts w:ascii="Arial" w:cs="Arial" w:eastAsia="Arial" w:hAnsi="Arial"/>
                <w:b/>
                <w:bCs/>
                <w:color w:val="B91C1C"/>
                <w:sz w:val="22"/>
                <w:szCs w:val="22"/>
              </w:rPr>
              <w:t xml:space="preserve">min_samples_leaf=1 is an overfitting trap left on by default in some libraries</w:t>
            </w:r>
          </w:p>
          <w:p>
            <w:r>
              <w:rPr>
                <w:rFonts w:ascii="Arial" w:cs="Arial" w:eastAsia="Arial" w:hAnsi="Arial"/>
                <w:color w:val="475569"/>
                <w:sz w:val="20"/>
                <w:szCs w:val="20"/>
              </w:rPr>
              <w:t xml:space="preserve">Allowing a leaf to contain a single sample means the tree can memorize individual training rows exactly — great training score, poor generalization. Always tune min_samples_leaf and min_samples_split (or max_depth) via cross-validation rather than trusting library defaults, especially on noisy real-world data where ML-11's Iris-style clean separability doesn't hold.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FEDD5" w:color="auto" w:val="clear"/>
            <w:tcMar>
              <w:top w:type="dxa" w:w="160"/>
              <w:left w:type="dxa" w:w="220"/>
              <w:bottom w:type="dxa" w:w="160"/>
              <w:right w:type="dxa" w:w="220"/>
            </w:tcMar>
          </w:tcPr>
          <w:p>
            <w:pPr>
              <w:spacing w:after="40"/>
            </w:pPr>
            <w:r>
              <w:rPr>
                <w:rFonts w:ascii="Arial" w:cs="Arial" w:eastAsia="Arial" w:hAnsi="Arial"/>
                <w:b/>
                <w:bCs/>
                <w:color w:val="C2410C"/>
                <w:sz w:val="16"/>
                <w:szCs w:val="16"/>
              </w:rPr>
              <w:t xml:space="preserve">● MODERATE</w:t>
            </w:r>
          </w:p>
          <w:p>
            <w:pPr>
              <w:spacing w:after="80"/>
            </w:pPr>
            <w:r>
              <w:rPr>
                <w:rFonts w:ascii="Arial" w:cs="Arial" w:eastAsia="Arial" w:hAnsi="Arial"/>
                <w:b/>
                <w:bCs/>
                <w:color w:val="C2410C"/>
                <w:sz w:val="22"/>
                <w:szCs w:val="22"/>
              </w:rPr>
              <w:t xml:space="preserve">Variance Reduction splits are sensitive to outliers</w:t>
            </w:r>
          </w:p>
          <w:p>
            <w:r>
              <w:rPr>
                <w:rFonts w:ascii="Arial" w:cs="Arial" w:eastAsia="Arial" w:hAnsi="Arial"/>
                <w:color w:val="475569"/>
                <w:sz w:val="20"/>
                <w:szCs w:val="20"/>
              </w:rPr>
              <w:t xml:space="preserve">A single extreme value inflates variance disproportionately (squared error), so a regression tree can be pulled into a split that mostly exists to isolate one outlier rather than capture real structure. Consider capping/winsorizing extreme target values, or using MAE-based splitting criteria, when the target has a heavy tail.</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EE2E2" w:color="auto" w:val="clear"/>
            <w:tcMar>
              <w:top w:type="dxa" w:w="160"/>
              <w:left w:type="dxa" w:w="220"/>
              <w:bottom w:type="dxa" w:w="160"/>
              <w:right w:type="dxa" w:w="220"/>
            </w:tcMar>
          </w:tcPr>
          <w:p>
            <w:pPr>
              <w:spacing w:after="40"/>
            </w:pPr>
            <w:r>
              <w:rPr>
                <w:rFonts w:ascii="Arial" w:cs="Arial" w:eastAsia="Arial" w:hAnsi="Arial"/>
                <w:b/>
                <w:bCs/>
                <w:color w:val="B91C1C"/>
                <w:sz w:val="16"/>
                <w:szCs w:val="16"/>
              </w:rPr>
              <w:t xml:space="preserve">● HIGH SEVERITY</w:t>
            </w:r>
          </w:p>
          <w:p>
            <w:pPr>
              <w:spacing w:after="80"/>
            </w:pPr>
            <w:r>
              <w:rPr>
                <w:rFonts w:ascii="Arial" w:cs="Arial" w:eastAsia="Arial" w:hAnsi="Arial"/>
                <w:b/>
                <w:bCs/>
                <w:color w:val="B91C1C"/>
                <w:sz w:val="22"/>
                <w:szCs w:val="22"/>
              </w:rPr>
              <w:t xml:space="preserve">Bagging only helps when base models are genuinely diverse</w:t>
            </w:r>
          </w:p>
          <w:p>
            <w:r>
              <w:rPr>
                <w:rFonts w:ascii="Arial" w:cs="Arial" w:eastAsia="Arial" w:hAnsi="Arial"/>
                <w:color w:val="475569"/>
                <w:sz w:val="20"/>
                <w:szCs w:val="20"/>
              </w:rPr>
              <w:t xml:space="preserve">If every bootstrap sample happens to look nearly identical to the full dataset (small N, low row diversity) or every tree ends up picking the same dominant feature at the root, the 'ensemble' converges toward a single overfit model wearing 100 copies. Random Forest's max_features restriction exists specifically to force diversity — setting it too high (e.g. close to total feature count) quietly defeats the purpose of bagging.</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FEDD5" w:color="auto" w:val="clear"/>
            <w:tcMar>
              <w:top w:type="dxa" w:w="160"/>
              <w:left w:type="dxa" w:w="220"/>
              <w:bottom w:type="dxa" w:w="160"/>
              <w:right w:type="dxa" w:w="220"/>
            </w:tcMar>
          </w:tcPr>
          <w:p>
            <w:pPr>
              <w:spacing w:after="40"/>
            </w:pPr>
            <w:r>
              <w:rPr>
                <w:rFonts w:ascii="Arial" w:cs="Arial" w:eastAsia="Arial" w:hAnsi="Arial"/>
                <w:b/>
                <w:bCs/>
                <w:color w:val="C2410C"/>
                <w:sz w:val="16"/>
                <w:szCs w:val="16"/>
              </w:rPr>
              <w:t xml:space="preserve">● MODERATE</w:t>
            </w:r>
          </w:p>
          <w:p>
            <w:pPr>
              <w:spacing w:after="80"/>
            </w:pPr>
            <w:r>
              <w:rPr>
                <w:rFonts w:ascii="Arial" w:cs="Arial" w:eastAsia="Arial" w:hAnsi="Arial"/>
                <w:b/>
                <w:bCs/>
                <w:color w:val="C2410C"/>
                <w:sz w:val="22"/>
                <w:szCs w:val="22"/>
              </w:rPr>
              <w:t xml:space="preserve">OOB score is convenient but not a full substitute for proper CV</w:t>
            </w:r>
          </w:p>
          <w:p>
            <w:r>
              <w:rPr>
                <w:rFonts w:ascii="Arial" w:cs="Arial" w:eastAsia="Arial" w:hAnsi="Arial"/>
                <w:color w:val="475569"/>
                <w:sz w:val="20"/>
                <w:szCs w:val="20"/>
              </w:rPr>
              <w:t xml:space="preserve">OOB validation is 'free' and useful for a quick sanity check, but each row's OOB prediction only comes from the subset of trees that didn’t see it (roughly 36.8% of trees per row on average) — it's a slightly different, noisier estimate than a full k-fold CV score. For a final production go/no-go decision, still validate with a proper held-out test set.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EE2E2" w:color="auto" w:val="clear"/>
            <w:tcMar>
              <w:top w:type="dxa" w:w="160"/>
              <w:left w:type="dxa" w:w="220"/>
              <w:bottom w:type="dxa" w:w="160"/>
              <w:right w:type="dxa" w:w="220"/>
            </w:tcMar>
          </w:tcPr>
          <w:p>
            <w:pPr>
              <w:spacing w:after="40"/>
            </w:pPr>
            <w:r>
              <w:rPr>
                <w:rFonts w:ascii="Arial" w:cs="Arial" w:eastAsia="Arial" w:hAnsi="Arial"/>
                <w:b/>
                <w:bCs/>
                <w:color w:val="B91C1C"/>
                <w:sz w:val="16"/>
                <w:szCs w:val="16"/>
              </w:rPr>
              <w:t xml:space="preserve">● HIGH SEVERITY</w:t>
            </w:r>
          </w:p>
          <w:p>
            <w:pPr>
              <w:spacing w:after="80"/>
            </w:pPr>
            <w:r>
              <w:rPr>
                <w:rFonts w:ascii="Arial" w:cs="Arial" w:eastAsia="Arial" w:hAnsi="Arial"/>
                <w:b/>
                <w:bCs/>
                <w:color w:val="B91C1C"/>
                <w:sz w:val="22"/>
                <w:szCs w:val="22"/>
              </w:rPr>
              <w:t xml:space="preserve">Boosting is far more overfitting-prone than bagging if left unchecked</w:t>
            </w:r>
          </w:p>
          <w:p>
            <w:r>
              <w:rPr>
                <w:rFonts w:ascii="Arial" w:cs="Arial" w:eastAsia="Arial" w:hAnsi="Arial"/>
                <w:color w:val="475569"/>
                <w:sz w:val="20"/>
                <w:szCs w:val="20"/>
              </w:rPr>
              <w:t xml:space="preserve">Because each boosting stage specifically chases the previous stage's errors, too many boosting rounds (or too high a learning rate) will eventually start fitting noise in the training set. Unlike Random Forest (where adding more trees rarely hurts), XGBoost/Gradient Boosting need early stopping on a validation set and careful learning-rate/number-of-rounds tuning together.</w:t>
            </w:r>
          </w:p>
        </w:tc>
      </w:tr>
    </w:tbl>
    <w:p>
      <w:pPr>
        <w:spacing w:after="280"/>
      </w:pPr>
    </w:p>
    <w:p>
      <w:pPr>
        <w:spacing w:after="140" w:before="280"/>
      </w:pPr>
      <w:r>
        <w:rPr>
          <w:rFonts w:ascii="Arial" w:cs="Arial" w:eastAsia="Arial" w:hAnsi="Arial"/>
          <w:b/>
          <w:bCs/>
          <w:color w:val="1A3560"/>
          <w:sz w:val="30"/>
          <w:szCs w:val="30"/>
        </w:rPr>
        <w:t xml:space="preserve">Quick-Glance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680"/>
        <w:gridCol w:w="3931"/>
      </w:tblGrid>
      <w:tr>
        <w:trPr>
          <w:tblHeader/>
        </w:trPr>
        <w:tc>
          <w:tcPr>
            <w:tcW w:type="dxa" w:w="749"/>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468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Check</w:t>
            </w:r>
          </w:p>
        </w:tc>
        <w:tc>
          <w:tcPr>
            <w:tcW w:type="dxa" w:w="3931"/>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it matters</w:t>
            </w:r>
          </w:p>
        </w:tc>
      </w:tr>
      <w:tr>
        <w:tc>
          <w:tcPr>
            <w:tcW w:type="dxa" w:w="749"/>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Are min_samples_leaf / min_samples_split / max_depth tuned rather than left at defaults?</w:t>
            </w:r>
          </w:p>
        </w:tc>
        <w:tc>
          <w:tcPr>
            <w:tcW w:type="dxa" w:w="3931"/>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Prevents single trees (and forest members) from memorizing training data</w:t>
            </w:r>
          </w:p>
        </w:tc>
      </w:tr>
      <w:tr>
        <w:tc>
          <w:tcPr>
            <w:tcW w:type="dxa" w:w="749"/>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Has the target variable been checked for extreme outliers before fitting a regression tree?</w:t>
            </w:r>
          </w:p>
        </w:tc>
        <w:tc>
          <w:tcPr>
            <w:tcW w:type="dxa" w:w="3931"/>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Variance-based splits are disproportionately pulled toward outliers</w:t>
            </w:r>
          </w:p>
        </w:tc>
      </w:tr>
      <w:tr>
        <w:tc>
          <w:tcPr>
            <w:tcW w:type="dxa" w:w="749"/>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3</w:t>
            </w:r>
          </w:p>
        </w:tc>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Is max_features set low enough to force real diversity across trees?</w:t>
            </w:r>
          </w:p>
        </w:tc>
        <w:tc>
          <w:tcPr>
            <w:tcW w:type="dxa" w:w="3931"/>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Bagging's benefit depends on the base models actually differing from each other</w:t>
            </w:r>
          </w:p>
        </w:tc>
      </w:tr>
      <w:tr>
        <w:tc>
          <w:tcPr>
            <w:tcW w:type="dxa" w:w="749"/>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4</w:t>
            </w:r>
          </w:p>
        </w:tc>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Is OOB score treated as a sanity check, not the final validation metric?</w:t>
            </w:r>
          </w:p>
        </w:tc>
        <w:tc>
          <w:tcPr>
            <w:tcW w:type="dxa" w:w="3931"/>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OOB is a noisier, partial estimate compared to full cross-validation</w:t>
            </w:r>
          </w:p>
        </w:tc>
      </w:tr>
      <w:tr>
        <w:tc>
          <w:tcPr>
            <w:tcW w:type="dxa" w:w="749"/>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5</w:t>
            </w:r>
          </w:p>
        </w:tc>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For boosting models, is early stopping used against a validation set?</w:t>
            </w:r>
          </w:p>
        </w:tc>
        <w:tc>
          <w:tcPr>
            <w:tcW w:type="dxa" w:w="3931"/>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Boosting overfits more easily than bagging as rounds increase</w:t>
            </w:r>
          </w:p>
        </w:tc>
      </w:tr>
    </w:tbl>
    <w:sectPr>
      <w:headerReference w:type="default" r:id="rId7"/>
      <w:footerReference w:type="default" r:id="rId8"/>
      <w:pgSz w:w="12240" w:h="15840" w:orient="portrait"/>
      <w:pgMar w:top="72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ML Course Notes  |  ML-18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2026-07-20T04:24:51.111Z</dcterms:created>
  <dcterms:modified xsi:type="dcterms:W3CDTF">2026-07-20T04:24:51.122Z</dcterms:modified>
</cp:coreProperties>
</file>

<file path=docProps/custom.xml><?xml version="1.0" encoding="utf-8"?>
<Properties xmlns="http://schemas.openxmlformats.org/officeDocument/2006/custom-properties" xmlns:vt="http://schemas.openxmlformats.org/officeDocument/2006/docPropsVTypes"/>
</file>