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0D1F3C" w:color="auto" w:val="clear"/>
            <w:tcMar>
              <w:top w:type="dxa" w:w="320"/>
              <w:left w:type="dxa" w:w="320"/>
              <w:bottom w:type="dxa" w:w="320"/>
              <w:right w:type="dxa" w:w="320"/>
            </w:tcMar>
          </w:tcPr>
          <w:p>
            <w:pPr>
              <w:spacing w:after="60"/>
            </w:pPr>
            <w:r>
              <w:rPr>
                <w:rFonts w:ascii="Arial" w:cs="Arial" w:eastAsia="Arial" w:hAnsi="Arial"/>
                <w:b/>
                <w:bCs/>
                <w:color w:val="93C5FD"/>
                <w:sz w:val="22"/>
                <w:szCs w:val="22"/>
              </w:rPr>
              <w:t xml:space="preserve">ML-12</w:t>
            </w:r>
          </w:p>
          <w:p>
            <w:pPr>
              <w:spacing w:after="100"/>
            </w:pPr>
            <w:r>
              <w:rPr>
                <w:rFonts w:ascii="Arial" w:cs="Arial" w:eastAsia="Arial" w:hAnsi="Arial"/>
                <w:b/>
                <w:bCs/>
                <w:color w:val="FFFFFF"/>
                <w:sz w:val="44"/>
                <w:szCs w:val="44"/>
              </w:rPr>
              <w:t xml:space="preserve">Support Vector Machines &amp; Recommendation Systems</w:t>
            </w:r>
          </w:p>
          <w:p>
            <w:r>
              <w:rPr>
                <w:rFonts w:ascii="Arial" w:cs="Arial" w:eastAsia="Arial" w:hAnsi="Arial"/>
                <w:color w:val="CBD5E1"/>
                <w:sz w:val="20"/>
                <w:szCs w:val="20"/>
              </w:rPr>
              <w:t xml:space="preserve">28 June 2026</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60"/>
            <w:tcBorders>
              <w:top w:val="none" w:color="FFFFFF" w:sz="0"/>
              <w:left w:val="none" w:color="FFFFFF" w:sz="0"/>
              <w:bottom w:val="none" w:color="FFFFFF" w:sz="0"/>
              <w:right w:val="none" w:color="FFFFFF" w:sz="0"/>
            </w:tcBorders>
            <w:shd w:fill="DBEAFE" w:color="auto" w:val="clear"/>
            <w:tcMar>
              <w:top w:type="dxa" w:w="80"/>
              <w:left w:type="dxa" w:w="120"/>
              <w:bottom w:type="dxa" w:w="80"/>
              <w:right w:type="dxa" w:w="120"/>
            </w:tcMar>
          </w:tcPr>
          <w:p>
            <w:pPr>
              <w:jc w:val="center"/>
            </w:pPr>
            <w:r>
              <w:rPr>
                <w:rFonts w:ascii="Arial" w:cs="Arial" w:eastAsia="Arial" w:hAnsi="Arial"/>
                <w:b/>
                <w:bCs/>
                <w:color w:val="2563EB"/>
                <w:sz w:val="17"/>
                <w:szCs w:val="17"/>
              </w:rPr>
              <w:t xml:space="preserve">SVM</w:t>
            </w:r>
          </w:p>
        </w:tc>
        <w:tc>
          <w:tcPr>
            <w:tcW w:type="dxa" w:w="1560"/>
            <w:tcBorders>
              <w:top w:val="none" w:color="FFFFFF" w:sz="0"/>
              <w:left w:val="none" w:color="FFFFFF" w:sz="0"/>
              <w:bottom w:val="none" w:color="FFFFFF" w:sz="0"/>
              <w:right w:val="none" w:color="FFFFFF" w:sz="0"/>
            </w:tcBorders>
            <w:shd w:fill="EDE9FE" w:color="auto" w:val="clear"/>
            <w:tcMar>
              <w:top w:type="dxa" w:w="80"/>
              <w:left w:type="dxa" w:w="120"/>
              <w:bottom w:type="dxa" w:w="80"/>
              <w:right w:type="dxa" w:w="120"/>
            </w:tcMar>
          </w:tcPr>
          <w:p>
            <w:pPr>
              <w:jc w:val="center"/>
            </w:pPr>
            <w:r>
              <w:rPr>
                <w:rFonts w:ascii="Arial" w:cs="Arial" w:eastAsia="Arial" w:hAnsi="Arial"/>
                <w:b/>
                <w:bCs/>
                <w:color w:val="6D28D9"/>
                <w:sz w:val="17"/>
                <w:szCs w:val="17"/>
              </w:rPr>
              <w:t xml:space="preserve">Hinge Loss</w:t>
            </w:r>
          </w:p>
        </w:tc>
        <w:tc>
          <w:tcPr>
            <w:tcW w:type="dxa" w:w="1560"/>
            <w:tcBorders>
              <w:top w:val="none" w:color="FFFFFF" w:sz="0"/>
              <w:left w:val="none" w:color="FFFFFF" w:sz="0"/>
              <w:bottom w:val="none" w:color="FFFFFF" w:sz="0"/>
              <w:right w:val="none" w:color="FFFFFF" w:sz="0"/>
            </w:tcBorders>
            <w:shd w:fill="CCFBF1" w:color="auto" w:val="clear"/>
            <w:tcMar>
              <w:top w:type="dxa" w:w="80"/>
              <w:left w:type="dxa" w:w="120"/>
              <w:bottom w:type="dxa" w:w="80"/>
              <w:right w:type="dxa" w:w="120"/>
            </w:tcMar>
          </w:tcPr>
          <w:p>
            <w:pPr>
              <w:jc w:val="center"/>
            </w:pPr>
            <w:r>
              <w:rPr>
                <w:rFonts w:ascii="Arial" w:cs="Arial" w:eastAsia="Arial" w:hAnsi="Arial"/>
                <w:b/>
                <w:bCs/>
                <w:color w:val="0F766E"/>
                <w:sz w:val="17"/>
                <w:szCs w:val="17"/>
              </w:rPr>
              <w:t xml:space="preserve">Margin Optimization</w:t>
            </w:r>
          </w:p>
        </w:tc>
        <w:tc>
          <w:tcPr>
            <w:tcW w:type="dxa" w:w="1560"/>
            <w:tcBorders>
              <w:top w:val="none" w:color="FFFFFF" w:sz="0"/>
              <w:left w:val="none" w:color="FFFFFF" w:sz="0"/>
              <w:bottom w:val="none" w:color="FFFFFF" w:sz="0"/>
              <w:right w:val="none" w:color="FFFFFF" w:sz="0"/>
            </w:tcBorders>
            <w:shd w:fill="FFEDD5" w:color="auto" w:val="clear"/>
            <w:tcMar>
              <w:top w:type="dxa" w:w="80"/>
              <w:left w:type="dxa" w:w="120"/>
              <w:bottom w:type="dxa" w:w="80"/>
              <w:right w:type="dxa" w:w="120"/>
            </w:tcMar>
          </w:tcPr>
          <w:p>
            <w:pPr>
              <w:jc w:val="center"/>
            </w:pPr>
            <w:r>
              <w:rPr>
                <w:rFonts w:ascii="Arial" w:cs="Arial" w:eastAsia="Arial" w:hAnsi="Arial"/>
                <w:b/>
                <w:bCs/>
                <w:color w:val="C2410C"/>
                <w:sz w:val="17"/>
                <w:szCs w:val="17"/>
              </w:rPr>
              <w:t xml:space="preserve">Sub-Gradient Descent</w:t>
            </w:r>
          </w:p>
        </w:tc>
        <w:tc>
          <w:tcPr>
            <w:tcW w:type="dxa" w:w="1560"/>
            <w:tcBorders>
              <w:top w:val="none" w:color="FFFFFF" w:sz="0"/>
              <w:left w:val="none" w:color="FFFFFF" w:sz="0"/>
              <w:bottom w:val="none" w:color="FFFFFF" w:sz="0"/>
              <w:right w:val="none" w:color="FFFFFF" w:sz="0"/>
            </w:tcBorders>
            <w:shd w:fill="DCFCE7" w:color="auto" w:val="clear"/>
            <w:tcMar>
              <w:top w:type="dxa" w:w="80"/>
              <w:left w:type="dxa" w:w="120"/>
              <w:bottom w:type="dxa" w:w="80"/>
              <w:right w:type="dxa" w:w="120"/>
            </w:tcMar>
          </w:tcPr>
          <w:p>
            <w:pPr>
              <w:jc w:val="center"/>
            </w:pPr>
            <w:r>
              <w:rPr>
                <w:rFonts w:ascii="Arial" w:cs="Arial" w:eastAsia="Arial" w:hAnsi="Arial"/>
                <w:b/>
                <w:bCs/>
                <w:color w:val="15803D"/>
                <w:sz w:val="17"/>
                <w:szCs w:val="17"/>
              </w:rPr>
              <w:t xml:space="preserve">Recommendation Systems</w:t>
            </w:r>
          </w:p>
        </w:tc>
        <w:tc>
          <w:tcPr>
            <w:tcW w:type="dxa" w:w="1560"/>
            <w:tcBorders>
              <w:top w:val="none" w:color="FFFFFF" w:sz="0"/>
              <w:left w:val="none" w:color="FFFFFF" w:sz="0"/>
              <w:bottom w:val="none" w:color="FFFFFF" w:sz="0"/>
              <w:right w:val="none" w:color="FFFFFF" w:sz="0"/>
            </w:tcBorders>
            <w:shd w:fill="DBEAFE" w:color="auto" w:val="clear"/>
            <w:tcMar>
              <w:top w:type="dxa" w:w="80"/>
              <w:left w:type="dxa" w:w="120"/>
              <w:bottom w:type="dxa" w:w="80"/>
              <w:right w:type="dxa" w:w="120"/>
            </w:tcMar>
          </w:tcPr>
          <w:p>
            <w:pPr>
              <w:jc w:val="center"/>
            </w:pPr>
            <w:r>
              <w:rPr>
                <w:rFonts w:ascii="Arial" w:cs="Arial" w:eastAsia="Arial" w:hAnsi="Arial"/>
                <w:b/>
                <w:bCs/>
                <w:color w:val="2563EB"/>
                <w:sz w:val="17"/>
                <w:szCs w:val="17"/>
              </w:rPr>
              <w:t xml:space="preserve">Cosine Similarity</w:t>
            </w:r>
          </w:p>
        </w:tc>
      </w:tr>
    </w:tbl>
    <w:p>
      <w:pPr>
        <w:spacing w:after="240"/>
      </w:pPr>
    </w:p>
    <w:p>
      <w:pPr>
        <w:spacing w:after="140" w:before="280"/>
      </w:pPr>
      <w:r>
        <w:rPr>
          <w:rFonts w:ascii="Arial" w:cs="Arial" w:eastAsia="Arial" w:hAnsi="Arial"/>
          <w:b/>
          <w:bCs/>
          <w:color w:val="1A3560"/>
          <w:sz w:val="30"/>
          <w:szCs w:val="30"/>
        </w:rP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1</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Support Vector Machines (SVM) — Introduction &amp; Types</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2</w:t>
            </w:r>
          </w:p>
        </w:tc>
        <w:tc>
          <w:tcPr>
            <w:tcW w:type="dxa" w:w="8660"/>
            <w:tcBorders>
              <w:top w:val="single" w:color="E2E8F0" w:sz="4"/>
              <w:left w:val="single" w:color="E2E8F0" w:sz="4"/>
              <w:bottom w:val="single" w:color="E2E8F0" w:sz="4"/>
              <w:right w:val="single" w:color="E2E8F0" w:sz="4"/>
            </w:tcBorders>
            <w:shd w:fill="F8FAFC"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Binary Classification: SVM vs. Logistic Regression</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3</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Core Geometry &amp; the Decision Boundary</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4</w:t>
            </w:r>
          </w:p>
        </w:tc>
        <w:tc>
          <w:tcPr>
            <w:tcW w:type="dxa" w:w="8660"/>
            <w:tcBorders>
              <w:top w:val="single" w:color="E2E8F0" w:sz="4"/>
              <w:left w:val="single" w:color="E2E8F0" w:sz="4"/>
              <w:bottom w:val="single" w:color="E2E8F0" w:sz="4"/>
              <w:right w:val="single" w:color="E2E8F0" w:sz="4"/>
            </w:tcBorders>
            <w:shd w:fill="F8FAFC"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Margin Derivation &amp; the Optimization Goal</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5</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Hinge Loss &amp; the Total SVM Cost Function</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6</w:t>
            </w:r>
          </w:p>
        </w:tc>
        <w:tc>
          <w:tcPr>
            <w:tcW w:type="dxa" w:w="8660"/>
            <w:tcBorders>
              <w:top w:val="single" w:color="E2E8F0" w:sz="4"/>
              <w:left w:val="single" w:color="E2E8F0" w:sz="4"/>
              <w:bottom w:val="single" w:color="E2E8F0" w:sz="4"/>
              <w:right w:val="single" w:color="E2E8F0" w:sz="4"/>
            </w:tcBorders>
            <w:shd w:fill="F8FAFC"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Sub-Gradient Descent — Worked Iteration</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7</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Recommendation Systems — Dot Product &amp; Cosine Similarity</w:t>
            </w:r>
          </w:p>
        </w:tc>
      </w:tr>
    </w:tbl>
    <w:p>
      <w:pPr>
        <w:spacing w:after="280"/>
      </w:pPr>
    </w:p>
    <w:p>
      <w:pPr>
        <w:spacing w:after="140" w:before="280"/>
      </w:pPr>
      <w:r>
        <w:rPr>
          <w:rFonts w:ascii="Arial" w:cs="Arial" w:eastAsia="Arial" w:hAnsi="Arial"/>
          <w:b/>
          <w:bCs/>
          <w:color w:val="1A3560"/>
          <w:sz w:val="30"/>
          <w:szCs w:val="30"/>
        </w:rPr>
        <w:t xml:space="preserve">1. Support Vector Machines (SVM)</w:t>
      </w:r>
    </w:p>
    <w:p>
      <w:pPr>
        <w:spacing w:after="160"/>
      </w:pPr>
      <w:r>
        <w:rPr>
          <w:rFonts w:ascii="Arial" w:cs="Arial" w:eastAsia="Arial" w:hAnsi="Arial"/>
          <w:color w:val="1F2937"/>
          <w:sz w:val="22"/>
          <w:szCs w:val="22"/>
        </w:rPr>
        <w:t xml:space="preserve">SVM is a supervised machine learning algorithm used for both classification and regression tasks. It works by finding the optimal boundary (hyperplane) that separates classes with the maximum possible margin.</w:t>
      </w:r>
    </w:p>
    <w:p>
      <w:pPr>
        <w:spacing w:after="100" w:before="200"/>
      </w:pPr>
      <w:r>
        <w:rPr>
          <w:rFonts w:ascii="Arial" w:cs="Arial" w:eastAsia="Arial" w:hAnsi="Arial"/>
          <w:b/>
          <w:bCs/>
          <w:color w:val="2563EB"/>
          <w:sz w:val="25"/>
          <w:szCs w:val="25"/>
        </w:rPr>
        <w:t xml:space="preserve">Two forms of SVM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493"/>
        <w:gridCol w:w="2808"/>
      </w:tblGrid>
      <w:tr>
        <w:trPr>
          <w:tblHeader/>
        </w:trPr>
        <w:tc>
          <w:tcPr>
            <w:tcW w:type="dxa" w:w="2059"/>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Form</w:t>
            </w:r>
          </w:p>
        </w:tc>
        <w:tc>
          <w:tcPr>
            <w:tcW w:type="dxa" w:w="4493"/>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2808"/>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Learned Parameters</w:t>
            </w:r>
          </w:p>
        </w:tc>
      </w:tr>
      <w:tr>
        <w:tc>
          <w:tcPr>
            <w:tcW w:type="dxa" w:w="205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Primal Form</w:t>
            </w:r>
          </w:p>
        </w:tc>
        <w:tc>
          <w:tcPr>
            <w:tcW w:type="dxa" w:w="449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Linear SVM — fits a straight-line (or hyperplane) decision boundary</w:t>
            </w:r>
          </w:p>
        </w:tc>
        <w:tc>
          <w:tcPr>
            <w:tcW w:type="dxa" w:w="2808"/>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w, b (weight vector, bias)</w:t>
            </w:r>
          </w:p>
        </w:tc>
      </w:tr>
      <w:tr>
        <w:tc>
          <w:tcPr>
            <w:tcW w:type="dxa" w:w="2059"/>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Dual Form</w:t>
            </w:r>
          </w:p>
        </w:tc>
        <w:tc>
          <w:tcPr>
            <w:tcW w:type="dxa" w:w="449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Kernelized SVM — boundary expressed via per-point weightage on training data</w:t>
            </w:r>
          </w:p>
        </w:tc>
        <w:tc>
          <w:tcPr>
            <w:tcW w:type="dxa" w:w="2808"/>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αᵢ (per-point weight) + b (bias)</w:t>
            </w:r>
          </w:p>
        </w:tc>
      </w:tr>
    </w:tbl>
    <w:p>
      <w:pPr>
        <w:spacing w:after="200"/>
      </w:pPr>
    </w:p>
    <w:p>
      <w:pPr>
        <w:spacing w:after="140" w:before="280"/>
      </w:pPr>
      <w:r>
        <w:rPr>
          <w:rFonts w:ascii="Arial" w:cs="Arial" w:eastAsia="Arial" w:hAnsi="Arial"/>
          <w:b/>
          <w:bCs/>
          <w:color w:val="1A3560"/>
          <w:sz w:val="30"/>
          <w:szCs w:val="30"/>
        </w:rPr>
        <w:t xml:space="preserve">2. Binary vs. Multiclass Classification</w:t>
      </w:r>
    </w:p>
    <w:p>
      <w:pPr>
        <w:spacing w:after="160"/>
      </w:pPr>
      <w:r>
        <w:rPr>
          <w:rFonts w:ascii="Arial" w:cs="Arial" w:eastAsia="Arial" w:hAnsi="Arial"/>
          <w:color w:val="1F2937"/>
          <w:sz w:val="22"/>
          <w:szCs w:val="22"/>
        </w:rPr>
        <w:t xml:space="preserve">Logistic regression handles multiclass problems with a one-vs-rest strategy — training a separate binary model per class and picking the highest-confidence prediction. SVM, by contrast, is fundamentally built for direct binary separation.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BEAFE" w:color="auto" w:val="clear"/>
            <w:tcMar>
              <w:top w:type="dxa" w:w="160"/>
              <w:left w:type="dxa" w:w="200"/>
              <w:bottom w:type="dxa" w:w="160"/>
              <w:right w:type="dxa" w:w="200"/>
            </w:tcMar>
          </w:tcPr>
          <w:p>
            <w:pPr>
              <w:spacing w:after="60"/>
            </w:pPr>
            <w:r>
              <w:rPr>
                <w:rFonts w:ascii="Arial" w:cs="Arial" w:eastAsia="Arial" w:hAnsi="Arial"/>
                <w:b/>
                <w:bCs/>
                <w:color w:val="2563EB"/>
                <w:sz w:val="22"/>
                <w:szCs w:val="22"/>
              </w:rPr>
              <w:t xml:space="preserve">▸ One-vs-Rest (Logistic Regression) Example</w:t>
            </w:r>
          </w:p>
          <w:p>
            <w:pPr>
              <w:spacing w:after="40"/>
            </w:pPr>
            <w:r>
              <w:rPr>
                <w:rFonts w:ascii="Arial" w:cs="Arial" w:eastAsia="Arial" w:hAnsi="Arial"/>
                <w:color w:val="2563EB"/>
                <w:sz w:val="21"/>
                <w:szCs w:val="21"/>
              </w:rPr>
              <w:t xml:space="preserve">Classes: Blue → 1, Green → 0, Yellow → 2</w:t>
            </w:r>
          </w:p>
          <w:p>
            <w:pPr>
              <w:spacing w:after="40"/>
            </w:pPr>
            <w:r>
              <w:rPr>
                <w:rFonts w:ascii="Arial" w:cs="Arial" w:eastAsia="Arial" w:hAnsi="Arial"/>
                <w:color w:val="2563EB"/>
                <w:sz w:val="21"/>
                <w:szCs w:val="21"/>
              </w:rPr>
              <w:t xml:space="preserve">Model 1 (Blue vs. rest): Blue → 0.1, Others → 0.9</w:t>
            </w:r>
          </w:p>
          <w:p>
            <w:pPr>
              <w:spacing w:after="40"/>
            </w:pPr>
            <w:r>
              <w:rPr>
                <w:rFonts w:ascii="Arial" w:cs="Arial" w:eastAsia="Arial" w:hAnsi="Arial"/>
                <w:color w:val="2563EB"/>
                <w:sz w:val="21"/>
                <w:szCs w:val="21"/>
              </w:rPr>
              <w:t xml:space="preserve">Model 2 (Green vs. rest): Green → 0.2, Others → 0.8</w:t>
            </w:r>
          </w:p>
          <w:p>
            <w:pPr>
              <w:spacing w:after="40"/>
            </w:pPr>
            <w:r>
              <w:rPr>
                <w:rFonts w:ascii="Arial" w:cs="Arial" w:eastAsia="Arial" w:hAnsi="Arial"/>
                <w:color w:val="2563EB"/>
                <w:sz w:val="21"/>
                <w:szCs w:val="21"/>
              </w:rPr>
              <w:t xml:space="preserve">Model 3 (Yellow vs. rest): Yellow → 0.8, Others → 0.2  ←  highest confidence, so predicted class = Yellow</w:t>
            </w:r>
          </w:p>
        </w:tc>
      </w:tr>
    </w:tbl>
    <w:p>
      <w:pPr>
        <w:spacing w:after="200"/>
      </w:pPr>
    </w:p>
    <w:p>
      <w:pPr>
        <w:spacing w:after="140" w:before="280"/>
      </w:pPr>
      <w:r>
        <w:rPr>
          <w:rFonts w:ascii="Arial" w:cs="Arial" w:eastAsia="Arial" w:hAnsi="Arial"/>
          <w:b/>
          <w:bCs/>
          <w:color w:val="1A3560"/>
          <w:sz w:val="30"/>
          <w:szCs w:val="30"/>
        </w:rPr>
        <w:t xml:space="preserve">3. The Core Geometry &amp; Math</w:t>
      </w:r>
    </w:p>
    <w:p>
      <w:pPr>
        <w:spacing w:after="160"/>
      </w:pPr>
      <w:r>
        <w:rPr>
          <w:rFonts w:ascii="Arial" w:cs="Arial" w:eastAsia="Arial" w:hAnsi="Arial"/>
          <w:color w:val="1F2937"/>
          <w:sz w:val="22"/>
          <w:szCs w:val="22"/>
        </w:rPr>
        <w:t xml:space="preserve">The decision boundary and its two margin lines are defined 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w·x + b = +1     ← positive class boundary (Class A)</w:t>
            </w:r>
          </w:p>
          <w:p>
            <w:pPr>
              <w:spacing w:after="20"/>
            </w:pPr>
            <w:r>
              <w:rPr>
                <w:rFonts w:ascii="Courier New" w:cs="Courier New" w:eastAsia="Courier New" w:hAnsi="Courier New"/>
                <w:color w:val="1A3560"/>
                <w:sz w:val="20"/>
                <w:szCs w:val="20"/>
              </w:rPr>
              <w:t xml:space="preserve">w·x + b = -1     ← negative class boundary (Class B)</w:t>
            </w:r>
          </w:p>
          <w:p>
            <w:pPr>
              <w:spacing w:after="20"/>
            </w:pPr>
            <w:r>
              <w:rPr>
                <w:rFonts w:ascii="Courier New" w:cs="Courier New" w:eastAsia="Courier New" w:hAnsi="Courier New"/>
                <w:color w:val="1A3560"/>
                <w:sz w:val="20"/>
                <w:szCs w:val="20"/>
              </w:rPr>
              <w:t xml:space="preserve">w·x + b =  0     ← center / decision boundary (C)</w:t>
            </w:r>
          </w:p>
        </w:tc>
      </w:tr>
    </w:tbl>
    <w:p>
      <w:pPr>
        <w:spacing w:after="160"/>
      </w:pPr>
    </w:p>
    <w:p>
      <w:pPr>
        <w:spacing w:after="160"/>
      </w:pPr>
      <w:r>
        <w:rPr>
          <w:rFonts w:ascii="Arial" w:cs="Arial" w:eastAsia="Arial" w:hAnsi="Arial"/>
          <w:color w:val="1F2937"/>
          <w:sz w:val="22"/>
          <w:szCs w:val="22"/>
        </w:rPr>
        <w:t xml:space="preserve">Worked example — given w₁ = 1, w₂ = 1, b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3"/>
        <w:gridCol w:w="1040"/>
        <w:gridCol w:w="1040"/>
        <w:gridCol w:w="1387"/>
        <w:gridCol w:w="2773"/>
        <w:gridCol w:w="1907"/>
      </w:tblGrid>
      <w:tr>
        <w:trPr>
          <w:tblHeader/>
        </w:trPr>
        <w:tc>
          <w:tcPr>
            <w:tcW w:type="dxa" w:w="1213"/>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Point</w:t>
            </w:r>
          </w:p>
        </w:tc>
        <w:tc>
          <w:tcPr>
            <w:tcW w:type="dxa" w:w="104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x₁</w:t>
            </w:r>
          </w:p>
        </w:tc>
        <w:tc>
          <w:tcPr>
            <w:tcW w:type="dxa" w:w="104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x₂</w:t>
            </w:r>
          </w:p>
        </w:tc>
        <w:tc>
          <w:tcPr>
            <w:tcW w:type="dxa" w:w="1387"/>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Class (y)</w:t>
            </w:r>
          </w:p>
        </w:tc>
        <w:tc>
          <w:tcPr>
            <w:tcW w:type="dxa" w:w="2773"/>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w·x + b</w:t>
            </w:r>
          </w:p>
        </w:tc>
        <w:tc>
          <w:tcPr>
            <w:tcW w:type="dxa" w:w="1907"/>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Result</w:t>
            </w:r>
          </w:p>
        </w:tc>
      </w:tr>
      <w:tr>
        <w:tc>
          <w:tcPr>
            <w:tcW w:type="dxa" w:w="121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A</w:t>
            </w:r>
          </w:p>
        </w:tc>
        <w:tc>
          <w:tcPr>
            <w:tcW w:type="dxa" w:w="10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10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7</w:t>
            </w:r>
          </w:p>
        </w:tc>
        <w:tc>
          <w:tcPr>
            <w:tcW w:type="dxa" w:w="1387"/>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277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(1×2)+(7×1)-10 = -1</w:t>
            </w:r>
          </w:p>
        </w:tc>
        <w:tc>
          <w:tcPr>
            <w:tcW w:type="dxa" w:w="1907"/>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on lower margin</w:t>
            </w:r>
          </w:p>
        </w:tc>
      </w:tr>
      <w:tr>
        <w:tc>
          <w:tcPr>
            <w:tcW w:type="dxa" w:w="121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B</w:t>
            </w:r>
          </w:p>
        </w:tc>
        <w:tc>
          <w:tcPr>
            <w:tcW w:type="dxa" w:w="10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3</w:t>
            </w:r>
          </w:p>
        </w:tc>
        <w:tc>
          <w:tcPr>
            <w:tcW w:type="dxa" w:w="10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8</w:t>
            </w:r>
          </w:p>
        </w:tc>
        <w:tc>
          <w:tcPr>
            <w:tcW w:type="dxa" w:w="1387"/>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277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(1×3)+(8×1)-10 = +1</w:t>
            </w:r>
          </w:p>
        </w:tc>
        <w:tc>
          <w:tcPr>
            <w:tcW w:type="dxa" w:w="1907"/>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on upper margin</w:t>
            </w:r>
          </w:p>
        </w:tc>
      </w:tr>
      <w:tr>
        <w:tc>
          <w:tcPr>
            <w:tcW w:type="dxa" w:w="121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C</w:t>
            </w:r>
          </w:p>
        </w:tc>
        <w:tc>
          <w:tcPr>
            <w:tcW w:type="dxa" w:w="10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4</w:t>
            </w:r>
          </w:p>
        </w:tc>
        <w:tc>
          <w:tcPr>
            <w:tcW w:type="dxa" w:w="10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7</w:t>
            </w:r>
          </w:p>
        </w:tc>
        <w:tc>
          <w:tcPr>
            <w:tcW w:type="dxa" w:w="1387"/>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277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(1×4)+(7×1)-10 = +1</w:t>
            </w:r>
          </w:p>
        </w:tc>
        <w:tc>
          <w:tcPr>
            <w:tcW w:type="dxa" w:w="1907"/>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above boundary</w:t>
            </w:r>
          </w:p>
        </w:tc>
      </w:tr>
      <w:tr>
        <w:tc>
          <w:tcPr>
            <w:tcW w:type="dxa" w:w="121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D</w:t>
            </w:r>
          </w:p>
        </w:tc>
        <w:tc>
          <w:tcPr>
            <w:tcW w:type="dxa" w:w="10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6</w:t>
            </w:r>
          </w:p>
        </w:tc>
        <w:tc>
          <w:tcPr>
            <w:tcW w:type="dxa" w:w="10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1387"/>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277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w:t>
            </w:r>
          </w:p>
        </w:tc>
        <w:tc>
          <w:tcPr>
            <w:tcW w:type="dxa" w:w="1907"/>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below boundary</w:t>
            </w:r>
          </w:p>
        </w:tc>
      </w:tr>
      <w:tr>
        <w:tc>
          <w:tcPr>
            <w:tcW w:type="dxa" w:w="121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E</w:t>
            </w:r>
          </w:p>
        </w:tc>
        <w:tc>
          <w:tcPr>
            <w:tcW w:type="dxa" w:w="10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7</w:t>
            </w:r>
          </w:p>
        </w:tc>
        <w:tc>
          <w:tcPr>
            <w:tcW w:type="dxa" w:w="10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3</w:t>
            </w:r>
          </w:p>
        </w:tc>
        <w:tc>
          <w:tcPr>
            <w:tcW w:type="dxa" w:w="1387"/>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277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(1×7)+(3×1)-10 = 0</w:t>
            </w:r>
          </w:p>
        </w:tc>
        <w:tc>
          <w:tcPr>
            <w:tcW w:type="dxa" w:w="1907"/>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exactly on boundary</w:t>
            </w:r>
          </w:p>
        </w:tc>
      </w:tr>
      <w:tr>
        <w:tc>
          <w:tcPr>
            <w:tcW w:type="dxa" w:w="121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F</w:t>
            </w:r>
          </w:p>
        </w:tc>
        <w:tc>
          <w:tcPr>
            <w:tcW w:type="dxa" w:w="10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8</w:t>
            </w:r>
          </w:p>
        </w:tc>
        <w:tc>
          <w:tcPr>
            <w:tcW w:type="dxa" w:w="10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1387"/>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277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w:t>
            </w:r>
          </w:p>
        </w:tc>
        <w:tc>
          <w:tcPr>
            <w:tcW w:type="dxa" w:w="1907"/>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below boundary</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CCFBF1" w:color="auto" w:val="clear"/>
            <w:tcMar>
              <w:top w:type="dxa" w:w="160"/>
              <w:left w:type="dxa" w:w="200"/>
              <w:bottom w:type="dxa" w:w="160"/>
              <w:right w:type="dxa" w:w="200"/>
            </w:tcMar>
          </w:tcPr>
          <w:p>
            <w:pPr>
              <w:spacing w:after="60"/>
            </w:pPr>
            <w:r>
              <w:rPr>
                <w:rFonts w:ascii="Arial" w:cs="Arial" w:eastAsia="Arial" w:hAnsi="Arial"/>
                <w:b/>
                <w:bCs/>
                <w:color w:val="0F766E"/>
                <w:sz w:val="22"/>
                <w:szCs w:val="22"/>
              </w:rPr>
              <w:t xml:space="preserve">▸ Interpreting the sign of w·x + b</w:t>
            </w:r>
          </w:p>
          <w:p>
            <w:pPr>
              <w:spacing w:after="40"/>
            </w:pPr>
            <w:r>
              <w:rPr>
                <w:rFonts w:ascii="Arial" w:cs="Arial" w:eastAsia="Arial" w:hAnsi="Arial"/>
                <w:color w:val="0F766E"/>
                <w:sz w:val="21"/>
                <w:szCs w:val="21"/>
              </w:rPr>
              <w:t xml:space="preserve">w·x + b &gt; 0  →  point lies above the decision line</w:t>
            </w:r>
          </w:p>
          <w:p>
            <w:pPr>
              <w:spacing w:after="40"/>
            </w:pPr>
            <w:r>
              <w:rPr>
                <w:rFonts w:ascii="Arial" w:cs="Arial" w:eastAsia="Arial" w:hAnsi="Arial"/>
                <w:color w:val="0F766E"/>
                <w:sz w:val="21"/>
                <w:szCs w:val="21"/>
              </w:rPr>
              <w:t xml:space="preserve">w·x + b &lt; 0  →  point lies below the decision line</w:t>
            </w:r>
          </w:p>
          <w:p>
            <w:pPr>
              <w:spacing w:after="40"/>
            </w:pPr>
            <w:r>
              <w:rPr>
                <w:rFonts w:ascii="Arial" w:cs="Arial" w:eastAsia="Arial" w:hAnsi="Arial"/>
                <w:color w:val="0F766E"/>
                <w:sz w:val="21"/>
                <w:szCs w:val="21"/>
              </w:rPr>
              <w:t xml:space="preserve">w·x + b = 0  →  point sits exactly on the boundary</w:t>
            </w:r>
          </w:p>
        </w:tc>
      </w:tr>
    </w:tbl>
    <w:p>
      <w:pPr>
        <w:spacing w:after="200"/>
      </w:pPr>
    </w:p>
    <w:p>
      <w:pPr>
        <w:spacing w:after="140" w:before="280"/>
      </w:pPr>
      <w:r>
        <w:rPr>
          <w:rFonts w:ascii="Arial" w:cs="Arial" w:eastAsia="Arial" w:hAnsi="Arial"/>
          <w:b/>
          <w:bCs/>
          <w:color w:val="1A3560"/>
          <w:sz w:val="30"/>
          <w:szCs w:val="30"/>
        </w:rPr>
        <w:t xml:space="preserve">4. Score, Confidence &amp; the Margin Requirement</w:t>
      </w:r>
    </w:p>
    <w:p>
      <w:pPr>
        <w:spacing w:after="160"/>
      </w:pPr>
      <w:r>
        <w:rPr>
          <w:rFonts w:ascii="Arial" w:cs="Arial" w:eastAsia="Arial" w:hAnsi="Arial"/>
          <w:color w:val="1F2937"/>
          <w:sz w:val="22"/>
          <w:szCs w:val="22"/>
        </w:rPr>
        <w:t xml:space="preserve">The score is directly proportional to a point's distance from the decision boundary — the larger the score's magnitude, the more confidently a point belongs to its class. SVM does not just want score &gt; 0; it requires every point to sit at least some minimum distance from the boundary: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Positive points (yᵢ = +1)  must have score  ≥  +1</w:t>
            </w:r>
          </w:p>
          <w:p>
            <w:pPr>
              <w:spacing w:after="20"/>
            </w:pPr>
            <w:r>
              <w:rPr>
                <w:rFonts w:ascii="Courier New" w:cs="Courier New" w:eastAsia="Courier New" w:hAnsi="Courier New"/>
                <w:color w:val="1A3560"/>
                <w:sz w:val="20"/>
                <w:szCs w:val="20"/>
              </w:rPr>
              <w:t xml:space="preserve">Negative points (yᵢ = -1)  must have score  ≤  -1</w:t>
            </w:r>
          </w:p>
        </w:tc>
      </w:tr>
    </w:tbl>
    <w:p>
      <w:pPr>
        <w:spacing w:after="160"/>
      </w:pPr>
      <w:r>
        <w:rPr>
          <w:rFonts w:ascii="Arial" w:cs="Arial" w:eastAsia="Arial" w:hAnsi="Arial"/>
          <w:b/>
          <w:bCs/>
          <w:color w:val="1A3560"/>
          <w:sz w:val="22"/>
          <w:szCs w:val="22"/>
        </w:rPr>
        <w:t xml:space="preserve">Points sitting exactly at +1 or -1 are the ones with the lowest acceptable confidence — these are the support vectors that define the margin.</w:t>
      </w:r>
    </w:p>
    <w:p>
      <w:pPr>
        <w:spacing w:after="200"/>
      </w:pPr>
    </w:p>
    <w:p>
      <w:pPr>
        <w:spacing w:after="140" w:before="280"/>
      </w:pPr>
      <w:r>
        <w:rPr>
          <w:rFonts w:ascii="Arial" w:cs="Arial" w:eastAsia="Arial" w:hAnsi="Arial"/>
          <w:b/>
          <w:bCs/>
          <w:color w:val="1A3560"/>
          <w:sz w:val="30"/>
          <w:szCs w:val="30"/>
        </w:rPr>
        <w:t xml:space="preserve">5. Margin Derivation</w:t>
      </w:r>
    </w:p>
    <w:p>
      <w:pPr>
        <w:spacing w:after="160"/>
      </w:pPr>
      <w:r>
        <w:rPr>
          <w:rFonts w:ascii="Arial" w:cs="Arial" w:eastAsia="Arial" w:hAnsi="Arial"/>
          <w:color w:val="1F2937"/>
          <w:sz w:val="22"/>
          <w:szCs w:val="22"/>
        </w:rPr>
        <w:t xml:space="preserve">Upper margin line (w·x₁ + b =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w·x₁ = 1 - b   →   w·x₁ = C₁ ,   C₁ = (1 - b)</w:t>
            </w:r>
          </w:p>
        </w:tc>
      </w:tr>
    </w:tbl>
    <w:p>
      <w:pPr>
        <w:spacing w:after="160"/>
      </w:pPr>
      <w:r>
        <w:rPr>
          <w:rFonts w:ascii="Arial" w:cs="Arial" w:eastAsia="Arial" w:hAnsi="Arial"/>
          <w:color w:val="1F2937"/>
          <w:sz w:val="22"/>
          <w:szCs w:val="22"/>
        </w:rPr>
        <w:t xml:space="preserve">Lower margin line (w·x₂ + b =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w·x₂ = -1 - b   →   w·x₂ = C₂ ,   C₂ = (-1 - b)</w:t>
            </w:r>
          </w:p>
        </w:tc>
      </w:tr>
    </w:tbl>
    <w:p>
      <w:pPr>
        <w:spacing w:after="160"/>
      </w:pPr>
      <w:r>
        <w:rPr>
          <w:rFonts w:ascii="Arial" w:cs="Arial" w:eastAsia="Arial" w:hAnsi="Arial"/>
          <w:color w:val="1F2937"/>
          <w:sz w:val="22"/>
          <w:szCs w:val="22"/>
        </w:rPr>
        <w:t xml:space="preserve">Distance between two parallel 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Distance = (C₁ - C₂) / ∥w∥ = [(1-b) - (-1-b)] / ∥w∥</w:t>
            </w:r>
          </w:p>
          <w:p>
            <w:pPr>
              <w:spacing w:after="20"/>
            </w:pPr>
            <w:r>
              <w:rPr>
                <w:rFonts w:ascii="Courier New" w:cs="Courier New" w:eastAsia="Courier New" w:hAnsi="Courier New"/>
                <w:color w:val="1A3560"/>
                <w:sz w:val="20"/>
                <w:szCs w:val="20"/>
              </w:rPr>
              <w:t xml:space="preserve">Margin width = |1 - b + 1 + b| / ∥w∥  =  2 / ∥w∥</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DE9FE" w:color="auto" w:val="clear"/>
            <w:tcMar>
              <w:top w:type="dxa" w:w="160"/>
              <w:left w:type="dxa" w:w="200"/>
              <w:bottom w:type="dxa" w:w="160"/>
              <w:right w:type="dxa" w:w="200"/>
            </w:tcMar>
          </w:tcPr>
          <w:p>
            <w:pPr>
              <w:spacing w:after="60"/>
            </w:pPr>
            <w:r>
              <w:rPr>
                <w:rFonts w:ascii="Arial" w:cs="Arial" w:eastAsia="Arial" w:hAnsi="Arial"/>
                <w:b/>
                <w:bCs/>
                <w:color w:val="6D28D9"/>
                <w:sz w:val="22"/>
                <w:szCs w:val="22"/>
              </w:rPr>
              <w:t xml:space="preserve">▸ Optimization Goal</w:t>
            </w:r>
          </w:p>
          <w:p>
            <w:pPr>
              <w:spacing w:after="40"/>
            </w:pPr>
            <w:r>
              <w:rPr>
                <w:rFonts w:ascii="Arial" w:cs="Arial" w:eastAsia="Arial" w:hAnsi="Arial"/>
                <w:color w:val="6D28D9"/>
                <w:sz w:val="21"/>
                <w:szCs w:val="21"/>
              </w:rPr>
              <w:t xml:space="preserve">Maximize:  2 / ∥w∥   (as large a margin as possible)</w:t>
            </w:r>
          </w:p>
          <w:p>
            <w:pPr>
              <w:spacing w:after="40"/>
            </w:pPr>
            <w:r>
              <w:rPr>
                <w:rFonts w:ascii="Arial" w:cs="Arial" w:eastAsia="Arial" w:hAnsi="Arial"/>
                <w:color w:val="6D28D9"/>
                <w:sz w:val="21"/>
                <w:szCs w:val="21"/>
              </w:rPr>
              <w:t xml:space="preserve">Equivalent to minimizing:  ½ ∥w∥²   (a differentiable, convex form)</w:t>
            </w:r>
          </w:p>
          <w:p>
            <w:pPr>
              <w:spacing w:after="40"/>
            </w:pPr>
            <w:r>
              <w:rPr>
                <w:rFonts w:ascii="Arial" w:cs="Arial" w:eastAsia="Arial" w:hAnsi="Arial"/>
                <w:color w:val="6D28D9"/>
                <w:sz w:val="21"/>
                <w:szCs w:val="21"/>
              </w:rPr>
              <w:t xml:space="preserve">Small weight vector w  →  large margin width</w:t>
            </w:r>
          </w:p>
        </w:tc>
      </w:tr>
    </w:tbl>
    <w:p>
      <w:pPr>
        <w:spacing w:after="200"/>
      </w:pPr>
    </w:p>
    <w:p>
      <w:pPr>
        <w:spacing w:after="140" w:before="280"/>
      </w:pPr>
      <w:r>
        <w:rPr>
          <w:rFonts w:ascii="Arial" w:cs="Arial" w:eastAsia="Arial" w:hAnsi="Arial"/>
          <w:b/>
          <w:bCs/>
          <w:color w:val="1A3560"/>
          <w:sz w:val="30"/>
          <w:szCs w:val="30"/>
        </w:rPr>
        <w:t xml:space="preserve">6. Hinge Loss</w:t>
      </w:r>
    </w:p>
    <w:p>
      <w:pPr>
        <w:spacing w:after="160"/>
      </w:pPr>
      <w:r>
        <w:rPr>
          <w:rFonts w:ascii="Arial" w:cs="Arial" w:eastAsia="Arial" w:hAnsi="Arial"/>
          <w:color w:val="1F2937"/>
          <w:sz w:val="22"/>
          <w:szCs w:val="22"/>
        </w:rPr>
        <w:t xml:space="preserve">The hinge loss function penalizes points that fall inside the margin or on the wrong side of the boundary: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Loss = max(0, 1 - z)     where   z = yᵢ (w·xᵢ + b)</w:t>
            </w:r>
          </w:p>
        </w:tc>
      </w:tr>
    </w:tbl>
    <w:p>
      <w:pPr>
        <w:spacing w:after="160"/>
      </w:pPr>
      <w:r>
        <w:rPr>
          <w:rFonts w:ascii="Arial" w:cs="Arial" w:eastAsia="Arial" w:hAnsi="Arial"/>
          <w:b/>
          <w:bCs/>
          <w:color w:val="1F2937"/>
          <w:sz w:val="22"/>
          <w:szCs w:val="22"/>
        </w:rPr>
        <w:t xml:space="preserve">z</w:t>
      </w:r>
      <w:r>
        <w:rPr>
          <w:rFonts w:ascii="Arial" w:cs="Arial" w:eastAsia="Arial" w:hAnsi="Arial"/>
          <w:color w:val="1F2937"/>
          <w:sz w:val="22"/>
          <w:szCs w:val="22"/>
        </w:rPr>
        <w:t xml:space="preserve"> is the product of the </w:t>
      </w:r>
      <w:r>
        <w:rPr>
          <w:rFonts w:ascii="Arial" w:cs="Arial" w:eastAsia="Arial" w:hAnsi="Arial"/>
          <w:b/>
          <w:bCs/>
          <w:color w:val="B91C1C"/>
          <w:sz w:val="22"/>
          <w:szCs w:val="22"/>
        </w:rPr>
        <w:t xml:space="preserve">true label</w:t>
      </w:r>
      <w:r>
        <w:rPr>
          <w:rFonts w:ascii="Arial" w:cs="Arial" w:eastAsia="Arial" w:hAnsi="Arial"/>
          <w:color w:val="1F2937"/>
          <w:sz w:val="22"/>
          <w:szCs w:val="22"/>
        </w:rPr>
        <w:t xml:space="preserve"> and the </w:t>
      </w:r>
      <w:r>
        <w:rPr>
          <w:rFonts w:ascii="Arial" w:cs="Arial" w:eastAsia="Arial" w:hAnsi="Arial"/>
          <w:b/>
          <w:bCs/>
          <w:color w:val="C2410C"/>
          <w:sz w:val="22"/>
          <w:szCs w:val="22"/>
        </w:rPr>
        <w:t xml:space="preserve">model prediction</w:t>
      </w:r>
      <w:r>
        <w:rPr>
          <w:rFonts w:ascii="Arial" w:cs="Arial" w:eastAsia="Arial" w:hAnsi="Arial"/>
          <w:color w:val="1F2937"/>
          <w:sz w:val="22"/>
          <w:szCs w:val="22"/>
        </w:rPr>
        <w:t xml:space="preserve">.</w:t>
      </w:r>
    </w:p>
    <w:p>
      <w:pPr>
        <w:spacing w:after="100" w:before="200"/>
      </w:pPr>
      <w:r>
        <w:rPr>
          <w:rFonts w:ascii="Arial" w:cs="Arial" w:eastAsia="Arial" w:hAnsi="Arial"/>
          <w:b/>
          <w:bCs/>
          <w:color w:val="2563EB"/>
          <w:sz w:val="25"/>
          <w:szCs w:val="25"/>
        </w:rPr>
        <w:t xml:space="preserve">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685"/>
        <w:gridCol w:w="2059"/>
        <w:gridCol w:w="2059"/>
        <w:gridCol w:w="2434"/>
      </w:tblGrid>
      <w:tr>
        <w:trPr>
          <w:tblHeader/>
        </w:trPr>
        <w:tc>
          <w:tcPr>
            <w:tcW w:type="dxa" w:w="1123"/>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yᵢ</w:t>
            </w:r>
          </w:p>
        </w:tc>
        <w:tc>
          <w:tcPr>
            <w:tcW w:type="dxa" w:w="1685"/>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w·x + b</w:t>
            </w:r>
          </w:p>
        </w:tc>
        <w:tc>
          <w:tcPr>
            <w:tcW w:type="dxa" w:w="2059"/>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z = yᵢ(w·x+b)</w:t>
            </w:r>
          </w:p>
        </w:tc>
        <w:tc>
          <w:tcPr>
            <w:tcW w:type="dxa" w:w="2059"/>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max(0, 1-z)</w:t>
            </w:r>
          </w:p>
        </w:tc>
        <w:tc>
          <w:tcPr>
            <w:tcW w:type="dxa" w:w="2434"/>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Interpretation</w:t>
            </w:r>
          </w:p>
        </w:tc>
      </w:tr>
      <w:tr>
        <w:tc>
          <w:tcPr>
            <w:tcW w:type="dxa" w:w="112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1685"/>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205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205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max(0,-1) = 0</w:t>
            </w:r>
          </w:p>
        </w:tc>
        <w:tc>
          <w:tcPr>
            <w:tcW w:type="dxa" w:w="243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 penalty — safely classified</w:t>
            </w:r>
          </w:p>
        </w:tc>
      </w:tr>
      <w:tr>
        <w:tc>
          <w:tcPr>
            <w:tcW w:type="dxa" w:w="112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1685"/>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2059"/>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2059"/>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max(0,3) = 3</w:t>
            </w:r>
          </w:p>
        </w:tc>
        <w:tc>
          <w:tcPr>
            <w:tcW w:type="dxa" w:w="243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large penalty — badly misclassified</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FCE7" w:color="auto" w:val="clear"/>
            <w:tcMar>
              <w:top w:type="dxa" w:w="160"/>
              <w:left w:type="dxa" w:w="200"/>
              <w:bottom w:type="dxa" w:w="160"/>
              <w:right w:type="dxa" w:w="200"/>
            </w:tcMar>
          </w:tcPr>
          <w:p>
            <w:pPr>
              <w:spacing w:after="60"/>
            </w:pPr>
            <w:r>
              <w:rPr>
                <w:rFonts w:ascii="Arial" w:cs="Arial" w:eastAsia="Arial" w:hAnsi="Arial"/>
                <w:b/>
                <w:bCs/>
                <w:color w:val="15803D"/>
                <w:sz w:val="22"/>
                <w:szCs w:val="22"/>
              </w:rPr>
              <w:t xml:space="preserve">▸ Interpretation</w:t>
            </w:r>
          </w:p>
          <w:p>
            <w:pPr>
              <w:spacing w:after="40"/>
            </w:pPr>
            <w:r>
              <w:rPr>
                <w:rFonts w:ascii="Arial" w:cs="Arial" w:eastAsia="Arial" w:hAnsi="Arial"/>
                <w:color w:val="15803D"/>
                <w:sz w:val="21"/>
                <w:szCs w:val="21"/>
              </w:rPr>
              <w:t xml:space="preserve">If z ≥ 1: the point is safely across the boundary → no penalty</w:t>
            </w:r>
          </w:p>
          <w:p>
            <w:pPr>
              <w:spacing w:after="40"/>
            </w:pPr>
            <w:r>
              <w:rPr>
                <w:rFonts w:ascii="Arial" w:cs="Arial" w:eastAsia="Arial" w:hAnsi="Arial"/>
                <w:color w:val="15803D"/>
                <w:sz w:val="21"/>
                <w:szCs w:val="21"/>
              </w:rPr>
              <w:t xml:space="preserve">If z &lt; 1: the point is inside the margin, or on the wrong side entirely → penalty grows linearly</w:t>
            </w:r>
          </w:p>
        </w:tc>
      </w:tr>
    </w:tbl>
    <w:p>
      <w:pPr>
        <w:spacing w:after="200"/>
      </w:pPr>
    </w:p>
    <w:p>
      <w:pPr>
        <w:spacing w:after="140" w:before="280"/>
      </w:pPr>
      <w:r>
        <w:rPr>
          <w:rFonts w:ascii="Arial" w:cs="Arial" w:eastAsia="Arial" w:hAnsi="Arial"/>
          <w:b/>
          <w:bCs/>
          <w:color w:val="1A3560"/>
          <w:sz w:val="30"/>
          <w:szCs w:val="30"/>
        </w:rPr>
        <w:t xml:space="preserve">7. Total SVM Cost Function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J(w, b) = ½ ∥w∥²  +  C · Σᵢ max(0, 1 - yᵢ(w·xᵢ + b))</w:t>
            </w:r>
          </w:p>
        </w:tc>
      </w:tr>
    </w:tbl>
    <w:p>
      <w:pPr>
        <w:spacing w:after="160"/>
      </w:pPr>
      <w:r>
        <w:rPr>
          <w:rFonts w:ascii="Arial" w:cs="Arial" w:eastAsia="Arial" w:hAnsi="Arial"/>
          <w:color w:val="1F2937"/>
          <w:sz w:val="22"/>
          <w:szCs w:val="22"/>
        </w:rPr>
        <w:t xml:space="preserve">C is a hyperparameter that trades off margin width against misclassification tolerance: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995"/>
        <w:gridCol w:w="4680"/>
      </w:tblGrid>
      <w:tr>
        <w:trPr>
          <w:tblHeader/>
        </w:trPr>
        <w:tc>
          <w:tcPr>
            <w:tcW w:type="dxa" w:w="1685"/>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 value</w:t>
            </w:r>
          </w:p>
        </w:tc>
        <w:tc>
          <w:tcPr>
            <w:tcW w:type="dxa" w:w="2995"/>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Effect on margin</w:t>
            </w:r>
          </w:p>
        </w:tc>
        <w:tc>
          <w:tcPr>
            <w:tcW w:type="dxa" w:w="468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Behavior</w:t>
            </w:r>
          </w:p>
        </w:tc>
      </w:tr>
      <w:tr>
        <w:tc>
          <w:tcPr>
            <w:tcW w:type="dxa" w:w="1685"/>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High C</w:t>
            </w:r>
          </w:p>
        </w:tc>
        <w:tc>
          <w:tcPr>
            <w:tcW w:type="dxa" w:w="2995"/>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Skinny / tight / compact margin</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Prioritizes minimizing misclassification — risk of overfitting</w:t>
            </w:r>
          </w:p>
        </w:tc>
      </w:tr>
      <w:tr>
        <w:tc>
          <w:tcPr>
            <w:tcW w:type="dxa" w:w="1685"/>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Low C</w:t>
            </w:r>
          </w:p>
        </w:tc>
        <w:tc>
          <w:tcPr>
            <w:tcW w:type="dxa" w:w="2995"/>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Wide margin</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Prioritizes a large margin — more tolerant of misclassified points</w:t>
            </w:r>
          </w:p>
        </w:tc>
      </w:tr>
    </w:tbl>
    <w:p>
      <w:pPr>
        <w:spacing w:after="200"/>
      </w:pPr>
    </w:p>
    <w:p>
      <w:pPr>
        <w:spacing w:after="140" w:before="280"/>
      </w:pPr>
      <w:r>
        <w:rPr>
          <w:rFonts w:ascii="Arial" w:cs="Arial" w:eastAsia="Arial" w:hAnsi="Arial"/>
          <w:b/>
          <w:bCs/>
          <w:color w:val="1A3560"/>
          <w:sz w:val="30"/>
          <w:szCs w:val="30"/>
        </w:rPr>
        <w:t xml:space="preserve">8. Sub-Gradient Descent (If–Else)</w:t>
      </w:r>
    </w:p>
    <w:p>
      <w:pPr>
        <w:spacing w:after="160"/>
      </w:pPr>
      <w:r>
        <w:rPr>
          <w:rFonts w:ascii="Arial" w:cs="Arial" w:eastAsia="Arial" w:hAnsi="Arial"/>
          <w:color w:val="1F2937"/>
          <w:sz w:val="22"/>
          <w:szCs w:val="22"/>
        </w:rPr>
        <w:t xml:space="preserve">Because hinge loss is piecewise, the gradient splits into two paths depending on z:</w:t>
      </w:r>
    </w:p>
    <w:p>
      <w:pPr>
        <w:spacing w:after="100" w:before="200"/>
      </w:pPr>
      <w:r>
        <w:rPr>
          <w:rFonts w:ascii="Arial" w:cs="Arial" w:eastAsia="Arial" w:hAnsi="Arial"/>
          <w:b/>
          <w:bCs/>
          <w:color w:val="15803D"/>
          <w:sz w:val="22"/>
          <w:szCs w:val="22"/>
        </w:rPr>
        <w:t xml:space="preserve">Path A — z ≥ 1 (loss = 0, only the margin-widening term is active)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∂J/∂w = w</w:t>
            </w:r>
          </w:p>
          <w:p>
            <w:pPr>
              <w:spacing w:after="20"/>
            </w:pPr>
            <w:r>
              <w:rPr>
                <w:rFonts w:ascii="Courier New" w:cs="Courier New" w:eastAsia="Courier New" w:hAnsi="Courier New"/>
                <w:color w:val="1A3560"/>
                <w:sz w:val="20"/>
                <w:szCs w:val="20"/>
              </w:rPr>
              <w:t xml:space="preserve">∂J/∂b = 0</w:t>
            </w:r>
          </w:p>
        </w:tc>
      </w:tr>
    </w:tbl>
    <w:p>
      <w:pPr>
        <w:spacing w:after="100" w:before="200"/>
      </w:pPr>
      <w:r>
        <w:rPr>
          <w:rFonts w:ascii="Arial" w:cs="Arial" w:eastAsia="Arial" w:hAnsi="Arial"/>
          <w:b/>
          <w:bCs/>
          <w:color w:val="C2410C"/>
          <w:sz w:val="22"/>
          <w:szCs w:val="22"/>
        </w:rPr>
        <w:t xml:space="preserve">Path B — z &lt; 1 (loss is active/present)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∂J/∂w = w - (C · yᵢ · xᵢ)</w:t>
            </w:r>
          </w:p>
          <w:p>
            <w:pPr>
              <w:spacing w:after="20"/>
            </w:pPr>
            <w:r>
              <w:rPr>
                <w:rFonts w:ascii="Courier New" w:cs="Courier New" w:eastAsia="Courier New" w:hAnsi="Courier New"/>
                <w:color w:val="1A3560"/>
                <w:sz w:val="20"/>
                <w:szCs w:val="20"/>
              </w:rPr>
              <w:t xml:space="preserve">∂J/∂b = -(C · yᵢ)</w:t>
            </w:r>
          </w:p>
        </w:tc>
      </w:tr>
    </w:tbl>
    <w:p>
      <w:pPr>
        <w:spacing w:after="160"/>
      </w:pPr>
    </w:p>
    <w:p>
      <w:pPr>
        <w:spacing w:after="100" w:before="200"/>
      </w:pPr>
      <w:r>
        <w:rPr>
          <w:rFonts w:ascii="Arial" w:cs="Arial" w:eastAsia="Arial" w:hAnsi="Arial"/>
          <w:b/>
          <w:bCs/>
          <w:color w:val="2563EB"/>
          <w:sz w:val="25"/>
          <w:szCs w:val="25"/>
        </w:rPr>
        <w:t xml:space="preserve">Worked iteration — one step-by-step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498"/>
        <w:gridCol w:w="1498"/>
        <w:gridCol w:w="1498"/>
        <w:gridCol w:w="1685"/>
        <w:gridCol w:w="1685"/>
      </w:tblGrid>
      <w:tr>
        <w:trPr>
          <w:tblHeader/>
        </w:trPr>
        <w:tc>
          <w:tcPr>
            <w:tcW w:type="dxa" w:w="1498"/>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x</w:t>
            </w:r>
          </w:p>
        </w:tc>
        <w:tc>
          <w:tcPr>
            <w:tcW w:type="dxa" w:w="1498"/>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w:t>
            </w:r>
          </w:p>
        </w:tc>
        <w:tc>
          <w:tcPr>
            <w:tcW w:type="dxa" w:w="1498"/>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w:t>
            </w:r>
          </w:p>
        </w:tc>
        <w:tc>
          <w:tcPr>
            <w:tcW w:type="dxa" w:w="1498"/>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α (lr)</w:t>
            </w:r>
          </w:p>
        </w:tc>
        <w:tc>
          <w:tcPr>
            <w:tcW w:type="dxa" w:w="1685"/>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w:t>
            </w:r>
          </w:p>
        </w:tc>
        <w:tc>
          <w:tcPr>
            <w:tcW w:type="dxa" w:w="1685"/>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w:t>
            </w:r>
          </w:p>
        </w:tc>
      </w:tr>
      <w:tr>
        <w:tc>
          <w:tcPr>
            <w:tcW w:type="dxa" w:w="1498"/>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2.0</w:t>
            </w:r>
          </w:p>
        </w:tc>
        <w:tc>
          <w:tcPr>
            <w:tcW w:type="dxa" w:w="1498"/>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1498"/>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1.0</w:t>
            </w:r>
          </w:p>
        </w:tc>
        <w:tc>
          <w:tcPr>
            <w:tcW w:type="dxa" w:w="1498"/>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0.1</w:t>
            </w:r>
          </w:p>
        </w:tc>
        <w:tc>
          <w:tcPr>
            <w:tcW w:type="dxa" w:w="1685"/>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0.4</w:t>
            </w:r>
          </w:p>
        </w:tc>
        <w:tc>
          <w:tcPr>
            <w:tcW w:type="dxa" w:w="1685"/>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0.0</w:t>
            </w:r>
          </w:p>
        </w:tc>
      </w:tr>
    </w:tbl>
    <w:p>
      <w:pPr>
        <w:spacing w:after="140"/>
      </w:pPr>
    </w:p>
    <w:p>
      <w:pPr>
        <w:spacing w:after="160"/>
      </w:pPr>
      <w:r>
        <w:rPr>
          <w:rFonts w:ascii="Arial" w:cs="Arial" w:eastAsia="Arial" w:hAnsi="Arial"/>
          <w:b/>
          <w:bCs/>
          <w:color w:val="1A3560"/>
          <w:sz w:val="22"/>
          <w:szCs w:val="22"/>
        </w:rPr>
        <w:t xml:space="preserve">Step 1 — Forward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z = y·(w·x + b) = 1×(0.4×2.0 + 0.0) = 0.8</w:t>
            </w:r>
          </w:p>
        </w:tc>
      </w:tr>
    </w:tbl>
    <w:p>
      <w:pPr>
        <w:spacing w:after="160"/>
      </w:pPr>
      <w:r>
        <w:rPr>
          <w:rFonts w:ascii="Arial" w:cs="Arial" w:eastAsia="Arial" w:hAnsi="Arial"/>
          <w:b/>
          <w:bCs/>
          <w:color w:val="1A3560"/>
          <w:sz w:val="22"/>
          <w:szCs w:val="22"/>
        </w:rPr>
        <w:t xml:space="preserve">Step 2 — Check condition: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0.8 ≥ 1.0 ?  NO  →  else branch  →  Path B</w:t>
            </w:r>
          </w:p>
          <w:p>
            <w:pPr>
              <w:spacing w:after="20"/>
            </w:pPr>
            <w:r>
              <w:rPr>
                <w:rFonts w:ascii="Courier New" w:cs="Courier New" w:eastAsia="Courier New" w:hAnsi="Courier New"/>
                <w:color w:val="1A3560"/>
                <w:sz w:val="20"/>
                <w:szCs w:val="20"/>
              </w:rPr>
              <w:t xml:space="preserve">∂J/∂w = w - (C·y·x) = 0.4 - (1.0×1×2.0) = -1.6</w:t>
            </w:r>
          </w:p>
          <w:p>
            <w:pPr>
              <w:spacing w:after="20"/>
            </w:pPr>
            <w:r>
              <w:rPr>
                <w:rFonts w:ascii="Courier New" w:cs="Courier New" w:eastAsia="Courier New" w:hAnsi="Courier New"/>
                <w:color w:val="1A3560"/>
                <w:sz w:val="20"/>
                <w:szCs w:val="20"/>
              </w:rPr>
              <w:t xml:space="preserve">∂J/∂b = -(C·y) = -(1.0×1) = -1.0</w:t>
            </w:r>
          </w:p>
        </w:tc>
      </w:tr>
    </w:tbl>
    <w:p>
      <w:pPr>
        <w:spacing w:after="160"/>
      </w:pPr>
      <w:r>
        <w:rPr>
          <w:rFonts w:ascii="Arial" w:cs="Arial" w:eastAsia="Arial" w:hAnsi="Arial"/>
          <w:b/>
          <w:bCs/>
          <w:color w:val="1A3560"/>
          <w:sz w:val="22"/>
          <w:szCs w:val="22"/>
        </w:rPr>
        <w:t xml:space="preserve">Step 3 — Update weights: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w_new = w_old - α·gradient = 0.4 - (0.1×(-1.6)) = 0.56</w:t>
            </w:r>
          </w:p>
          <w:p>
            <w:pPr>
              <w:spacing w:after="20"/>
            </w:pPr>
            <w:r>
              <w:rPr>
                <w:rFonts w:ascii="Courier New" w:cs="Courier New" w:eastAsia="Courier New" w:hAnsi="Courier New"/>
                <w:color w:val="1A3560"/>
                <w:sz w:val="20"/>
                <w:szCs w:val="20"/>
              </w:rPr>
              <w:t xml:space="preserve">b_new = b_old - α·gradient = 0.0 - (0.1×(-1.0)) = 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w_old</w:t>
            </w:r>
          </w:p>
        </w:tc>
        <w:tc>
          <w:tcPr>
            <w:tcW w:type="dxa" w:w="234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w_new</w:t>
            </w:r>
          </w:p>
        </w:tc>
        <w:tc>
          <w:tcPr>
            <w:tcW w:type="dxa" w:w="234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b_old</w:t>
            </w:r>
          </w:p>
        </w:tc>
        <w:tc>
          <w:tcPr>
            <w:tcW w:type="dxa" w:w="234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b_new</w:t>
            </w:r>
          </w:p>
        </w:tc>
      </w:tr>
      <w:tr>
        <w:tc>
          <w:tcPr>
            <w:tcW w:type="dxa" w:w="23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0.4</w:t>
            </w:r>
          </w:p>
        </w:tc>
        <w:tc>
          <w:tcPr>
            <w:tcW w:type="dxa" w:w="23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0.56</w:t>
            </w:r>
          </w:p>
        </w:tc>
        <w:tc>
          <w:tcPr>
            <w:tcW w:type="dxa" w:w="23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0.0</w:t>
            </w:r>
          </w:p>
        </w:tc>
        <w:tc>
          <w:tcPr>
            <w:tcW w:type="dxa" w:w="23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0.1</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FCE7" w:color="auto" w:val="clear"/>
            <w:tcMar>
              <w:top w:type="dxa" w:w="160"/>
              <w:left w:type="dxa" w:w="200"/>
              <w:bottom w:type="dxa" w:w="160"/>
              <w:right w:type="dxa" w:w="200"/>
            </w:tcMar>
          </w:tcPr>
          <w:p>
            <w:pPr>
              <w:spacing w:after="60"/>
            </w:pPr>
            <w:r>
              <w:rPr>
                <w:rFonts w:ascii="Arial" w:cs="Arial" w:eastAsia="Arial" w:hAnsi="Arial"/>
                <w:b/>
                <w:bCs/>
                <w:color w:val="15803D"/>
                <w:sz w:val="22"/>
                <w:szCs w:val="22"/>
              </w:rPr>
              <w:t xml:space="preserve">▸ Result after one update</w:t>
            </w:r>
          </w:p>
          <w:p>
            <w:pPr>
              <w:spacing w:after="40"/>
            </w:pPr>
            <w:r>
              <w:rPr>
                <w:rFonts w:ascii="Arial" w:cs="Arial" w:eastAsia="Arial" w:hAnsi="Arial"/>
                <w:color w:val="15803D"/>
                <w:sz w:val="21"/>
                <w:szCs w:val="21"/>
              </w:rPr>
              <w:t xml:space="preserve">New score: y·(w·x+b) = +1×((0.56×2.0)+0.1) = 1.22</w:t>
            </w:r>
          </w:p>
          <w:p>
            <w:pPr>
              <w:spacing w:after="40"/>
            </w:pPr>
            <w:r>
              <w:rPr>
                <w:rFonts w:ascii="Arial" w:cs="Arial" w:eastAsia="Arial" w:hAnsi="Arial"/>
                <w:color w:val="15803D"/>
                <w:sz w:val="21"/>
                <w:szCs w:val="21"/>
              </w:rPr>
              <w:t xml:space="preserve">y_actual = +1, and 1.22 ≥ 1 → the point is now safely classified after just one gradient step.</w:t>
            </w:r>
          </w:p>
        </w:tc>
      </w:tr>
    </w:tbl>
    <w:p>
      <w:pPr>
        <w:spacing w:after="160"/>
      </w:pPr>
    </w:p>
    <w:p>
      <w:pPr>
        <w:spacing w:after="100" w:before="200"/>
      </w:pPr>
      <w:r>
        <w:rPr>
          <w:rFonts w:ascii="Arial" w:cs="Arial" w:eastAsia="Arial" w:hAnsi="Arial"/>
          <w:b/>
          <w:bCs/>
          <w:color w:val="2563EB"/>
          <w:sz w:val="25"/>
          <w:szCs w:val="25"/>
        </w:rPr>
        <w:t xml:space="preserve">Algorithm summary</w:t>
      </w:r>
    </w:p>
    <w:p>
      <w:pPr>
        <w:pStyle w:val="ListParagraph"/>
        <w:numPr>
          <w:ilvl w:val="0"/>
          <w:numId w:val="1"/>
        </w:numPr>
        <w:spacing w:after="80"/>
        <w:ind w:left="360"/>
      </w:pPr>
      <w:r>
        <w:rPr>
          <w:rFonts w:ascii="Arial" w:cs="Arial" w:eastAsia="Arial" w:hAnsi="Arial"/>
          <w:color w:val="1F2937"/>
          <w:sz w:val="22"/>
          <w:szCs w:val="22"/>
        </w:rPr>
        <w:t xml:space="preserve">1. Forward pass — compute z = y·(w·x + b)</w:t>
      </w:r>
    </w:p>
    <w:p>
      <w:pPr>
        <w:pStyle w:val="ListParagraph"/>
        <w:numPr>
          <w:ilvl w:val="0"/>
          <w:numId w:val="1"/>
        </w:numPr>
        <w:spacing w:after="80"/>
        <w:ind w:left="360"/>
      </w:pPr>
      <w:r>
        <w:rPr>
          <w:rFonts w:ascii="Arial" w:cs="Arial" w:eastAsia="Arial" w:hAnsi="Arial"/>
          <w:color w:val="1F2937"/>
          <w:sz w:val="22"/>
          <w:szCs w:val="22"/>
        </w:rPr>
        <w:t xml:space="preserve">2. Compute gradient — branch on whether z ≥ 1</w:t>
      </w:r>
    </w:p>
    <w:p>
      <w:pPr>
        <w:pStyle w:val="ListParagraph"/>
        <w:numPr>
          <w:ilvl w:val="0"/>
          <w:numId w:val="1"/>
        </w:numPr>
        <w:spacing w:after="80"/>
        <w:ind w:left="360"/>
      </w:pPr>
      <w:r>
        <w:rPr>
          <w:rFonts w:ascii="Arial" w:cs="Arial" w:eastAsia="Arial" w:hAnsi="Arial"/>
          <w:color w:val="1F2937"/>
          <w:sz w:val="22"/>
          <w:szCs w:val="22"/>
        </w:rPr>
        <w:t xml:space="preserve">3. Update weights — w and b via gradient descent step</w:t>
      </w:r>
    </w:p>
    <w:p>
      <w:pPr>
        <w:pStyle w:val="ListParagraph"/>
        <w:numPr>
          <w:ilvl w:val="0"/>
          <w:numId w:val="1"/>
        </w:numPr>
        <w:spacing w:after="80"/>
        <w:ind w:left="360"/>
      </w:pPr>
      <w:r>
        <w:rPr>
          <w:rFonts w:ascii="Arial" w:cs="Arial" w:eastAsia="Arial" w:hAnsi="Arial"/>
          <w:color w:val="1F2937"/>
          <w:sz w:val="22"/>
          <w:szCs w:val="22"/>
        </w:rPr>
        <w:t xml:space="preserve">4. Predict &amp; compute error</w:t>
      </w:r>
    </w:p>
    <w:p>
      <w:pPr>
        <w:pStyle w:val="ListParagraph"/>
        <w:numPr>
          <w:ilvl w:val="0"/>
          <w:numId w:val="1"/>
        </w:numPr>
        <w:spacing w:after="80"/>
        <w:ind w:left="360"/>
      </w:pPr>
      <w:r>
        <w:rPr>
          <w:rFonts w:ascii="Arial" w:cs="Arial" w:eastAsia="Arial" w:hAnsi="Arial"/>
          <w:color w:val="1F2937"/>
          <w:sz w:val="22"/>
          <w:szCs w:val="22"/>
        </w:rPr>
        <w:t xml:space="preserve">5. Repeat steps 1–4 until convergence</w:t>
      </w:r>
    </w:p>
    <w:p>
      <w:pPr>
        <w:spacing w:after="240"/>
      </w:pPr>
    </w:p>
    <w:p>
      <w:pPr>
        <w:spacing w:after="140" w:before="280"/>
      </w:pPr>
      <w:r>
        <w:rPr>
          <w:rFonts w:ascii="Arial" w:cs="Arial" w:eastAsia="Arial" w:hAnsi="Arial"/>
          <w:b/>
          <w:bCs/>
          <w:color w:val="1A3560"/>
          <w:sz w:val="30"/>
          <w:szCs w:val="30"/>
        </w:rPr>
        <w:t xml:space="preserve">9. Recommendation Systems</w:t>
      </w:r>
    </w:p>
    <w:p>
      <w:pPr>
        <w:spacing w:after="160"/>
      </w:pPr>
      <w:r>
        <w:rPr>
          <w:rFonts w:ascii="Arial" w:cs="Arial" w:eastAsia="Arial" w:hAnsi="Arial"/>
          <w:color w:val="1F2937"/>
          <w:sz w:val="22"/>
          <w:szCs w:val="22"/>
        </w:rPr>
        <w:t xml:space="preserve">Recommendation systems commonly use the dot product between user/item feature vectors as a similarity signal.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Recommendation System  →  Dot Product  →  Similarity</w:t>
            </w:r>
          </w:p>
        </w:tc>
      </w:tr>
    </w:tbl>
    <w:p>
      <w:pPr>
        <w:spacing w:after="140"/>
      </w:pPr>
    </w:p>
    <w:p>
      <w:pPr>
        <w:spacing w:after="100" w:before="200"/>
      </w:pPr>
      <w:r>
        <w:rPr>
          <w:rFonts w:ascii="Arial" w:cs="Arial" w:eastAsia="Arial" w:hAnsi="Arial"/>
          <w:b/>
          <w:bCs/>
          <w:color w:val="2563EB"/>
          <w:sz w:val="25"/>
          <w:szCs w:val="25"/>
        </w:rPr>
        <w:t xml:space="preserve">Movie recommendation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rPr>
          <w:tblHeader/>
        </w:trPr>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User</w:t>
            </w:r>
          </w:p>
        </w:tc>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Comedy</w:t>
            </w:r>
          </w:p>
        </w:tc>
        <w:tc>
          <w:tcPr>
            <w:tcW w:type="dxa" w:w="3744"/>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Preference</w:t>
            </w:r>
          </w:p>
        </w:tc>
      </w:tr>
      <w:tr>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User A</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w:t>
            </w:r>
          </w:p>
        </w:tc>
        <w:tc>
          <w:tcPr>
            <w:tcW w:type="dxa" w:w="374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Fast &amp; Furious</w:t>
            </w:r>
          </w:p>
        </w:tc>
      </w:tr>
      <w:tr>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User B</w:t>
            </w:r>
          </w:p>
        </w:tc>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10</w:t>
            </w:r>
          </w:p>
        </w:tc>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0</w:t>
            </w:r>
          </w:p>
        </w:tc>
        <w:tc>
          <w:tcPr>
            <w:tcW w:type="dxa" w:w="3744"/>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John Wick, Pushpa, Expendables, MI</w:t>
            </w:r>
          </w:p>
        </w:tc>
      </w:tr>
      <w:tr>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User C</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10</w:t>
            </w:r>
          </w:p>
        </w:tc>
        <w:tc>
          <w:tcPr>
            <w:tcW w:type="dxa" w:w="374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w:t>
            </w:r>
          </w:p>
        </w:tc>
      </w:tr>
    </w:tbl>
    <w:p>
      <w:pPr>
        <w:spacing w:after="140"/>
      </w:pPr>
    </w:p>
    <w:p>
      <w:pPr>
        <w:spacing w:after="160"/>
      </w:pPr>
      <w:r>
        <w:rPr>
          <w:rFonts w:ascii="Arial" w:cs="Arial" w:eastAsia="Arial" w:hAnsi="Arial"/>
          <w:color w:val="1F2937"/>
          <w:sz w:val="22"/>
          <w:szCs w:val="22"/>
        </w:rPr>
        <w:t xml:space="preserve">Dot product similarity (A vs. B, A vs.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A · B  =  (2×10) + (0×0)  =  20</w:t>
            </w:r>
          </w:p>
          <w:p>
            <w:pPr>
              <w:spacing w:after="20"/>
            </w:pPr>
            <w:r>
              <w:rPr>
                <w:rFonts w:ascii="Courier New" w:cs="Courier New" w:eastAsia="Courier New" w:hAnsi="Courier New"/>
                <w:color w:val="1A3560"/>
                <w:sz w:val="20"/>
                <w:szCs w:val="20"/>
              </w:rPr>
              <w:t xml:space="preserve">A · C  =  (2×0) + (0×10)  =  0</w:t>
            </w:r>
          </w:p>
        </w:tc>
      </w:tr>
    </w:tbl>
    <w:p>
      <w:pPr>
        <w:spacing w:after="160"/>
      </w:pPr>
    </w:p>
    <w:p>
      <w:pPr>
        <w:spacing w:after="140" w:before="280"/>
      </w:pPr>
      <w:r>
        <w:rPr>
          <w:rFonts w:ascii="Arial" w:cs="Arial" w:eastAsia="Arial" w:hAnsi="Arial"/>
          <w:b/>
          <w:bCs/>
          <w:color w:val="1A3560"/>
          <w:sz w:val="30"/>
          <w:szCs w:val="30"/>
        </w:rPr>
        <w:t xml:space="preserve">10. Cosine Similarity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cosine similarity = (a⃗ · b⃗) / (∥a⃗∥ × ∥b⃗∥)</w:t>
            </w:r>
          </w:p>
        </w:tc>
      </w:tr>
    </w:tbl>
    <w:p>
      <w:pPr>
        <w:spacing w:after="160"/>
      </w:pPr>
      <w:r>
        <w:rPr>
          <w:rFonts w:ascii="Arial" w:cs="Arial" w:eastAsia="Arial" w:hAnsi="Arial"/>
          <w:color w:val="1F2937"/>
          <w:sz w:val="22"/>
          <w:szCs w:val="22"/>
        </w:rPr>
        <w:t xml:space="preserve">Vector magnitudes: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∥A[2,0]∥ = √(2² + 0²) = 2</w:t>
            </w:r>
          </w:p>
          <w:p>
            <w:pPr>
              <w:spacing w:after="20"/>
            </w:pPr>
            <w:r>
              <w:rPr>
                <w:rFonts w:ascii="Courier New" w:cs="Courier New" w:eastAsia="Courier New" w:hAnsi="Courier New"/>
                <w:color w:val="1A3560"/>
                <w:sz w:val="20"/>
                <w:szCs w:val="20"/>
              </w:rPr>
              <w:t xml:space="preserve">∥B[10,0]∥ = √(10² + 0²) = 10</w:t>
            </w:r>
          </w:p>
          <w:p>
            <w:pPr>
              <w:spacing w:after="20"/>
            </w:pPr>
            <w:r>
              <w:rPr>
                <w:rFonts w:ascii="Courier New" w:cs="Courier New" w:eastAsia="Courier New" w:hAnsi="Courier New"/>
                <w:color w:val="1A3560"/>
                <w:sz w:val="20"/>
                <w:szCs w:val="20"/>
              </w:rPr>
              <w:t xml:space="preserve">cosine(A, B) = (2×10) / (2×10) = 20/20 = 1.0</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8"/>
        <w:gridCol w:w="2442"/>
        <w:gridCol w:w="4680"/>
      </w:tblGrid>
      <w:tr>
        <w:trPr>
          <w:tblHeader/>
        </w:trPr>
        <w:tc>
          <w:tcPr>
            <w:tcW w:type="dxa" w:w="2238"/>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44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 (A vs. B)</w:t>
            </w:r>
          </w:p>
        </w:tc>
        <w:tc>
          <w:tcPr>
            <w:tcW w:type="dxa" w:w="468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Interpretation</w:t>
            </w:r>
          </w:p>
        </w:tc>
      </w:tr>
      <w:tr>
        <w:tc>
          <w:tcPr>
            <w:tcW w:type="dxa" w:w="2238"/>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Dot product</w:t>
            </w:r>
          </w:p>
        </w:tc>
        <w:tc>
          <w:tcPr>
            <w:tcW w:type="dxa" w:w="244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20</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B “likes action more” — magnitude-sensitive, biased toward heavy raters</w:t>
            </w:r>
          </w:p>
        </w:tc>
      </w:tr>
      <w:tr>
        <w:tc>
          <w:tcPr>
            <w:tcW w:type="dxa" w:w="2238"/>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Cosine similarity</w:t>
            </w:r>
          </w:p>
        </w:tc>
        <w:tc>
          <w:tcPr>
            <w:tcW w:type="dxa" w:w="244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1.0</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A and B share the exact same taste profile / direction, regardless of magnitude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BEAFE" w:color="auto" w:val="clear"/>
            <w:tcMar>
              <w:top w:type="dxa" w:w="160"/>
              <w:left w:type="dxa" w:w="200"/>
              <w:bottom w:type="dxa" w:w="160"/>
              <w:right w:type="dxa" w:w="200"/>
            </w:tcMar>
          </w:tcPr>
          <w:p>
            <w:pPr>
              <w:spacing w:after="60"/>
            </w:pPr>
            <w:r>
              <w:rPr>
                <w:rFonts w:ascii="Arial" w:cs="Arial" w:eastAsia="Arial" w:hAnsi="Arial"/>
                <w:b/>
                <w:bCs/>
                <w:color w:val="2563EB"/>
                <w:sz w:val="22"/>
                <w:szCs w:val="22"/>
              </w:rPr>
              <w:t xml:space="preserve">▸ Why this matters</w:t>
            </w:r>
          </w:p>
          <w:p>
            <w:pPr>
              <w:spacing w:after="40"/>
            </w:pPr>
            <w:r>
              <w:rPr>
                <w:rFonts w:ascii="Arial" w:cs="Arial" w:eastAsia="Arial" w:hAnsi="Arial"/>
                <w:color w:val="2563EB"/>
                <w:sz w:val="21"/>
                <w:szCs w:val="21"/>
              </w:rPr>
              <w:t xml:space="preserve">Dot product rewards users with more overall activity (higher magnitude vectors) — it conflates “more active” with “more similar.”</w:t>
            </w:r>
          </w:p>
          <w:p>
            <w:pPr>
              <w:spacing w:after="40"/>
            </w:pPr>
            <w:r>
              <w:rPr>
                <w:rFonts w:ascii="Arial" w:cs="Arial" w:eastAsia="Arial" w:hAnsi="Arial"/>
                <w:color w:val="2563EB"/>
                <w:sz w:val="21"/>
                <w:szCs w:val="21"/>
              </w:rPr>
              <w:t xml:space="preserve">Cosine similarity normalizes by magnitude, so it isolates whether two users share the same taste direction — used heavily in real-world systems (e.g. Amazon-style “customers who bought this also bought” recommendations).</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0D1F3C" w:color="auto" w:val="clear"/>
            <w:tcMar>
              <w:top w:type="dxa" w:w="320"/>
              <w:left w:type="dxa" w:w="320"/>
              <w:bottom w:type="dxa" w:w="320"/>
              <w:right w:type="dxa" w:w="320"/>
            </w:tcMar>
          </w:tcPr>
          <w:p>
            <w:pPr>
              <w:spacing w:after="60"/>
            </w:pPr>
            <w:r>
              <w:rPr>
                <w:rFonts w:ascii="Arial" w:cs="Arial" w:eastAsia="Arial" w:hAnsi="Arial"/>
                <w:b/>
                <w:bCs/>
                <w:color w:val="93C5FD"/>
                <w:sz w:val="22"/>
                <w:szCs w:val="22"/>
              </w:rPr>
              <w:t xml:space="preserve">SENIOR ENGINEER NOTES</w:t>
            </w:r>
          </w:p>
          <w:p>
            <w:pPr>
              <w:spacing w:after="100"/>
            </w:pPr>
            <w:r>
              <w:rPr>
                <w:rFonts w:ascii="Arial" w:cs="Arial" w:eastAsia="Arial" w:hAnsi="Arial"/>
                <w:b/>
                <w:bCs/>
                <w:color w:val="FFFFFF"/>
                <w:sz w:val="44"/>
                <w:szCs w:val="44"/>
              </w:rPr>
              <w:t xml:space="preserve">Production Gotchas — SVM &amp; Recommendation Systems</w:t>
            </w:r>
          </w:p>
          <w:p>
            <w:r>
              <w:rPr>
                <w:rFonts w:ascii="Arial" w:cs="Arial" w:eastAsia="Arial" w:hAnsi="Arial"/>
                <w:color w:val="CBD5E1"/>
                <w:sz w:val="20"/>
                <w:szCs w:val="20"/>
              </w:rPr>
              <w:t xml:space="preserve">ML-12</w:t>
            </w:r>
          </w:p>
        </w:tc>
      </w:tr>
    </w:tbl>
    <w:p>
      <w:pPr>
        <w:spacing w:after="240"/>
      </w:pPr>
    </w:p>
    <w:p>
      <w:pPr>
        <w:spacing w:after="140" w:before="280"/>
      </w:pPr>
      <w:r>
        <w:rPr>
          <w:rFonts w:ascii="Arial" w:cs="Arial" w:eastAsia="Arial" w:hAnsi="Arial"/>
          <w:b/>
          <w:bCs/>
          <w:color w:val="1A3560"/>
          <w:sz w:val="30"/>
          <w:szCs w:val="30"/>
        </w:rPr>
        <w:t xml:space="preserve">Production Wisdom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EE2E2" w:color="auto" w:val="clear"/>
            <w:tcMar>
              <w:top w:type="dxa" w:w="160"/>
              <w:left w:type="dxa" w:w="220"/>
              <w:bottom w:type="dxa" w:w="160"/>
              <w:right w:type="dxa" w:w="220"/>
            </w:tcMar>
          </w:tcPr>
          <w:p>
            <w:pPr>
              <w:spacing w:after="40"/>
            </w:pPr>
            <w:r>
              <w:rPr>
                <w:rFonts w:ascii="Arial" w:cs="Arial" w:eastAsia="Arial" w:hAnsi="Arial"/>
                <w:b/>
                <w:bCs/>
                <w:color w:val="B91C1C"/>
                <w:sz w:val="16"/>
                <w:szCs w:val="16"/>
              </w:rPr>
              <w:t xml:space="preserve">● HIGH SEVERITY</w:t>
            </w:r>
          </w:p>
          <w:p>
            <w:pPr>
              <w:spacing w:after="80"/>
            </w:pPr>
            <w:r>
              <w:rPr>
                <w:rFonts w:ascii="Arial" w:cs="Arial" w:eastAsia="Arial" w:hAnsi="Arial"/>
                <w:b/>
                <w:bCs/>
                <w:color w:val="B91C1C"/>
                <w:sz w:val="22"/>
                <w:szCs w:val="22"/>
              </w:rPr>
              <w:t xml:space="preserve">SVM does not scale to large datasets</w:t>
            </w:r>
          </w:p>
          <w:p>
            <w:r>
              <w:rPr>
                <w:rFonts w:ascii="Arial" w:cs="Arial" w:eastAsia="Arial" w:hAnsi="Arial"/>
                <w:color w:val="475569"/>
                <w:sz w:val="20"/>
                <w:szCs w:val="20"/>
              </w:rPr>
              <w:t xml:space="preserve">Training complexity for kernelized SVM is roughly O(n²) to O(n³) in the number of samples. Beyond ~50k–100k rows, training time and memory blow up. For large-scale production, prefer linear models (logistic regression, linear SVM with SGD) or tree ensembles instead of kernelized SVM.</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EE2E2" w:color="auto" w:val="clear"/>
            <w:tcMar>
              <w:top w:type="dxa" w:w="160"/>
              <w:left w:type="dxa" w:w="220"/>
              <w:bottom w:type="dxa" w:w="160"/>
              <w:right w:type="dxa" w:w="220"/>
            </w:tcMar>
          </w:tcPr>
          <w:p>
            <w:pPr>
              <w:spacing w:after="40"/>
            </w:pPr>
            <w:r>
              <w:rPr>
                <w:rFonts w:ascii="Arial" w:cs="Arial" w:eastAsia="Arial" w:hAnsi="Arial"/>
                <w:b/>
                <w:bCs/>
                <w:color w:val="B91C1C"/>
                <w:sz w:val="16"/>
                <w:szCs w:val="16"/>
              </w:rPr>
              <w:t xml:space="preserve">● HIGH SEVERITY</w:t>
            </w:r>
          </w:p>
          <w:p>
            <w:pPr>
              <w:spacing w:after="80"/>
            </w:pPr>
            <w:r>
              <w:rPr>
                <w:rFonts w:ascii="Arial" w:cs="Arial" w:eastAsia="Arial" w:hAnsi="Arial"/>
                <w:b/>
                <w:bCs/>
                <w:color w:val="B91C1C"/>
                <w:sz w:val="22"/>
                <w:szCs w:val="22"/>
              </w:rPr>
              <w:t xml:space="preserve">Feature scaling is not optional for SVM</w:t>
            </w:r>
          </w:p>
          <w:p>
            <w:r>
              <w:rPr>
                <w:rFonts w:ascii="Arial" w:cs="Arial" w:eastAsia="Arial" w:hAnsi="Arial"/>
                <w:color w:val="475569"/>
                <w:sz w:val="20"/>
                <w:szCs w:val="20"/>
              </w:rPr>
              <w:t xml:space="preserve">SVM's margin optimization is distance-based, so unscaled features (e.g. one feature ranging 0–10, another 0–10000) will dominate the w·x calculation and silently produce a bad boundary. Always StandardScaler or MinMaxScaler features before fitting — this is one of the most common silent-failure bugs in SVM pipelines.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FEDD5" w:color="auto" w:val="clear"/>
            <w:tcMar>
              <w:top w:type="dxa" w:w="160"/>
              <w:left w:type="dxa" w:w="220"/>
              <w:bottom w:type="dxa" w:w="160"/>
              <w:right w:type="dxa" w:w="220"/>
            </w:tcMar>
          </w:tcPr>
          <w:p>
            <w:pPr>
              <w:spacing w:after="40"/>
            </w:pPr>
            <w:r>
              <w:rPr>
                <w:rFonts w:ascii="Arial" w:cs="Arial" w:eastAsia="Arial" w:hAnsi="Arial"/>
                <w:b/>
                <w:bCs/>
                <w:color w:val="C2410C"/>
                <w:sz w:val="16"/>
                <w:szCs w:val="16"/>
              </w:rPr>
              <w:t xml:space="preserve">● MODERATE</w:t>
            </w:r>
          </w:p>
          <w:p>
            <w:pPr>
              <w:spacing w:after="80"/>
            </w:pPr>
            <w:r>
              <w:rPr>
                <w:rFonts w:ascii="Arial" w:cs="Arial" w:eastAsia="Arial" w:hAnsi="Arial"/>
                <w:b/>
                <w:bCs/>
                <w:color w:val="C2410C"/>
                <w:sz w:val="22"/>
                <w:szCs w:val="22"/>
              </w:rPr>
              <w:t xml:space="preserve">C is a bias-variance dial, tune it deliberately</w:t>
            </w:r>
          </w:p>
          <w:p>
            <w:r>
              <w:rPr>
                <w:rFonts w:ascii="Arial" w:cs="Arial" w:eastAsia="Arial" w:hAnsi="Arial"/>
                <w:color w:val="475569"/>
                <w:sz w:val="20"/>
                <w:szCs w:val="20"/>
              </w:rPr>
              <w:t xml:space="preserve">High C chases every training point (risk of overfitting, tight/skinny margin); low C tolerates more misclassification for a wider, more generalizable margin. Always sweep C on a validation set (grid/random search) rather than picking a default — the optimal value is highly dataset-dependent.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FEDD5" w:color="auto" w:val="clear"/>
            <w:tcMar>
              <w:top w:type="dxa" w:w="160"/>
              <w:left w:type="dxa" w:w="220"/>
              <w:bottom w:type="dxa" w:w="160"/>
              <w:right w:type="dxa" w:w="220"/>
            </w:tcMar>
          </w:tcPr>
          <w:p>
            <w:pPr>
              <w:spacing w:after="40"/>
            </w:pPr>
            <w:r>
              <w:rPr>
                <w:rFonts w:ascii="Arial" w:cs="Arial" w:eastAsia="Arial" w:hAnsi="Arial"/>
                <w:b/>
                <w:bCs/>
                <w:color w:val="C2410C"/>
                <w:sz w:val="16"/>
                <w:szCs w:val="16"/>
              </w:rPr>
              <w:t xml:space="preserve">● MODERATE</w:t>
            </w:r>
          </w:p>
          <w:p>
            <w:pPr>
              <w:spacing w:after="80"/>
            </w:pPr>
            <w:r>
              <w:rPr>
                <w:rFonts w:ascii="Arial" w:cs="Arial" w:eastAsia="Arial" w:hAnsi="Arial"/>
                <w:b/>
                <w:bCs/>
                <w:color w:val="C2410C"/>
                <w:sz w:val="22"/>
                <w:szCs w:val="22"/>
              </w:rPr>
              <w:t xml:space="preserve">Kernel choice changes everything downstream</w:t>
            </w:r>
          </w:p>
          <w:p>
            <w:r>
              <w:rPr>
                <w:rFonts w:ascii="Arial" w:cs="Arial" w:eastAsia="Arial" w:hAnsi="Arial"/>
                <w:color w:val="475569"/>
                <w:sz w:val="20"/>
                <w:szCs w:val="20"/>
              </w:rPr>
              <w:t xml:space="preserve">Linear kernels are fast and interpretable but only separate linearly-separable data. RBF/polynomial kernels can fit complex boundaries but add hyperparameters (gamma, degree) and make the model far more prone to overfitting on noisy data. Start linear, escalate to RBF only if validation performance clearly demands it.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EE2E2" w:color="auto" w:val="clear"/>
            <w:tcMar>
              <w:top w:type="dxa" w:w="160"/>
              <w:left w:type="dxa" w:w="220"/>
              <w:bottom w:type="dxa" w:w="160"/>
              <w:right w:type="dxa" w:w="220"/>
            </w:tcMar>
          </w:tcPr>
          <w:p>
            <w:pPr>
              <w:spacing w:after="40"/>
            </w:pPr>
            <w:r>
              <w:rPr>
                <w:rFonts w:ascii="Arial" w:cs="Arial" w:eastAsia="Arial" w:hAnsi="Arial"/>
                <w:b/>
                <w:bCs/>
                <w:color w:val="B91C1C"/>
                <w:sz w:val="16"/>
                <w:szCs w:val="16"/>
              </w:rPr>
              <w:t xml:space="preserve">● HIGH SEVERITY</w:t>
            </w:r>
          </w:p>
          <w:p>
            <w:pPr>
              <w:spacing w:after="80"/>
            </w:pPr>
            <w:r>
              <w:rPr>
                <w:rFonts w:ascii="Arial" w:cs="Arial" w:eastAsia="Arial" w:hAnsi="Arial"/>
                <w:b/>
                <w:bCs/>
                <w:color w:val="B91C1C"/>
                <w:sz w:val="22"/>
                <w:szCs w:val="22"/>
              </w:rPr>
              <w:t xml:space="preserve">Cosine similarity ignores magnitude — that's a feature and a trap</w:t>
            </w:r>
          </w:p>
          <w:p>
            <w:r>
              <w:rPr>
                <w:rFonts w:ascii="Arial" w:cs="Arial" w:eastAsia="Arial" w:hAnsi="Arial"/>
                <w:color w:val="475569"/>
                <w:sz w:val="20"/>
                <w:szCs w:val="20"/>
              </w:rPr>
              <w:t xml:space="preserve">Cosine similarity is great for taste-direction matching, but it will call a user who rated one movie 5-stars “identical” to a user who rated a thousand movies 5-stars, as long as the ratios align. If absolute engagement level matters for your recommendation objective, blend in a magnitude-aware signal (e.g. dot product, or weight by interaction count) rather than relying on cosine alone.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FEDD5" w:color="auto" w:val="clear"/>
            <w:tcMar>
              <w:top w:type="dxa" w:w="160"/>
              <w:left w:type="dxa" w:w="220"/>
              <w:bottom w:type="dxa" w:w="160"/>
              <w:right w:type="dxa" w:w="220"/>
            </w:tcMar>
          </w:tcPr>
          <w:p>
            <w:pPr>
              <w:spacing w:after="40"/>
            </w:pPr>
            <w:r>
              <w:rPr>
                <w:rFonts w:ascii="Arial" w:cs="Arial" w:eastAsia="Arial" w:hAnsi="Arial"/>
                <w:b/>
                <w:bCs/>
                <w:color w:val="C2410C"/>
                <w:sz w:val="16"/>
                <w:szCs w:val="16"/>
              </w:rPr>
              <w:t xml:space="preserve">● MODERATE</w:t>
            </w:r>
          </w:p>
          <w:p>
            <w:pPr>
              <w:spacing w:after="80"/>
            </w:pPr>
            <w:r>
              <w:rPr>
                <w:rFonts w:ascii="Arial" w:cs="Arial" w:eastAsia="Arial" w:hAnsi="Arial"/>
                <w:b/>
                <w:bCs/>
                <w:color w:val="C2410C"/>
                <w:sz w:val="22"/>
                <w:szCs w:val="22"/>
              </w:rPr>
              <w:t xml:space="preserve">Cold start is the real-world failure mode for recommendation systems</w:t>
            </w:r>
          </w:p>
          <w:p>
            <w:r>
              <w:rPr>
                <w:rFonts w:ascii="Arial" w:cs="Arial" w:eastAsia="Arial" w:hAnsi="Arial"/>
                <w:color w:val="475569"/>
                <w:sz w:val="20"/>
                <w:szCs w:val="20"/>
              </w:rPr>
              <w:t xml:space="preserve">Both dot-product and cosine-similarity approaches require an existing feature/interaction vector — new users and new items have no signal to compute similarity from. Production systems need a fallback strategy (popularity-based defaults, content-based features, or onboarding surveys) for the cold-start case, or recommendations silently degrade to empty/generic results.</w:t>
            </w:r>
          </w:p>
        </w:tc>
      </w:tr>
    </w:tbl>
    <w:p>
      <w:pPr>
        <w:spacing w:after="280"/>
      </w:pPr>
    </w:p>
    <w:p>
      <w:pPr>
        <w:spacing w:after="140" w:before="280"/>
      </w:pPr>
      <w:r>
        <w:rPr>
          <w:rFonts w:ascii="Arial" w:cs="Arial" w:eastAsia="Arial" w:hAnsi="Arial"/>
          <w:b/>
          <w:bCs/>
          <w:color w:val="1A3560"/>
          <w:sz w:val="30"/>
          <w:szCs w:val="30"/>
        </w:rPr>
        <w:t xml:space="preserve">Quick-Glance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306"/>
        <w:gridCol w:w="4306"/>
      </w:tblGrid>
      <w:tr>
        <w:trPr>
          <w:tblHeader/>
        </w:trPr>
        <w:tc>
          <w:tcPr>
            <w:tcW w:type="dxa" w:w="749"/>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4306"/>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Check</w:t>
            </w:r>
          </w:p>
        </w:tc>
        <w:tc>
          <w:tcPr>
            <w:tcW w:type="dxa" w:w="4306"/>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it matters</w:t>
            </w:r>
          </w:p>
        </w:tc>
      </w:tr>
      <w:tr>
        <w:tc>
          <w:tcPr>
            <w:tcW w:type="dxa" w:w="74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4306"/>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Are features scaled before training SVM?</w:t>
            </w:r>
          </w:p>
        </w:tc>
        <w:tc>
          <w:tcPr>
            <w:tcW w:type="dxa" w:w="4306"/>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Unscaled features distort the margin geometry</w:t>
            </w:r>
          </w:p>
        </w:tc>
      </w:tr>
      <w:tr>
        <w:tc>
          <w:tcPr>
            <w:tcW w:type="dxa" w:w="749"/>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4306"/>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Has C been tuned via validation, not left at default?</w:t>
            </w:r>
          </w:p>
        </w:tc>
        <w:tc>
          <w:tcPr>
            <w:tcW w:type="dxa" w:w="4306"/>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Directly controls overfitting vs. generalization</w:t>
            </w:r>
          </w:p>
        </w:tc>
      </w:tr>
      <w:tr>
        <w:tc>
          <w:tcPr>
            <w:tcW w:type="dxa" w:w="74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3</w:t>
            </w:r>
          </w:p>
        </w:tc>
        <w:tc>
          <w:tcPr>
            <w:tcW w:type="dxa" w:w="4306"/>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Is the dataset size within SVM's practical training limits?</w:t>
            </w:r>
          </w:p>
        </w:tc>
        <w:tc>
          <w:tcPr>
            <w:tcW w:type="dxa" w:w="4306"/>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Kernelized SVM does not scale past ~100k rows</w:t>
            </w:r>
          </w:p>
        </w:tc>
      </w:tr>
      <w:tr>
        <w:tc>
          <w:tcPr>
            <w:tcW w:type="dxa" w:w="749"/>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4</w:t>
            </w:r>
          </w:p>
        </w:tc>
        <w:tc>
          <w:tcPr>
            <w:tcW w:type="dxa" w:w="4306"/>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Started with a linear kernel before reaching for RBF?</w:t>
            </w:r>
          </w:p>
        </w:tc>
        <w:tc>
          <w:tcPr>
            <w:tcW w:type="dxa" w:w="4306"/>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Avoids unnecessary complexity and overfitting risk</w:t>
            </w:r>
          </w:p>
        </w:tc>
      </w:tr>
      <w:tr>
        <w:tc>
          <w:tcPr>
            <w:tcW w:type="dxa" w:w="74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5</w:t>
            </w:r>
          </w:p>
        </w:tc>
        <w:tc>
          <w:tcPr>
            <w:tcW w:type="dxa" w:w="4306"/>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Is a cold-start fallback in place for new users/items?</w:t>
            </w:r>
          </w:p>
        </w:tc>
        <w:tc>
          <w:tcPr>
            <w:tcW w:type="dxa" w:w="4306"/>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Similarity-based recommenders have no signal for new entities</w:t>
            </w:r>
          </w:p>
        </w:tc>
      </w:tr>
      <w:tr>
        <w:tc>
          <w:tcPr>
            <w:tcW w:type="dxa" w:w="749"/>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6</w:t>
            </w:r>
          </w:p>
        </w:tc>
        <w:tc>
          <w:tcPr>
            <w:tcW w:type="dxa" w:w="4306"/>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Chosen similarity metric matches the business objective?</w:t>
            </w:r>
          </w:p>
        </w:tc>
        <w:tc>
          <w:tcPr>
            <w:tcW w:type="dxa" w:w="4306"/>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Dot product vs. cosine give materially different rankings</w:t>
            </w:r>
          </w:p>
        </w:tc>
      </w:tr>
    </w:tbl>
    <w:sectPr>
      <w:headerReference w:type="default" r:id="rId7"/>
      <w:footerReference w:type="default" r:id="rId8"/>
      <w:pgSz w:w="12240" w:h="15840" w:orient="portrait"/>
      <w:pgMar w:top="72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ML Course Notes  |  ML-12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2026-07-03T03:54:42.935Z</dcterms:created>
  <dcterms:modified xsi:type="dcterms:W3CDTF">2026-07-03T03:54:42.947Z</dcterms:modified>
</cp:coreProperties>
</file>

<file path=docProps/custom.xml><?xml version="1.0" encoding="utf-8"?>
<Properties xmlns="http://schemas.openxmlformats.org/officeDocument/2006/custom-properties" xmlns:vt="http://schemas.openxmlformats.org/officeDocument/2006/docPropsVTypes"/>
</file>