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0"/>
      </w:tblGrid>
      <w:tr>
        <w:tc>
          <w:tcPr>
            <w:tcW w:type="dxa" w:w="10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ML-24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FastAPI Part 2 — Anatomy of HTTP Requests &amp; Responses</w:t>
            </w:r>
          </w:p>
          <w:p>
            <w:r>
              <w:rPr>
                <w:rFonts w:ascii="Arial" w:cs="Arial" w:eastAsia="Arial" w:hAnsi="Arial"/>
                <w:color w:val="CBD5E1"/>
                <w:sz w:val="21"/>
                <w:szCs w:val="21"/>
              </w:rPr>
              <w:t xml:space="preserve">22 July 2026</w:t>
            </w:r>
          </w:p>
        </w:tc>
      </w:tr>
    </w:tbl>
    <w:p>
      <w:pPr>
        <w:spacing w:after="150"/>
      </w:pP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2"/>
        <w:gridCol w:w="2612"/>
        <w:gridCol w:w="2612"/>
        <w:gridCol w:w="2612"/>
      </w:tblGrid>
      <w:tr>
        <w:tc>
          <w:tcPr>
            <w:tcW w:type="dxa" w:w="26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Request Anatomy</w:t>
            </w:r>
          </w:p>
        </w:tc>
        <w:tc>
          <w:tcPr>
            <w:tcW w:type="dxa" w:w="26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6"/>
                <w:szCs w:val="16"/>
              </w:rPr>
              <w:t xml:space="preserve">Response Anatomy</w:t>
            </w:r>
          </w:p>
        </w:tc>
        <w:tc>
          <w:tcPr>
            <w:tcW w:type="dxa" w:w="26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6"/>
                <w:szCs w:val="16"/>
              </w:rPr>
              <w:t xml:space="preserve">curl</w:t>
            </w:r>
          </w:p>
        </w:tc>
        <w:tc>
          <w:tcPr>
            <w:tcW w:type="dxa" w:w="26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Validation &amp; Pydantic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A3560"/>
          <w:sz w:val="25"/>
          <w:szCs w:val="25"/>
        </w:rPr>
        <w:t xml:space="preserve">Agenda</w:t>
      </w: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750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F3C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9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Day-1 Recap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F3C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9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HTTP Request Anatomy — Method, Path &amp; Parameters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F3C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9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HTTP Request Anatomy — Headers &amp; Body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F3C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type="dxa" w:w="9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HTTP Response Anatomy — Status Codes, Headers &amp; Body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F3C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5</w:t>
            </w:r>
          </w:p>
        </w:tc>
        <w:tc>
          <w:tcPr>
            <w:tcW w:type="dxa" w:w="9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curl — Building Requests From the Command Line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F3C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6</w:t>
            </w:r>
          </w:p>
        </w:tc>
        <w:tc>
          <w:tcPr>
            <w:tcW w:type="dxa" w:w="9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FastAPI Validation — Type Conversion, 422s &amp; Pydantic</w:t>
            </w:r>
          </w:p>
        </w:tc>
      </w:tr>
    </w:tbl>
    <w:p>
      <w:pPr>
        <w:pBdr>
          <w:bottom w:val="single" w:color="1A3560" w:sz="6"/>
        </w:pBdr>
        <w:spacing w:after="150" w:before="300"/>
      </w:pPr>
      <w:r>
        <w:rPr>
          <w:rFonts w:ascii="Arial" w:cs="Arial" w:eastAsia="Arial" w:hAnsi="Arial"/>
          <w:b/>
          <w:bCs/>
          <w:color w:val="1A3560"/>
          <w:sz w:val="25"/>
          <w:szCs w:val="25"/>
        </w:rPr>
        <w:t xml:space="preserve">1. Day-1 Recap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Concepts covered in ML-22, carried forward as the foundation for today:</w:t>
      </w:r>
    </w:p>
    <w:p>
      <w:pPr>
        <w:spacing w:after="60"/>
        <w:ind w:left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•  Client, Server, Request, Response — the core loop</w:t>
      </w:r>
    </w:p>
    <w:p>
      <w:pPr>
        <w:spacing w:after="60"/>
        <w:ind w:left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•  API — the contract between client and server</w:t>
      </w:r>
    </w:p>
    <w:p>
      <w:pPr>
        <w:spacing w:after="60"/>
        <w:ind w:left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•  IP address, port, socket — street address / door number / phone line</w:t>
      </w:r>
    </w:p>
    <w:p>
      <w:pPr>
        <w:spacing w:after="60"/>
        <w:ind w:left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•  127.0.0.1 / localhost (same machine) vs. 0.0.0.0 (all interfaces)</w:t>
      </w:r>
    </w:p>
    <w:p>
      <w:pPr>
        <w:spacing w:after="60"/>
        <w:ind w:left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•  Uvicorn (the doorman — socket, binding, listening) vs. FastAPI (the waiter — routing, handling)</w:t>
      </w:r>
    </w:p>
    <w:p>
      <w:pPr>
        <w:spacing w:after="60"/>
        <w:ind w:left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•  First API practical — tested by hitting the endpoints directly with an HTTP request from Chrome</w:t>
      </w: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0"/>
      </w:tblGrid>
      <w:tr>
        <w:tc>
          <w:tcPr>
            <w:tcW w:type="dxa" w:w="10450"/>
            <w:tcBorders>
              <w:top w:val="single" w:color="2563EB" w:sz="4"/>
              <w:left w:val="single" w:color="2563EB" w:sz="24"/>
              <w:bottom w:val="single" w:color="2563EB" w:sz="4"/>
              <w:right w:val="single" w:color="2563EB" w:sz="4"/>
            </w:tcBorders>
            <w:shd w:fill="DBEAFE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▸ Today's focus: what's actually inside an HTTP request and response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Day 1 established who talks to whom and how they connect. Day 2 opens up the request and response themselves — no matter which tool sends them (browser, curl, Python's requests library, Postman, gRPC), every HTTP request is built from the same fixed set of components.</w:t>
            </w:r>
          </w:p>
        </w:tc>
      </w:tr>
    </w:tbl>
    <w:p>
      <w:pPr>
        <w:pBdr>
          <w:bottom w:val="single" w:color="1A3560" w:sz="6"/>
        </w:pBdr>
        <w:spacing w:after="150" w:before="300"/>
      </w:pPr>
      <w:r>
        <w:rPr>
          <w:rFonts w:ascii="Arial" w:cs="Arial" w:eastAsia="Arial" w:hAnsi="Arial"/>
          <w:b/>
          <w:bCs/>
          <w:color w:val="1A3560"/>
          <w:sz w:val="25"/>
          <w:szCs w:val="25"/>
        </w:rPr>
        <w:t xml:space="preserve">2. HTTP Request Anatomy — Method, Path &amp; Parameters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560"/>
          <w:sz w:val="22"/>
          <w:szCs w:val="22"/>
        </w:rPr>
        <w:t xml:space="preserve">1) Method — what kind of action it is</w:t>
      </w: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5"/>
        <w:gridCol w:w="5225"/>
      </w:tblGrid>
      <w:tr>
        <w:trPr>
          <w:tblHeader/>
        </w:trPr>
        <w:tc>
          <w:tcPr>
            <w:tcW w:type="dxa" w:w="5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F3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F3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5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5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Give me data</w:t>
            </w:r>
          </w:p>
        </w:tc>
      </w:tr>
      <w:tr>
        <w:tc>
          <w:tcPr>
            <w:tcW w:type="dxa" w:w="5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5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Here is some data — do something with it and get back the response</w:t>
            </w:r>
          </w:p>
        </w:tc>
      </w:tr>
      <w:tr>
        <w:tc>
          <w:tcPr>
            <w:tcW w:type="dxa" w:w="5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PUT</w:t>
            </w:r>
          </w:p>
        </w:tc>
        <w:tc>
          <w:tcPr>
            <w:tcW w:type="dxa" w:w="5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Replace this resource with this data</w:t>
            </w:r>
          </w:p>
        </w:tc>
      </w:tr>
      <w:tr>
        <w:tc>
          <w:tcPr>
            <w:tcW w:type="dxa" w:w="5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</w:t>
            </w:r>
          </w:p>
        </w:tc>
        <w:tc>
          <w:tcPr>
            <w:tcW w:type="dxa" w:w="5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 this resource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A3560"/>
          <w:sz w:val="22"/>
          <w:szCs w:val="22"/>
        </w:rPr>
        <w:t xml:space="preserve">2) Path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part of the URL identifying WHAT you're asking about, e.g. “/”, “/say_hello”, “/say_hello/{name}”, “/predict”.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560"/>
          <w:sz w:val="22"/>
          <w:szCs w:val="22"/>
        </w:rPr>
        <w:t xml:space="preserve">3) Path parameter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Pieces of the path itself that are variables, e.g. /items/2.</w:t>
      </w: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0"/>
      </w:tblGrid>
      <w:tr>
        <w:tc>
          <w:tcPr>
            <w:tcW w:type="dxa" w:w="10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def add(a):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 do_something(a)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# 'a' here plays the same role a path parameter plays in a URL —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# a named slot that the actual value (e.g. the '2' in /items/2) gets substituted into.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A3560"/>
          <w:sz w:val="22"/>
          <w:szCs w:val="22"/>
        </w:rPr>
        <w:t xml:space="preserve">4) Query parameters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Extra key=value pairs appended to the URL after a “?”, separated by “&amp;” — e.g. /search?q=shoes&amp;limit=5.</w:t>
      </w: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0"/>
      </w:tblGrid>
      <w:tr>
        <w:tc>
          <w:tcPr>
            <w:tcW w:type="dxa" w:w="10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https://www.google.com/search?q=what+is+ai&amp;rlz=1C1CHBF_enIN1137IN1137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&amp;oq=what+is+ai&amp;gs_lcrp=EgZjaHJvbWUq...  (truncated — a real search URL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carries a long chain of query parameters, all following the same key=value&amp;key=value pattern)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Here q=what+is+ai and oq=what+is+ai are both query parameters — the actual path is just “/search”.</w:t>
      </w:r>
    </w:p>
    <w:p>
      <w:r>
        <w:br w:type="page"/>
      </w:r>
    </w:p>
    <w:p>
      <w:pPr>
        <w:pBdr>
          <w:bottom w:val="single" w:color="1A3560" w:sz="6"/>
        </w:pBdr>
        <w:spacing w:after="150" w:before="300"/>
      </w:pPr>
      <w:r>
        <w:rPr>
          <w:rFonts w:ascii="Arial" w:cs="Arial" w:eastAsia="Arial" w:hAnsi="Arial"/>
          <w:b/>
          <w:bCs/>
          <w:color w:val="1A3560"/>
          <w:sz w:val="25"/>
          <w:szCs w:val="25"/>
        </w:rPr>
        <w:t xml:space="preserve">3. HTTP Request Anatomy — Headers &amp; Body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560"/>
          <w:sz w:val="22"/>
          <w:szCs w:val="22"/>
        </w:rPr>
        <w:t xml:space="preserve">5) Headers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Metadata about the request, sent separately from the main content.</w:t>
      </w: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0"/>
      </w:tblGrid>
      <w:tr>
        <w:tc>
          <w:tcPr>
            <w:tcW w:type="dxa" w:w="10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Content-Type: application/json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This tells the server: “the body I am sending you is JSON.”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560"/>
          <w:sz w:val="22"/>
          <w:szCs w:val="22"/>
        </w:rPr>
        <w:t xml:space="preserve">6) Body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actual payload/data being sent — used with POST/PUT.</w:t>
      </w: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0"/>
      </w:tblGrid>
      <w:tr>
        <w:tc>
          <w:tcPr>
            <w:tcW w:type="dxa" w:w="10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Data → ML model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PUT body: { "sepal_length": 3.4, "sepal_width": 4.5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→ Server (API) → Prediction(sepal_length, sepal_width)</w:t>
            </w:r>
          </w:p>
        </w:tc>
      </w:tr>
    </w:tbl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0"/>
      </w:tblGrid>
      <w:tr>
        <w:tc>
          <w:tcPr>
            <w:tcW w:type="dxa" w:w="10450"/>
            <w:tcBorders>
              <w:top w:val="single" w:color="0F766E" w:sz="4"/>
              <w:left w:val="single" w:color="0F766E" w:sz="24"/>
              <w:bottom w:val="single" w:color="0F766E" w:sz="4"/>
              <w:right w:val="single" w:color="0F766E" w:sz="4"/>
            </w:tcBorders>
            <w:shd w:fill="CCFBF1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▸ Method + Path/Params vs. Headers + Body — two different jobs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Method, Path, and Path/Query parameters together answer “what do you want, and where.” Headers and Body answer “here's the actual data, and here's a description of its shape.” A GET request typically only needs the first group; a PUT/POST request that's actually sending an ML model input, like the sepal measurements above, needs the Body to carry the payload and a Content-Type header to describe it.</w:t>
            </w:r>
          </w:p>
        </w:tc>
      </w:tr>
    </w:tbl>
    <w:p>
      <w:pPr>
        <w:pBdr>
          <w:bottom w:val="single" w:color="1A3560" w:sz="6"/>
        </w:pBdr>
        <w:spacing w:after="150" w:before="300"/>
      </w:pPr>
      <w:r>
        <w:rPr>
          <w:rFonts w:ascii="Arial" w:cs="Arial" w:eastAsia="Arial" w:hAnsi="Arial"/>
          <w:b/>
          <w:bCs/>
          <w:color w:val="1A3560"/>
          <w:sz w:val="25"/>
          <w:szCs w:val="25"/>
        </w:rPr>
        <w:t xml:space="preserve">4. HTTP Response Anatomy — Status Codes, Headers &amp; Body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560"/>
          <w:sz w:val="22"/>
          <w:szCs w:val="22"/>
        </w:rPr>
        <w:t xml:space="preserve">1) Status Code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 3-digit number summarizing what happened.</w:t>
      </w: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5950"/>
      </w:tblGrid>
      <w:tr>
        <w:trPr>
          <w:tblHeader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F3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F3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F3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2xx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Success</w:t>
            </w:r>
          </w:p>
        </w:tc>
        <w:tc>
          <w:tcPr>
            <w:tcW w:type="dxa" w:w="5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200 OK, 201 Created</w:t>
            </w:r>
          </w:p>
        </w:tc>
      </w:tr>
      <w:t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4xx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 made a mistake (client)</w:t>
            </w:r>
          </w:p>
        </w:tc>
        <w:tc>
          <w:tcPr>
            <w:tcW w:type="dxa" w:w="5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400 Bad Request, 404 Not Found, 422 Unprocessable Entity (data validation fails)</w:t>
            </w:r>
          </w:p>
        </w:tc>
      </w:tr>
      <w:t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5xx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server made a mistake</w:t>
            </w:r>
          </w:p>
        </w:tc>
        <w:tc>
          <w:tcPr>
            <w:tcW w:type="dxa" w:w="5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500 Internal Server Error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A3560"/>
          <w:sz w:val="22"/>
          <w:szCs w:val="22"/>
        </w:rPr>
        <w:t xml:space="preserve">2) Headers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Metadata — the server telling the client what kind of data it's sending:</w:t>
      </w: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0"/>
      </w:tblGrid>
      <w:tr>
        <w:tc>
          <w:tcPr>
            <w:tcW w:type="dxa" w:w="10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Content-Type: application/json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A3560"/>
          <w:sz w:val="22"/>
          <w:szCs w:val="22"/>
        </w:rPr>
        <w:t xml:space="preserve">3) Body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actual data/result being returned.</w:t>
      </w: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0"/>
      </w:tblGrid>
      <w:tr>
        <w:tc>
          <w:tcPr>
            <w:tcW w:type="dxa" w:w="10450"/>
            <w:tcBorders>
              <w:top w:val="single" w:color="6D28D9" w:sz="4"/>
              <w:left w:val="single" w:color="6D28D9" w:sz="24"/>
              <w:bottom w:val="single" w:color="6D28D9" w:sz="4"/>
              <w:right w:val="single" w:color="6D28D9" w:sz="4"/>
            </w:tcBorders>
            <w:shd w:fill="EDE9FE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▸ Request and Response are mirror images of each other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Both a request and a response carry Headers describing the data and a Body carrying the actual data — the only structural difference is that a request also needs a Method and a Path to say what it wants, while a response leads with a Status Code to say what happened.</w:t>
            </w:r>
          </w:p>
        </w:tc>
      </w:tr>
    </w:tbl>
    <w:p>
      <w:r>
        <w:br w:type="page"/>
      </w:r>
    </w:p>
    <w:p>
      <w:pPr>
        <w:pBdr>
          <w:bottom w:val="single" w:color="1A3560" w:sz="6"/>
        </w:pBdr>
        <w:spacing w:after="150" w:before="300"/>
      </w:pPr>
      <w:r>
        <w:rPr>
          <w:rFonts w:ascii="Arial" w:cs="Arial" w:eastAsia="Arial" w:hAnsi="Arial"/>
          <w:b/>
          <w:bCs/>
          <w:color w:val="1A3560"/>
          <w:sz w:val="25"/>
          <w:szCs w:val="25"/>
        </w:rPr>
        <w:t xml:space="preserve">5. curl — Building Requests From the Command Line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curl is a command-line tool for sending HTTP requests directly — useful for testing an API without a browser or a script.</w:t>
      </w: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0"/>
      </w:tblGrid>
      <w:tr>
        <w:tc>
          <w:tcPr>
            <w:tcW w:type="dxa" w:w="10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curl -X GET/POST "PATH?key=value" -H "Content-Type: ..." -d "x y"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-X &lt;method&gt;   — optional; defaults to GET if omitted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"PATH?..."    — host, port, path + query parameters, all in one URL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-H            — header (e.g. "Content-Type: application/json")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-d            — the body</w:t>
            </w:r>
          </w:p>
        </w:tc>
      </w:tr>
    </w:tbl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0"/>
      </w:tblGrid>
      <w:tr>
        <w:tc>
          <w:tcPr>
            <w:tcW w:type="dxa" w:w="10450"/>
            <w:tcBorders>
              <w:top w:val="single" w:color="C2410C" w:sz="4"/>
              <w:left w:val="single" w:color="C2410C" w:sz="24"/>
              <w:bottom w:val="single" w:color="C2410C" w:sz="4"/>
              <w:right w:val="single" w:color="C2410C" w:sz="4"/>
            </w:tcBorders>
            <w:shd w:fill="FFEDD5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⚠ -d silently changes the method to POST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curl -X GET -d "a b" ... actually gets sent as a POST, not a GET — supplying -d (a body) switches curl's effective method to POST even when -X GET was explicitly written. This is a common source of confusion when a test “works” or “fails” unexpectedly: always check what method curl actually sent (curl's -v/--verbose flag shows the real outgoing request line) rather than trusting the -X flag alone once -d is in the command.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request still ultimately reaches the same place regardless of the tool used to build it:</w:t>
      </w: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0"/>
      </w:tblGrid>
      <w:tr>
        <w:tc>
          <w:tcPr>
            <w:tcW w:type="dxa" w:w="10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client tool (curl / browser / requests)  →  Uvicorn  →  FastAPI  →  endpoint (path)</w:t>
            </w:r>
          </w:p>
        </w:tc>
      </w:tr>
    </w:tbl>
    <w:p>
      <w:pPr>
        <w:pBdr>
          <w:bottom w:val="single" w:color="1A3560" w:sz="6"/>
        </w:pBdr>
        <w:spacing w:after="150" w:before="300"/>
      </w:pPr>
      <w:r>
        <w:rPr>
          <w:rFonts w:ascii="Arial" w:cs="Arial" w:eastAsia="Arial" w:hAnsi="Arial"/>
          <w:b/>
          <w:bCs/>
          <w:color w:val="1A3560"/>
          <w:sz w:val="25"/>
          <w:szCs w:val="25"/>
        </w:rPr>
        <w:t xml:space="preserve">6. FastAPI Validation — Type Conversion, 422s &amp; Pydantic</w:t>
      </w: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0"/>
      </w:tblGrid>
      <w:tr>
        <w:tc>
          <w:tcPr>
            <w:tcW w:type="dxa" w:w="10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@app.get("/itemsv2/{item_id}")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def read_root(item_id: int):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 ...</w:t>
            </w:r>
          </w:p>
        </w:tc>
      </w:tr>
    </w:tbl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5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F3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F3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Advantage 1</w:t>
            </w:r>
          </w:p>
        </w:tc>
        <w:tc>
          <w:tcPr>
            <w:tcW w:type="dxa" w:w="8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FastAPI converts the URL text into an actual Python int automatically — item_id arrives as int, not str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Advantage 2</w:t>
            </w:r>
          </w:p>
        </w:tc>
        <w:tc>
          <w:tcPr>
            <w:tcW w:type="dxa" w:w="8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the client sends something that can't be parsed as an int (e.g. /itemsv2/abc), FastAPI automatically responds with a 422 error — no manual validation code needed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This is the same 422 Unprocessable Entity from the status code table above — FastAPI raises it for you the moment a declared type doesn't match what arrived, before your function body even runs.</w:t>
      </w: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0"/>
      </w:tblGrid>
      <w:tr>
        <w:tc>
          <w:tcPr>
            <w:tcW w:type="dxa" w:w="10450"/>
            <w:tcBorders>
              <w:top w:val="single" w:color="15803D" w:sz="4"/>
              <w:left w:val="single" w:color="15803D" w:sz="24"/>
              <w:bottom w:val="single" w:color="15803D" w:sz="4"/>
              <w:right w:val="single" w:color="15803D" w:sz="4"/>
            </w:tcBorders>
            <w:shd w:fill="DCFCE7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✓ Pydantic is what's actually doing the validation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FastAPI's type-checking and validation — for path parameters, query parameters, and especially request bodies — is built on top of Pydantic. Declaring a type hint like item_id: int, or a full Pydantic model for a POST/PUT body, is what lets FastAPI validate incoming data automatically and generate the matching 422 error details when it doesn't fit, rather than that logic being hand-written in every endpoint.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same validation idea shows up outside FastAPI too: when a developer's API needs to insert data into a database, or when a platform like YouTube accepts an upload, the API layer validates the incoming payload (e.g. checking file type — .zip vs. .mp3 — or field types and ranges) before anything touches the underlying system.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560"/>
          <w:sz w:val="22"/>
          <w:szCs w:val="22"/>
        </w:rPr>
        <w:t xml:space="preserve">One API, multiple client types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 Java client and a React (JavaScript) client can both call the exact same API over HTTP — each sends a request to the same path and gets back the same response shape. Neither client needs to know what language or framework is running on the server side; that's the whole point of the API being the agreed-upon contract from ML-22.</w:t>
      </w:r>
    </w:p>
    <w:p>
      <w:r>
        <w:br w:type="page"/>
      </w: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0"/>
      </w:tblGrid>
      <w:tr>
        <w:tc>
          <w:tcPr>
            <w:tcW w:type="dxa" w:w="10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color="auto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SENIOR ENGINEER NOTES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BD5E1"/>
                <w:sz w:val="21"/>
                <w:szCs w:val="21"/>
              </w:rPr>
              <w:t xml:space="preserve">Production Gotchas — HTTP Requests, Responses &amp; FastAPI Validation</w:t>
            </w:r>
          </w:p>
          <w:p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ML-24</w:t>
            </w:r>
          </w:p>
        </w:tc>
      </w:tr>
    </w:tbl>
    <w:p>
      <w:pPr>
        <w:spacing w:after="150"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560"/>
          <w:sz w:val="22"/>
          <w:szCs w:val="22"/>
        </w:rPr>
        <w:t xml:space="preserve">Production Wisdom</w:t>
      </w: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0"/>
      </w:tblGrid>
      <w:tr>
        <w:tc>
          <w:tcPr>
            <w:tcW w:type="dxa" w:w="1045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● HIGH SEVERITY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Using GET for anything that changes data breaks assumptions the rest of the internet relies 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 is assumed by browsers, CDNs, proxies, and crawlers to be safe and idempotent — meaning it's fine to cache, prefetch, or replay without side effects. Wiring a GET endpoint to actually delete or modify something (e.g. /delete_user/5 as a GET) means a browser prefetch, a search-engine crawler following a link, or a proxy replaying a cached response can trigger the action without any user intent behind it. State-changing operations belong on POST/PUT/DELETE specifically because the rest of the HTTP ecosystem is built around that contract being honored.</w:t>
            </w:r>
          </w:p>
        </w:tc>
      </w:tr>
    </w:tbl>
    <w:p>
      <w:pPr>
        <w:spacing w:after="80"/>
      </w:pP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0"/>
      </w:tblGrid>
      <w:tr>
        <w:tc>
          <w:tcPr>
            <w:tcW w:type="dxa" w:w="1045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● HIGH SEVERITY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curl's -d-forces-POST behavior is a common source of 'my test passed/failed for no reason' confusion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This session's own notes captured it directly: curl -X GET -d "a b" actually sends as POST. Anyone testing an API by copy-pasting curl commands and tweaking -X without checking -v output can end up testing a completely different code path than they think they're testing — a GET-only endpoint that appears to reject the request isn't necessarily broken, the test itself may never have sent a GET at all. Always verify the actual outgoing method with -v when debugging a curl-based test that isn't behaving as expected.</w:t>
            </w:r>
          </w:p>
        </w:tc>
      </w:tr>
    </w:tbl>
    <w:p>
      <w:pPr>
        <w:spacing w:after="80"/>
      </w:pP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0"/>
      </w:tblGrid>
      <w:tr>
        <w:tc>
          <w:tcPr>
            <w:tcW w:type="dxa" w:w="1045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● HIGH SEVERITY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Query parameters are visible in browser history, server access logs, and every proxy in between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Anything appended after '?' in a URL gets logged, cached, and stored in browser history in plaintext by default — including by infrastructure the API owner doesn't control (corporate proxies, CDN logs, browser sync). Passwords, auth tokens, or PII should never travel as query parameters; that data belongs in the request body (for POST/PUT) or in a header (like Authorization), neither of which get logged and cached the same way query strings do by default.</w:t>
            </w:r>
          </w:p>
        </w:tc>
      </w:tr>
    </w:tbl>
    <w:p>
      <w:pPr>
        <w:spacing w:after="80"/>
      </w:pP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0"/>
      </w:tblGrid>
      <w:tr>
        <w:tc>
          <w:tcPr>
            <w:tcW w:type="dxa" w:w="1045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FFEDD5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● MODERATE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A 422 with no detail just relocates the debugging problem to the client developer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FastAPI's automatic 422 on a type mismatch is genuinely useful, but the value of that 422 depends entirely on whether the response body actually explains which field failed and why. A generic 422 with an empty or unhelpful body forces whoever's calling the API (possibly a completely different team, on the Java or React side mentioned in this session) to guess what was wrong — check that validation error responses in a real deployment surface field-level detail, not just the status code.</w:t>
            </w:r>
          </w:p>
        </w:tc>
      </w:tr>
    </w:tbl>
    <w:p>
      <w:pPr>
        <w:spacing w:after="80"/>
      </w:pP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0"/>
      </w:tblGrid>
      <w:tr>
        <w:tc>
          <w:tcPr>
            <w:tcW w:type="dxa" w:w="1045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FFEDD5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● MODERATE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Don't assume every client sets Content-Type correctly — different stacks default differently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 Java HTTP client and a React fetch() call can have different default behaviors around setting (or omitting) Content-Type, and a mismatched or missing header on a JSON body is a common source of integration bugs between teams building clients in different languages against the same API. Validate and, where appropriate, require the header server-side rather than assuming every calling client remembered to set it correctly.</w:t>
            </w:r>
          </w:p>
        </w:tc>
      </w:tr>
    </w:tbl>
    <w:p>
      <w:pPr>
        <w:spacing w:after="120" w:before="250"/>
      </w:pPr>
      <w:r>
        <w:rPr>
          <w:rFonts w:ascii="Arial" w:cs="Arial" w:eastAsia="Arial" w:hAnsi="Arial"/>
          <w:b/>
          <w:bCs/>
          <w:color w:val="1A3560"/>
          <w:sz w:val="25"/>
          <w:szCs w:val="25"/>
        </w:rPr>
        <w:t xml:space="preserve">Quick-Glance Checklist</w:t>
      </w: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5350"/>
      </w:tblGrid>
      <w:tr>
        <w:trPr>
          <w:tblHeader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F3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F3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F3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Are state-changing operations on POST/PUT/DELETE, never GET?</w:t>
            </w:r>
          </w:p>
        </w:tc>
        <w:tc>
          <w:tcPr>
            <w:tcW w:type="dxa" w:w="5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is assumed cacheable/replayable by browsers, proxies, and crawlers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debugging with curl, is the actual outgoing method confirmed with -v, not assumed from -X?</w:t>
            </w:r>
          </w:p>
        </w:tc>
        <w:tc>
          <w:tcPr>
            <w:tcW w:type="dxa" w:w="5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-d silently switches the effective method to POST even when -X GET is set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 any sensitive data (tokens, passwords, PII) kept out of query parameters entirely?</w:t>
            </w:r>
          </w:p>
        </w:tc>
        <w:tc>
          <w:tcPr>
            <w:tcW w:type="dxa" w:w="5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Query strings get logged and cached by infrastructure outside the API owner's control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 validation error responses (422s) include field-level detail, not just the status code?</w:t>
            </w:r>
          </w:p>
        </w:tc>
        <w:tc>
          <w:tcPr>
            <w:tcW w:type="dxa" w:w="5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bare 422 just relocates the debugging burden onto whoever's calling the API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 Content-Type validated/required server-side rather than assumed to be set correctly by every client?</w:t>
            </w:r>
          </w:p>
        </w:tc>
        <w:tc>
          <w:tcPr>
            <w:tcW w:type="dxa" w:w="5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Different client stacks (Java, React, etc.) default header behavior differently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2026-08-17T05:31:58.361Z</dcterms:created>
  <dcterms:modified xsi:type="dcterms:W3CDTF">2026-08-17T05:31:58.380Z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