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none" w:color="FFFFFF" w:sz="0"/>
              <w:left w:val="none" w:color="FFFFFF" w:sz="0"/>
              <w:bottom w:val="none" w:color="FFFFFF" w:sz="0"/>
              <w:right w:val="none" w:color="FFFFFF" w:sz="0"/>
            </w:tcBorders>
            <w:shd w:fill="0D1F3C" w:color="auto" w:val="clear"/>
            <w:tcMar>
              <w:top w:type="dxa" w:w="200"/>
              <w:left w:type="dxa" w:w="300"/>
              <w:bottom w:type="dxa" w:w="200"/>
              <w:right w:type="dxa" w:w="300"/>
            </w:tcMar>
          </w:tcPr>
          <w:p>
            <w:pPr>
              <w:spacing w:after="60"/>
            </w:pPr>
            <w:r>
              <w:rPr>
                <w:rFonts w:ascii="Arial" w:cs="Arial" w:eastAsia="Arial" w:hAnsi="Arial"/>
                <w:b/>
                <w:bCs/>
                <w:color w:val="FFFFFF"/>
                <w:sz w:val="44"/>
                <w:szCs w:val="44"/>
              </w:rPr>
              <w:t xml:space="preserve">ML-20</w:t>
            </w:r>
          </w:p>
          <w:p>
            <w:pPr>
              <w:spacing w:after="100"/>
            </w:pPr>
            <w:r>
              <w:rPr>
                <w:rFonts w:ascii="Arial" w:cs="Arial" w:eastAsia="Arial" w:hAnsi="Arial"/>
                <w:b/>
                <w:bCs/>
                <w:color w:val="FFFFFF"/>
                <w:sz w:val="30"/>
                <w:szCs w:val="30"/>
              </w:rPr>
              <w:t xml:space="preserve">Gradient Boosting, XGBoost &amp; Docker Intro</w:t>
            </w:r>
          </w:p>
          <w:p>
            <w:r>
              <w:rPr>
                <w:rFonts w:ascii="Arial" w:cs="Arial" w:eastAsia="Arial" w:hAnsi="Arial"/>
                <w:color w:val="CBD5E1"/>
                <w:sz w:val="21"/>
                <w:szCs w:val="21"/>
              </w:rPr>
              <w:t xml:space="preserve">18 July 2026</w:t>
            </w:r>
          </w:p>
        </w:tc>
      </w:tr>
    </w:tbl>
    <w:p>
      <w:pPr>
        <w:spacing w:after="15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2612"/>
        <w:gridCol w:w="2612"/>
        <w:gridCol w:w="2612"/>
        <w:gridCol w:w="2612"/>
      </w:tblGrid>
      <w:tr>
        <w:tc>
          <w:tcPr>
            <w:tcW w:type="dxa" w:w="2612"/>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2563EB"/>
                <w:sz w:val="16"/>
                <w:szCs w:val="16"/>
              </w:rPr>
              <w:t xml:space="preserve">Gradient Boosting</w:t>
            </w:r>
          </w:p>
        </w:tc>
        <w:tc>
          <w:tcPr>
            <w:tcW w:type="dxa" w:w="2612"/>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6D28D9"/>
                <w:sz w:val="16"/>
                <w:szCs w:val="16"/>
              </w:rPr>
              <w:t xml:space="preserve">XGBoost</w:t>
            </w:r>
          </w:p>
        </w:tc>
        <w:tc>
          <w:tcPr>
            <w:tcW w:type="dxa" w:w="2612"/>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0F766E"/>
                <w:sz w:val="16"/>
                <w:szCs w:val="16"/>
              </w:rPr>
              <w:t xml:space="preserve">GB/XGB Practicals</w:t>
            </w:r>
          </w:p>
        </w:tc>
        <w:tc>
          <w:tcPr>
            <w:tcW w:type="dxa" w:w="2612"/>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C2410C"/>
                <w:sz w:val="16"/>
                <w:szCs w:val="16"/>
              </w:rPr>
              <w:t xml:space="preserve">Docker Basics</w:t>
            </w:r>
          </w:p>
        </w:tc>
      </w:tr>
    </w:tbl>
    <w:p>
      <w:pPr>
        <w:spacing w:after="100" w:before="200"/>
      </w:pPr>
      <w:r>
        <w:rPr>
          <w:rFonts w:ascii="Arial" w:cs="Arial" w:eastAsia="Arial" w:hAnsi="Arial"/>
          <w:b/>
          <w:bCs/>
          <w:color w:val="1A3560"/>
          <w:sz w:val="25"/>
          <w:szCs w:val="25"/>
        </w:rPr>
        <w:t xml:space="preserve">Agenda</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700"/>
        <w:gridCol w:w="9750"/>
      </w:tblGrid>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1</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Bagging vs Boosting Revisited — No Bootstrap Data in GB/XGBoost</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2</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Gradient Boosting for Regression — Sequential Stumps &amp; the Loss Function</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3</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Worked Example — Building F0, h1, h2 by Hand</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4</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XGBoost — Gradient, Hessian &amp; the Gain Formula</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5</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Practical — GB &amp; XGBoost Regressor on California Housing</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6</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Docker Introduction — Images, Containers &amp; Deployment</w:t>
            </w:r>
          </w:p>
        </w:tc>
      </w:tr>
    </w:tbl>
    <w:p>
      <w:pPr>
        <w:pBdr>
          <w:bottom w:val="single" w:color="1A3560" w:sz="6"/>
        </w:pBdr>
        <w:spacing w:after="150" w:before="300"/>
      </w:pPr>
      <w:r>
        <w:rPr>
          <w:rFonts w:ascii="Arial" w:cs="Arial" w:eastAsia="Arial" w:hAnsi="Arial"/>
          <w:b/>
          <w:bCs/>
          <w:color w:val="1A3560"/>
          <w:sz w:val="25"/>
          <w:szCs w:val="25"/>
        </w:rPr>
        <w:t xml:space="preserve">1. Bagging vs Boosting Revisited</w:t>
      </w:r>
    </w:p>
    <w:p>
      <w:pPr>
        <w:spacing w:after="120"/>
      </w:pPr>
      <w:r>
        <w:rPr>
          <w:rFonts w:ascii="Arial" w:cs="Arial" w:eastAsia="Arial" w:hAnsi="Arial"/>
          <w:color w:val="1F2937"/>
          <w:sz w:val="21"/>
          <w:szCs w:val="21"/>
        </w:rPr>
        <w:t xml:space="preserve">A key distinction from today's session: unlike Random Forest (bagging), Gradient Boosting and XGBoost do NOT use bootstrap sampling with replacement. Instead they use subsampling — a fraction of the data drawn without the bootstrap mechanism.</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Data → subsample = 0.8 → 80% of the dataset used per model</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OOB split within that: 0.8 → train, 0.2 → OOB data</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m1 —error→ m2 —error→ m3 → ... → m100   (Boosting: sequential correction)</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2563EB" w:sz="4"/>
              <w:left w:val="single" w:color="2563EB" w:sz="24"/>
              <w:bottom w:val="single" w:color="2563EB" w:sz="4"/>
              <w:right w:val="single" w:color="2563EB" w:sz="4"/>
            </w:tcBorders>
            <w:shd w:fill="DBEAFE"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Bagging vs Boosting, in one line</w:t>
            </w:r>
          </w:p>
          <w:p>
            <w:pPr>
              <w:spacing w:after="60"/>
            </w:pPr>
            <w:r>
              <w:rPr>
                <w:rFonts w:ascii="Arial" w:cs="Arial" w:eastAsia="Arial" w:hAnsi="Arial"/>
                <w:color w:val="1F2937"/>
                <w:sz w:val="21"/>
                <w:szCs w:val="21"/>
              </w:rPr>
              <w:t xml:space="preserve">Bagging (Random Forest) trains many independent trees in parallel on bootstrap resamples and averages them. Boosting (Gradient Boosting, XGBoost) trains trees sequentially, where each new tree is fit to correct the errors (residuals) of the ensemble so far — there's no bootstrap resampling involved, just a row/column subsample per boosting round.</w:t>
            </w:r>
          </w:p>
        </w:tc>
      </w:tr>
    </w:tbl>
    <w:p>
      <w:pPr>
        <w:pBdr>
          <w:bottom w:val="single" w:color="1A3560" w:sz="6"/>
        </w:pBdr>
        <w:spacing w:after="150" w:before="300"/>
      </w:pPr>
      <w:r>
        <w:rPr>
          <w:rFonts w:ascii="Arial" w:cs="Arial" w:eastAsia="Arial" w:hAnsi="Arial"/>
          <w:b/>
          <w:bCs/>
          <w:color w:val="1A3560"/>
          <w:sz w:val="25"/>
          <w:szCs w:val="25"/>
        </w:rPr>
        <w:t xml:space="preserve">2. Gradient Boosting for Regression</w:t>
      </w:r>
    </w:p>
    <w:p>
      <w:pPr>
        <w:spacing w:after="120"/>
      </w:pPr>
      <w:r>
        <w:rPr>
          <w:rFonts w:ascii="Arial" w:cs="Arial" w:eastAsia="Arial" w:hAnsi="Arial"/>
          <w:color w:val="1F2937"/>
          <w:sz w:val="21"/>
          <w:szCs w:val="21"/>
        </w:rPr>
        <w:t xml:space="preserve">Gradient Boosting builds a sequence of simple models (typically shallow trees — "stumps") where each new model is trained to predict the residual error left over by the ensemble so far, scaled by a learning rate.</w:t>
      </w:r>
    </w:p>
    <w:p>
      <w:pPr>
        <w:spacing w:after="100" w:before="200"/>
      </w:pPr>
      <w:r>
        <w:rPr>
          <w:rFonts w:ascii="Arial" w:cs="Arial" w:eastAsia="Arial" w:hAnsi="Arial"/>
          <w:b/>
          <w:bCs/>
          <w:color w:val="1A3560"/>
          <w:sz w:val="22"/>
          <w:szCs w:val="22"/>
        </w:rPr>
        <w:t xml:space="preserve">Loss Function &amp; Gradient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Loss:      ℓ = ½ (y − ŷ)²</w:t>
            </w:r>
          </w:p>
          <w:p>
            <w:pPr>
              <w:spacing w:after="0"/>
            </w:pPr>
            <w:r>
              <w:rPr>
                <w:rFonts w:ascii="Courier New" w:cs="Courier New" w:eastAsia="Courier New" w:hAnsi="Courier New"/>
                <w:color w:val="1F2937"/>
                <w:sz w:val="20"/>
                <w:szCs w:val="20"/>
              </w:rPr>
              <w:t xml:space="preserve">Gradient:  g = ∂ℓ/∂ŷ = ŷ − y</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Direction that lowers the loss:  −g = y − ŷ</w:t>
            </w:r>
          </w:p>
        </w:tc>
      </w:tr>
    </w:tbl>
    <w:p>
      <w:pPr>
        <w:spacing w:after="120"/>
      </w:pPr>
      <w:r>
        <w:rPr>
          <w:rFonts w:ascii="Arial" w:cs="Arial" w:eastAsia="Arial" w:hAnsi="Arial"/>
          <w:color w:val="1F2937"/>
          <w:sz w:val="21"/>
          <w:szCs w:val="21"/>
        </w:rPr>
        <w:t xml:space="preserve">In practice: start with an initial model F0 that predicts the mean of the target. Each subsequent stump hk is fit on the current residuals (y − F), and its predictions are added back into the running model, scaled by the learning rate (lr).</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F1(x) = F0 + lr × h1(x)</w:t>
            </w:r>
          </w:p>
          <w:p>
            <w:pPr>
              <w:spacing w:after="0"/>
            </w:pPr>
            <w:r>
              <w:rPr>
                <w:rFonts w:ascii="Courier New" w:cs="Courier New" w:eastAsia="Courier New" w:hAnsi="Courier New"/>
                <w:color w:val="1F2937"/>
                <w:sz w:val="20"/>
                <w:szCs w:val="20"/>
              </w:rPr>
              <w:t xml:space="preserve">F2(x) = F1(x) + lr × h2(x)</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F_(t+1)(x) = F0 + η · f_t(x)</w:t>
            </w:r>
          </w:p>
        </w:tc>
      </w:tr>
    </w:tbl>
    <w:p>
      <w:pPr>
        <w:pBdr>
          <w:bottom w:val="single" w:color="1A3560" w:sz="6"/>
        </w:pBdr>
        <w:spacing w:after="150" w:before="300"/>
      </w:pPr>
      <w:r>
        <w:rPr>
          <w:rFonts w:ascii="Arial" w:cs="Arial" w:eastAsia="Arial" w:hAnsi="Arial"/>
          <w:b/>
          <w:bCs/>
          <w:color w:val="1A3560"/>
          <w:sz w:val="25"/>
          <w:szCs w:val="25"/>
        </w:rPr>
        <w:t xml:space="preserve">3. Worked Example — Building F0, h1, h2 by Hand</w:t>
      </w:r>
    </w:p>
    <w:p>
      <w:pPr>
        <w:spacing w:after="120"/>
      </w:pPr>
      <w:r>
        <w:rPr>
          <w:rFonts w:ascii="Arial" w:cs="Arial" w:eastAsia="Arial" w:hAnsi="Arial"/>
          <w:color w:val="1F2937"/>
          <w:sz w:val="21"/>
          <w:szCs w:val="21"/>
        </w:rPr>
        <w:t xml:space="preserve">Toy dataset (lr = 0.1):</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2612"/>
        <w:gridCol w:w="2612"/>
        <w:gridCol w:w="2612"/>
        <w:gridCol w:w="2612"/>
      </w:tblGrid>
      <w:tr>
        <w:trPr>
          <w:tblHeader/>
        </w:trPr>
        <w:tc>
          <w:tcPr>
            <w:tcW w:type="dxa" w:w="2612"/>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ID</w:t>
            </w:r>
          </w:p>
        </w:tc>
        <w:tc>
          <w:tcPr>
            <w:tcW w:type="dxa" w:w="2612"/>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Size</w:t>
            </w:r>
          </w:p>
        </w:tc>
        <w:tc>
          <w:tcPr>
            <w:tcW w:type="dxa" w:w="2612"/>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Beds</w:t>
            </w:r>
          </w:p>
        </w:tc>
        <w:tc>
          <w:tcPr>
            <w:tcW w:type="dxa" w:w="2612"/>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Price (y)</w:t>
            </w:r>
          </w:p>
        </w:tc>
      </w:tr>
      <w:tr>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800</w:t>
            </w:r>
          </w:p>
        </w:tc>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2</w:t>
            </w:r>
          </w:p>
        </w:tc>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120</w:t>
            </w:r>
          </w:p>
        </w:tc>
      </w:tr>
      <w:tr>
        <w:tc>
          <w:tcPr>
            <w:tcW w:type="dxa" w:w="2612"/>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w:t>
            </w:r>
          </w:p>
        </w:tc>
        <w:tc>
          <w:tcPr>
            <w:tcW w:type="dxa" w:w="2612"/>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900</w:t>
            </w:r>
          </w:p>
        </w:tc>
        <w:tc>
          <w:tcPr>
            <w:tcW w:type="dxa" w:w="2612"/>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w:t>
            </w:r>
          </w:p>
        </w:tc>
        <w:tc>
          <w:tcPr>
            <w:tcW w:type="dxa" w:w="2612"/>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130</w:t>
            </w:r>
          </w:p>
        </w:tc>
      </w:tr>
      <w:tr>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w:t>
            </w:r>
          </w:p>
        </w:tc>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1000</w:t>
            </w:r>
          </w:p>
        </w:tc>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w:t>
            </w:r>
          </w:p>
        </w:tc>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150</w:t>
            </w:r>
          </w:p>
        </w:tc>
      </w:tr>
      <w:tr>
        <w:tc>
          <w:tcPr>
            <w:tcW w:type="dxa" w:w="2612"/>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4</w:t>
            </w:r>
          </w:p>
        </w:tc>
        <w:tc>
          <w:tcPr>
            <w:tcW w:type="dxa" w:w="2612"/>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1100</w:t>
            </w:r>
          </w:p>
        </w:tc>
        <w:tc>
          <w:tcPr>
            <w:tcW w:type="dxa" w:w="2612"/>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3</w:t>
            </w:r>
          </w:p>
        </w:tc>
        <w:tc>
          <w:tcPr>
            <w:tcW w:type="dxa" w:w="2612"/>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170</w:t>
            </w:r>
          </w:p>
        </w:tc>
      </w:tr>
      <w:tr>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5</w:t>
            </w:r>
          </w:p>
        </w:tc>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1200</w:t>
            </w:r>
          </w:p>
        </w:tc>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4</w:t>
            </w:r>
          </w:p>
        </w:tc>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200</w:t>
            </w:r>
          </w:p>
        </w:tc>
      </w:tr>
    </w:tbl>
    <w:p>
      <w:pPr>
        <w:spacing w:after="120"/>
      </w:pPr>
    </w:p>
    <w:p>
      <w:pPr>
        <w:spacing w:after="120"/>
      </w:pPr>
      <w:r>
        <w:rPr>
          <w:rFonts w:ascii="Arial" w:cs="Arial" w:eastAsia="Arial" w:hAnsi="Arial"/>
          <w:color w:val="1F2937"/>
          <w:sz w:val="21"/>
          <w:szCs w:val="21"/>
        </w:rPr>
        <w:t xml:space="preserve">Step 0 — initial model F0 = mean(y):</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F0 = (120 + 130 + 150 + 170 + 200) / 5 = 154</w:t>
            </w:r>
          </w:p>
        </w:tc>
      </w:tr>
    </w:tbl>
    <w:p>
      <w:pPr>
        <w:spacing w:after="120"/>
      </w:pPr>
      <w:r>
        <w:rPr>
          <w:rFonts w:ascii="Arial" w:cs="Arial" w:eastAsia="Arial" w:hAnsi="Arial"/>
          <w:color w:val="1F2937"/>
          <w:sz w:val="21"/>
          <w:szCs w:val="21"/>
        </w:rPr>
        <w:t xml:space="preserve">Residuals r1 = y − F0: −34, −24, −4, +16, +46. These residuals become the regression target for the first stump.</w:t>
      </w:r>
    </w:p>
    <w:p>
      <w:pPr>
        <w:spacing w:after="120"/>
      </w:pPr>
      <w:r>
        <w:rPr>
          <w:rFonts w:ascii="Arial" w:cs="Arial" w:eastAsia="Arial" w:hAnsi="Arial"/>
          <w:color w:val="1F2937"/>
          <w:sz w:val="21"/>
          <w:szCs w:val="21"/>
        </w:rPr>
        <w:t xml:space="preserve">Candidate splits on Size are evaluated by SSE(left) + SSE(right) using the mean residual on each side; the lowest total SSE wins. Size &lt; 1050 was chosen (total SSE = 916.66), giving stump h1 with leaf values −20.66 (left, IDs 1–3) and 31 (right, IDs 4–5).</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00"/>
        <w:gridCol w:w="2100"/>
        <w:gridCol w:w="1850"/>
      </w:tblGrid>
      <w:tr>
        <w:trPr>
          <w:tblHeader/>
        </w:trPr>
        <w:tc>
          <w:tcPr>
            <w:tcW w:type="dxa" w:w="22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Feature</w:t>
            </w:r>
          </w:p>
        </w:tc>
        <w:tc>
          <w:tcPr>
            <w:tcW w:type="dxa" w:w="22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Threshold</w:t>
            </w:r>
          </w:p>
        </w:tc>
        <w:tc>
          <w:tcPr>
            <w:tcW w:type="dxa" w:w="21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Left mean</w:t>
            </w:r>
          </w:p>
        </w:tc>
        <w:tc>
          <w:tcPr>
            <w:tcW w:type="dxa" w:w="21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Right mean</w:t>
            </w:r>
          </w:p>
        </w:tc>
        <w:tc>
          <w:tcPr>
            <w:tcW w:type="dxa" w:w="18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SSE</w:t>
            </w:r>
          </w:p>
        </w:tc>
      </w:tr>
      <w:tr>
        <w:tc>
          <w:tcPr>
            <w:tcW w:type="dxa" w:w="22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Size</w:t>
            </w:r>
          </w:p>
        </w:tc>
        <w:tc>
          <w:tcPr>
            <w:tcW w:type="dxa" w:w="22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1050</w:t>
            </w:r>
          </w:p>
        </w:tc>
        <w:tc>
          <w:tcPr>
            <w:tcW w:type="dxa" w:w="21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−20.66</w:t>
            </w:r>
          </w:p>
        </w:tc>
        <w:tc>
          <w:tcPr>
            <w:tcW w:type="dxa" w:w="21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31</w:t>
            </w:r>
          </w:p>
        </w:tc>
        <w:tc>
          <w:tcPr>
            <w:tcW w:type="dxa" w:w="18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916.66  ← lowest</w:t>
            </w:r>
          </w:p>
        </w:tc>
      </w:tr>
      <w:tr>
        <w:tc>
          <w:tcPr>
            <w:tcW w:type="dxa" w:w="22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Size</w:t>
            </w:r>
          </w:p>
        </w:tc>
        <w:tc>
          <w:tcPr>
            <w:tcW w:type="dxa" w:w="22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950</w:t>
            </w:r>
          </w:p>
        </w:tc>
        <w:tc>
          <w:tcPr>
            <w:tcW w:type="dxa" w:w="21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−29</w:t>
            </w:r>
          </w:p>
        </w:tc>
        <w:tc>
          <w:tcPr>
            <w:tcW w:type="dxa" w:w="21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19.33</w:t>
            </w:r>
          </w:p>
        </w:tc>
        <w:tc>
          <w:tcPr>
            <w:tcW w:type="dxa" w:w="18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1316.66</w:t>
            </w:r>
          </w:p>
        </w:tc>
      </w:tr>
      <w:tr>
        <w:tc>
          <w:tcPr>
            <w:tcW w:type="dxa" w:w="22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Size</w:t>
            </w:r>
          </w:p>
        </w:tc>
        <w:tc>
          <w:tcPr>
            <w:tcW w:type="dxa" w:w="22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1150</w:t>
            </w:r>
          </w:p>
        </w:tc>
        <w:tc>
          <w:tcPr>
            <w:tcW w:type="dxa" w:w="21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−11.5</w:t>
            </w:r>
          </w:p>
        </w:tc>
        <w:tc>
          <w:tcPr>
            <w:tcW w:type="dxa" w:w="21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46</w:t>
            </w:r>
          </w:p>
        </w:tc>
        <w:tc>
          <w:tcPr>
            <w:tcW w:type="dxa" w:w="18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1475</w:t>
            </w:r>
          </w:p>
        </w:tc>
      </w:tr>
      <w:tr>
        <w:tc>
          <w:tcPr>
            <w:tcW w:type="dxa" w:w="22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Size</w:t>
            </w:r>
          </w:p>
        </w:tc>
        <w:tc>
          <w:tcPr>
            <w:tcW w:type="dxa" w:w="22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850</w:t>
            </w:r>
          </w:p>
        </w:tc>
        <w:tc>
          <w:tcPr>
            <w:tcW w:type="dxa" w:w="21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−34</w:t>
            </w:r>
          </w:p>
        </w:tc>
        <w:tc>
          <w:tcPr>
            <w:tcW w:type="dxa" w:w="21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8.5</w:t>
            </w:r>
          </w:p>
        </w:tc>
        <w:tc>
          <w:tcPr>
            <w:tcW w:type="dxa" w:w="18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2675</w:t>
            </w:r>
          </w:p>
        </w:tc>
      </w:tr>
      <w:tr>
        <w:tc>
          <w:tcPr>
            <w:tcW w:type="dxa" w:w="22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Beds</w:t>
            </w:r>
          </w:p>
        </w:tc>
        <w:tc>
          <w:tcPr>
            <w:tcW w:type="dxa" w:w="22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2.5</w:t>
            </w:r>
          </w:p>
        </w:tc>
        <w:tc>
          <w:tcPr>
            <w:tcW w:type="dxa" w:w="21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−29</w:t>
            </w:r>
          </w:p>
        </w:tc>
        <w:tc>
          <w:tcPr>
            <w:tcW w:type="dxa" w:w="21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19.33</w:t>
            </w:r>
          </w:p>
        </w:tc>
        <w:tc>
          <w:tcPr>
            <w:tcW w:type="dxa" w:w="18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1316.66</w:t>
            </w:r>
          </w:p>
        </w:tc>
      </w:tr>
      <w:tr>
        <w:tc>
          <w:tcPr>
            <w:tcW w:type="dxa" w:w="22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Beds</w:t>
            </w:r>
          </w:p>
        </w:tc>
        <w:tc>
          <w:tcPr>
            <w:tcW w:type="dxa" w:w="22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3.5</w:t>
            </w:r>
          </w:p>
        </w:tc>
        <w:tc>
          <w:tcPr>
            <w:tcW w:type="dxa" w:w="21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−11.5</w:t>
            </w:r>
          </w:p>
        </w:tc>
        <w:tc>
          <w:tcPr>
            <w:tcW w:type="dxa" w:w="21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46</w:t>
            </w:r>
          </w:p>
        </w:tc>
        <w:tc>
          <w:tcPr>
            <w:tcW w:type="dxa" w:w="18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1475</w:t>
            </w:r>
          </w:p>
        </w:tc>
      </w:tr>
    </w:tbl>
    <w:p>
      <w:pPr>
        <w:spacing w:after="120"/>
      </w:pPr>
    </w:p>
    <w:p>
      <w:pPr>
        <w:spacing w:after="120"/>
      </w:pPr>
      <w:r>
        <w:rPr>
          <w:rFonts w:ascii="Arial" w:cs="Arial" w:eastAsia="Arial" w:hAnsi="Arial"/>
          <w:color w:val="1F2937"/>
          <w:sz w:val="21"/>
          <w:szCs w:val="21"/>
        </w:rPr>
        <w:t xml:space="preserve">F1(x) = F0 + lr × h1(x). For ID 1 (Size 800, left leaf): 154 + 0.1 × (−20.66) = 151.93.</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2090"/>
        <w:gridCol w:w="2090"/>
        <w:gridCol w:w="2090"/>
        <w:gridCol w:w="2090"/>
        <w:gridCol w:w="2090"/>
      </w:tblGrid>
      <w:tr>
        <w:trPr>
          <w:tblHeader/>
        </w:trPr>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ID</w:t>
            </w:r>
          </w:p>
        </w:tc>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Price (y)</w:t>
            </w:r>
          </w:p>
        </w:tc>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r1 (y−F0)</w:t>
            </w:r>
          </w:p>
        </w:tc>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F1</w:t>
            </w:r>
          </w:p>
        </w:tc>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r2 (y−F1)</w:t>
            </w:r>
          </w:p>
        </w:tc>
      </w:tr>
      <w:tr>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120</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−34</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151.93</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−31.93</w:t>
            </w:r>
          </w:p>
        </w:tc>
      </w:tr>
      <w:tr>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130</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−24</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151.93</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−21.93</w:t>
            </w:r>
          </w:p>
        </w:tc>
      </w:tr>
      <w:tr>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150</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−4</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151.93</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−1.93</w:t>
            </w:r>
          </w:p>
        </w:tc>
      </w:tr>
      <w:tr>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4</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170</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+16</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157.1</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12.90</w:t>
            </w:r>
          </w:p>
        </w:tc>
      </w:tr>
      <w:tr>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5</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200</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+46</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157.1</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42.90</w:t>
            </w:r>
          </w:p>
        </w:tc>
      </w:tr>
    </w:tbl>
    <w:p>
      <w:pPr>
        <w:spacing w:after="120"/>
      </w:pPr>
    </w:p>
    <w:p>
      <w:pPr>
        <w:spacing w:after="120"/>
      </w:pPr>
      <w:r>
        <w:rPr>
          <w:rFonts w:ascii="Arial" w:cs="Arial" w:eastAsia="Arial" w:hAnsi="Arial"/>
          <w:color w:val="1F2937"/>
          <w:sz w:val="21"/>
          <w:szCs w:val="21"/>
        </w:rPr>
        <w:t xml:space="preserve">r2 becomes the target for the next stump h2. Re-running the same split search on Size &lt; 1050 again comes out lowest (SSE = 916.66 on this round too), giving h2 with leaves −18.6 / 27.9. F2(x) = F1(x) + lr × h2(x):</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550"/>
        <w:gridCol w:w="1650"/>
        <w:gridCol w:w="1550"/>
        <w:gridCol w:w="1900"/>
      </w:tblGrid>
      <w:tr>
        <w:trPr>
          <w:tblHeader/>
        </w:trPr>
        <w:tc>
          <w:tcPr>
            <w:tcW w:type="dxa" w:w="7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ID</w:t>
            </w:r>
          </w:p>
        </w:tc>
        <w:tc>
          <w:tcPr>
            <w:tcW w:type="dxa" w:w="16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Price (y)</w:t>
            </w:r>
          </w:p>
        </w:tc>
        <w:tc>
          <w:tcPr>
            <w:tcW w:type="dxa" w:w="15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F1</w:t>
            </w:r>
          </w:p>
        </w:tc>
        <w:tc>
          <w:tcPr>
            <w:tcW w:type="dxa" w:w="16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r2</w:t>
            </w:r>
          </w:p>
        </w:tc>
        <w:tc>
          <w:tcPr>
            <w:tcW w:type="dxa" w:w="15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F2</w:t>
            </w:r>
          </w:p>
        </w:tc>
        <w:tc>
          <w:tcPr>
            <w:tcW w:type="dxa" w:w="19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r3 (y−F2)</w:t>
            </w:r>
          </w:p>
        </w:tc>
      </w:tr>
      <w:tr>
        <w:tc>
          <w:tcPr>
            <w:tcW w:type="dxa" w:w="7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c>
          <w:tcPr>
            <w:tcW w:type="dxa" w:w="16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120</w:t>
            </w:r>
          </w:p>
        </w:tc>
        <w:tc>
          <w:tcPr>
            <w:tcW w:type="dxa" w:w="15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151.93</w:t>
            </w:r>
          </w:p>
        </w:tc>
        <w:tc>
          <w:tcPr>
            <w:tcW w:type="dxa" w:w="16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−31.93</w:t>
            </w:r>
          </w:p>
        </w:tc>
        <w:tc>
          <w:tcPr>
            <w:tcW w:type="dxa" w:w="15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150.07</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−30.07</w:t>
            </w:r>
          </w:p>
        </w:tc>
      </w:tr>
      <w:tr>
        <w:tc>
          <w:tcPr>
            <w:tcW w:type="dxa" w:w="7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w:t>
            </w:r>
          </w:p>
        </w:tc>
        <w:tc>
          <w:tcPr>
            <w:tcW w:type="dxa" w:w="16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130</w:t>
            </w:r>
          </w:p>
        </w:tc>
        <w:tc>
          <w:tcPr>
            <w:tcW w:type="dxa" w:w="15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151.93</w:t>
            </w:r>
          </w:p>
        </w:tc>
        <w:tc>
          <w:tcPr>
            <w:tcW w:type="dxa" w:w="16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−21.93</w:t>
            </w:r>
          </w:p>
        </w:tc>
        <w:tc>
          <w:tcPr>
            <w:tcW w:type="dxa" w:w="15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150.07</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−20.07</w:t>
            </w:r>
          </w:p>
        </w:tc>
      </w:tr>
      <w:tr>
        <w:tc>
          <w:tcPr>
            <w:tcW w:type="dxa" w:w="7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w:t>
            </w:r>
          </w:p>
        </w:tc>
        <w:tc>
          <w:tcPr>
            <w:tcW w:type="dxa" w:w="16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150</w:t>
            </w:r>
          </w:p>
        </w:tc>
        <w:tc>
          <w:tcPr>
            <w:tcW w:type="dxa" w:w="15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151.93</w:t>
            </w:r>
          </w:p>
        </w:tc>
        <w:tc>
          <w:tcPr>
            <w:tcW w:type="dxa" w:w="16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−1.93</w:t>
            </w:r>
          </w:p>
        </w:tc>
        <w:tc>
          <w:tcPr>
            <w:tcW w:type="dxa" w:w="15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150.07</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−0.07</w:t>
            </w:r>
          </w:p>
        </w:tc>
      </w:tr>
      <w:tr>
        <w:tc>
          <w:tcPr>
            <w:tcW w:type="dxa" w:w="7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4</w:t>
            </w:r>
          </w:p>
        </w:tc>
        <w:tc>
          <w:tcPr>
            <w:tcW w:type="dxa" w:w="16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170</w:t>
            </w:r>
          </w:p>
        </w:tc>
        <w:tc>
          <w:tcPr>
            <w:tcW w:type="dxa" w:w="15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157.1</w:t>
            </w:r>
          </w:p>
        </w:tc>
        <w:tc>
          <w:tcPr>
            <w:tcW w:type="dxa" w:w="16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12.90</w:t>
            </w:r>
          </w:p>
        </w:tc>
        <w:tc>
          <w:tcPr>
            <w:tcW w:type="dxa" w:w="15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159.89</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10.11</w:t>
            </w:r>
          </w:p>
        </w:tc>
      </w:tr>
      <w:tr>
        <w:tc>
          <w:tcPr>
            <w:tcW w:type="dxa" w:w="7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5</w:t>
            </w:r>
          </w:p>
        </w:tc>
        <w:tc>
          <w:tcPr>
            <w:tcW w:type="dxa" w:w="16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200</w:t>
            </w:r>
          </w:p>
        </w:tc>
        <w:tc>
          <w:tcPr>
            <w:tcW w:type="dxa" w:w="15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157.1</w:t>
            </w:r>
          </w:p>
        </w:tc>
        <w:tc>
          <w:tcPr>
            <w:tcW w:type="dxa" w:w="16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42.90</w:t>
            </w:r>
          </w:p>
        </w:tc>
        <w:tc>
          <w:tcPr>
            <w:tcW w:type="dxa" w:w="15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159.89</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40.11</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6D28D9" w:sz="4"/>
              <w:left w:val="single" w:color="6D28D9" w:sz="24"/>
              <w:bottom w:val="single" w:color="6D28D9" w:sz="4"/>
              <w:right w:val="single" w:color="6D28D9" w:sz="4"/>
            </w:tcBorders>
            <w:shd w:fill="EDE9FE"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Why Size keeps winning the split, early on</w:t>
            </w:r>
          </w:p>
          <w:p>
            <w:pPr>
              <w:spacing w:after="60"/>
            </w:pPr>
            <w:r>
              <w:rPr>
                <w:rFonts w:ascii="Arial" w:cs="Arial" w:eastAsia="Arial" w:hAnsi="Arial"/>
                <w:color w:val="1F2937"/>
                <w:sz w:val="21"/>
                <w:szCs w:val="21"/>
              </w:rPr>
              <w:t xml:space="preserve">Because the residuals maintain the same sign pattern across IDs 1–3 (negative) vs 4–5 (positive), splitting along Size keeps separating negative from positive residuals and therefore keeps minimizing SSE. As boosting continues and residual magnitudes shrink, a different split (Beds, or a different Size cutoff) could eventually win out — early rounds being dominated by one feature is a property of this toy dataset's structure, not a general rule.</w:t>
            </w:r>
          </w:p>
        </w:tc>
      </w:tr>
    </w:tbl>
    <w:p>
      <w:pPr>
        <w:pBdr>
          <w:bottom w:val="single" w:color="1A3560" w:sz="6"/>
        </w:pBdr>
        <w:spacing w:after="150" w:before="300"/>
      </w:pPr>
      <w:r>
        <w:rPr>
          <w:rFonts w:ascii="Arial" w:cs="Arial" w:eastAsia="Arial" w:hAnsi="Arial"/>
          <w:b/>
          <w:bCs/>
          <w:color w:val="1A3560"/>
          <w:sz w:val="25"/>
          <w:szCs w:val="25"/>
        </w:rPr>
        <w:t xml:space="preserve">4. XGBoost — Gradient, Hessian &amp; the Gain Formula</w:t>
      </w:r>
    </w:p>
    <w:p>
      <w:pPr>
        <w:spacing w:after="120"/>
      </w:pPr>
      <w:r>
        <w:rPr>
          <w:rFonts w:ascii="Arial" w:cs="Arial" w:eastAsia="Arial" w:hAnsi="Arial"/>
          <w:color w:val="1F2937"/>
          <w:sz w:val="21"/>
          <w:szCs w:val="21"/>
        </w:rPr>
        <w:t xml:space="preserve">XGBoost ("eXtreme Gradient Boosting") extends plain Gradient Boosting by using both the first derivative (gradient) and second derivative (Hessian) of the loss, plus explicit regularization terms, to decide splits and leaf weights.</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3200"/>
        <w:gridCol w:w="7250"/>
      </w:tblGrid>
      <w:tr>
        <w:trPr>
          <w:tblHeader/>
        </w:trPr>
        <w:tc>
          <w:tcPr>
            <w:tcW w:type="dxa" w:w="32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Symbol</w:t>
            </w:r>
          </w:p>
        </w:tc>
        <w:tc>
          <w:tcPr>
            <w:tcW w:type="dxa" w:w="72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Meaning</w:t>
            </w:r>
          </w:p>
        </w:tc>
      </w:tr>
      <w:tr>
        <w:tc>
          <w:tcPr>
            <w:tcW w:type="dxa" w:w="32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ℓ = ½(y − ŷ)²</w:t>
            </w:r>
          </w:p>
        </w:tc>
        <w:tc>
          <w:tcPr>
            <w:tcW w:type="dxa" w:w="72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squared error loss</w:t>
            </w:r>
          </w:p>
        </w:tc>
      </w:tr>
      <w:tr>
        <w:tc>
          <w:tcPr>
            <w:tcW w:type="dxa" w:w="32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g = ∂ℓ/∂ŷ = ŷ − y</w:t>
            </w:r>
          </w:p>
        </w:tc>
        <w:tc>
          <w:tcPr>
            <w:tcW w:type="dxa" w:w="72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gradient (first derivative)</w:t>
            </w:r>
          </w:p>
        </w:tc>
      </w:tr>
      <w:tr>
        <w:tc>
          <w:tcPr>
            <w:tcW w:type="dxa" w:w="32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h = ∂²ℓ/∂ŷ² = 1</w:t>
            </w:r>
          </w:p>
        </w:tc>
        <w:tc>
          <w:tcPr>
            <w:tcW w:type="dxa" w:w="72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Hessian (second derivative, constant for squared error)</w:t>
            </w:r>
          </w:p>
        </w:tc>
      </w:tr>
      <w:tr>
        <w:tc>
          <w:tcPr>
            <w:tcW w:type="dxa" w:w="32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λ (lambda)</w:t>
            </w:r>
          </w:p>
        </w:tc>
        <w:tc>
          <w:tcPr>
            <w:tcW w:type="dxa" w:w="72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L2 regularization — shrinks scores in the denominator</w:t>
            </w:r>
          </w:p>
        </w:tc>
      </w:tr>
      <w:tr>
        <w:tc>
          <w:tcPr>
            <w:tcW w:type="dxa" w:w="32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γ (gamma)</w:t>
            </w:r>
          </w:p>
        </w:tc>
        <w:tc>
          <w:tcPr>
            <w:tcW w:type="dxa" w:w="72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minimum gain required to make a split — subtraction penalty</w:t>
            </w:r>
          </w:p>
        </w:tc>
      </w:tr>
      <w:tr>
        <w:tc>
          <w:tcPr>
            <w:tcW w:type="dxa" w:w="32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α (alpha)</w:t>
            </w:r>
          </w:p>
        </w:tc>
        <w:tc>
          <w:tcPr>
            <w:tcW w:type="dxa" w:w="72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leaf weight calc regularization — not part of the split score</w:t>
            </w:r>
          </w:p>
        </w:tc>
      </w:tr>
    </w:tbl>
    <w:p>
      <w:pPr>
        <w:spacing w:after="100" w:before="200"/>
      </w:pPr>
      <w:r>
        <w:rPr>
          <w:rFonts w:ascii="Arial" w:cs="Arial" w:eastAsia="Arial" w:hAnsi="Arial"/>
          <w:b/>
          <w:bCs/>
          <w:color w:val="1A3560"/>
          <w:sz w:val="22"/>
          <w:szCs w:val="22"/>
        </w:rPr>
        <w:t xml:space="preserve">Per-split scoring</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For each split candidate:</w:t>
            </w:r>
          </w:p>
          <w:p>
            <w:pPr>
              <w:spacing w:after="0"/>
            </w:pPr>
            <w:r>
              <w:rPr>
                <w:rFonts w:ascii="Courier New" w:cs="Courier New" w:eastAsia="Courier New" w:hAnsi="Courier New"/>
                <w:color w:val="1F2937"/>
                <w:sz w:val="20"/>
                <w:szCs w:val="20"/>
              </w:rPr>
              <w:t xml:space="preserve">  total → G_left, H_left   (sum of gradients / Hessians on the left)</w:t>
            </w:r>
          </w:p>
          <w:p>
            <w:pPr>
              <w:spacing w:after="0"/>
            </w:pPr>
            <w:r>
              <w:rPr>
                <w:rFonts w:ascii="Courier New" w:cs="Courier New" w:eastAsia="Courier New" w:hAnsi="Courier New"/>
                <w:color w:val="1F2937"/>
                <w:sz w:val="20"/>
                <w:szCs w:val="20"/>
              </w:rPr>
              <w:t xml:space="preserve">            G_right, H_right</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  score(side) = − G² / (H + λ)</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  Gain = score(L) + score(R) − score(Parent) − γ</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Choose the split with the highest possible Gain.</w:t>
            </w:r>
          </w:p>
        </w:tc>
      </w:tr>
    </w:tbl>
    <w:p>
      <w:pPr>
        <w:spacing w:after="100" w:before="200"/>
      </w:pPr>
      <w:r>
        <w:rPr>
          <w:rFonts w:ascii="Arial" w:cs="Arial" w:eastAsia="Arial" w:hAnsi="Arial"/>
          <w:b/>
          <w:bCs/>
          <w:color w:val="1A3560"/>
          <w:sz w:val="22"/>
          <w:szCs w:val="22"/>
        </w:rPr>
        <w:t xml:space="preserve">Leaf weight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ω = − G / (H + λ)          (leaf weight, same regularized shape as the score)</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Final prediction: F_(t+1)(x) = F0 + η · f_t(x)</w:t>
            </w:r>
          </w:p>
        </w:tc>
      </w:tr>
    </w:tbl>
    <w:p>
      <w:pPr>
        <w:spacing w:after="120"/>
      </w:pPr>
      <w:r>
        <w:rPr>
          <w:rFonts w:ascii="Arial" w:cs="Arial" w:eastAsia="Arial" w:hAnsi="Arial"/>
          <w:color w:val="1F2937"/>
          <w:sz w:val="21"/>
          <w:szCs w:val="21"/>
        </w:rPr>
        <w:t xml:space="preserve">Worked mini-example (same 5-row dataset, F0 = 154, λ = 1): splitting on Size &lt; 950 gives G_left = 34+24 = 58, H_left = 2; G_right = 4−16−46 = −58, H_right = 3. score(L) = −58²/(2+1) = −1121.33, score(R) = −(−58)²/(3+1) = −841. score(parent) with G=0, H=5 is 0. Gain = 1121.33 + 841 = 1962.33 — the highest of the candidate thresholds tested, so Size &lt; 950 is chosen as the first XGBoost stump.</w:t>
      </w:r>
    </w:p>
    <w:p>
      <w:pPr>
        <w:spacing w:after="120"/>
      </w:pPr>
      <w:r>
        <w:rPr>
          <w:rFonts w:ascii="Arial" w:cs="Arial" w:eastAsia="Arial" w:hAnsi="Arial"/>
          <w:color w:val="1F2937"/>
          <w:sz w:val="21"/>
          <w:szCs w:val="21"/>
        </w:rPr>
        <w:t xml:space="preserve">Leaf weights: ω_left = −58/(2+1) = −19.33, ω_right = −58/(3+1) = 14.5. With η = 1 for this hand calculation, ID 1's updated prediction is 154 + 1×(−19.33) = 134.67.</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0F766E" w:sz="4"/>
              <w:left w:val="single" w:color="0F766E" w:sz="24"/>
              <w:bottom w:val="single" w:color="0F766E" w:sz="4"/>
              <w:right w:val="single" w:color="0F766E" w:sz="4"/>
            </w:tcBorders>
            <w:shd w:fill="CCFBF1"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GB vs XGBoost side by side</w:t>
            </w:r>
          </w:p>
          <w:p>
            <w:pPr>
              <w:spacing w:after="60"/>
            </w:pPr>
            <w:r>
              <w:rPr>
                <w:rFonts w:ascii="Arial" w:cs="Arial" w:eastAsia="Arial" w:hAnsi="Arial"/>
                <w:color w:val="1F2937"/>
                <w:sz w:val="21"/>
                <w:szCs w:val="21"/>
              </w:rPr>
              <w:t xml:space="preserve">Uses derivative of loss: both Yes.</w:t>
            </w:r>
          </w:p>
          <w:p>
            <w:pPr>
              <w:spacing w:after="60"/>
            </w:pPr>
            <w:r>
              <w:rPr>
                <w:rFonts w:ascii="Arial" w:cs="Arial" w:eastAsia="Arial" w:hAnsi="Arial"/>
                <w:color w:val="1F2937"/>
                <w:sz w:val="21"/>
                <w:szCs w:val="21"/>
              </w:rPr>
              <w:t xml:space="preserve">Uses second-order derivative (Hessian): GB — No; XGBoost — Yes.</w:t>
            </w:r>
          </w:p>
          <w:p>
            <w:pPr>
              <w:spacing w:after="60"/>
            </w:pPr>
            <w:r>
              <w:rPr>
                <w:rFonts w:ascii="Arial" w:cs="Arial" w:eastAsia="Arial" w:hAnsi="Arial"/>
                <w:color w:val="1F2937"/>
                <w:sz w:val="21"/>
                <w:szCs w:val="21"/>
              </w:rPr>
              <w:t xml:space="preserve">Split score: GB — SSE; XGBoost — Gain based on g, h, λ.</w:t>
            </w:r>
          </w:p>
          <w:p>
            <w:pPr>
              <w:spacing w:after="60"/>
            </w:pPr>
            <w:r>
              <w:rPr>
                <w:rFonts w:ascii="Arial" w:cs="Arial" w:eastAsia="Arial" w:hAnsi="Arial"/>
                <w:color w:val="1F2937"/>
                <w:sz w:val="21"/>
                <w:szCs w:val="21"/>
              </w:rPr>
              <w:t xml:space="preserve">Regularization: GB — weak (via learning rate α); XGBoost — strong (λ, α, γ all explicit).</w:t>
            </w:r>
          </w:p>
          <w:p>
            <w:pPr>
              <w:spacing w:after="60"/>
            </w:pPr>
            <w:r>
              <w:rPr>
                <w:rFonts w:ascii="Arial" w:cs="Arial" w:eastAsia="Arial" w:hAnsi="Arial"/>
                <w:color w:val="1F2937"/>
                <w:sz w:val="21"/>
                <w:szCs w:val="21"/>
              </w:rPr>
              <w:t xml:space="preserve">Tree complexity control: GB — max_depth only; XGBoost — prunes automatically + max_depth.</w:t>
            </w:r>
          </w:p>
          <w:p>
            <w:pPr>
              <w:spacing w:after="60"/>
            </w:pPr>
            <w:r>
              <w:rPr>
                <w:rFonts w:ascii="Arial" w:cs="Arial" w:eastAsia="Arial" w:hAnsi="Arial"/>
                <w:color w:val="1F2937"/>
                <w:sz w:val="21"/>
                <w:szCs w:val="21"/>
              </w:rPr>
              <w:t xml:space="preserve">Leaf value: GB — mean residual; XGBoost — −G/(H+λ).</w:t>
            </w:r>
          </w:p>
          <w:p>
            <w:pPr>
              <w:spacing w:after="60"/>
            </w:pPr>
            <w:r>
              <w:rPr>
                <w:rFonts w:ascii="Arial" w:cs="Arial" w:eastAsia="Arial" w:hAnsi="Arial"/>
                <w:color w:val="1F2937"/>
                <w:sz w:val="21"/>
                <w:szCs w:val="21"/>
              </w:rPr>
              <w:t xml:space="preserve">System speed: GB — slower; XGBoost — much faster, parallel.</w:t>
            </w:r>
          </w:p>
        </w:tc>
      </w:tr>
    </w:tbl>
    <w:p>
      <w:r>
        <w:br w:type="page"/>
      </w:r>
    </w:p>
    <w:p>
      <w:pPr>
        <w:pBdr>
          <w:bottom w:val="single" w:color="1A3560" w:sz="6"/>
        </w:pBdr>
        <w:spacing w:after="150" w:before="300"/>
      </w:pPr>
      <w:r>
        <w:rPr>
          <w:rFonts w:ascii="Arial" w:cs="Arial" w:eastAsia="Arial" w:hAnsi="Arial"/>
          <w:b/>
          <w:bCs/>
          <w:color w:val="1A3560"/>
          <w:sz w:val="25"/>
          <w:szCs w:val="25"/>
        </w:rPr>
        <w:t xml:space="preserve">5. Practical — GB &amp; XGBoost Regressor on California Housing</w:t>
      </w:r>
    </w:p>
    <w:p>
      <w:pPr>
        <w:spacing w:after="120"/>
      </w:pPr>
      <w:r>
        <w:rPr>
          <w:rFonts w:ascii="Arial" w:cs="Arial" w:eastAsia="Arial" w:hAnsi="Arial"/>
          <w:color w:val="1F2937"/>
          <w:sz w:val="21"/>
          <w:szCs w:val="21"/>
        </w:rPr>
        <w:t xml:space="preserve">Same dataset and train/test split as ML-19's Decision Tree and Random Forest regressors: 20,640 rows, 8 features, test_size=0.2, random_state=2 — so results here are directly comparable to the DT (R² = 0.690) and RF (R² = 0.815) numbers from that session.</w:t>
      </w:r>
    </w:p>
    <w:p>
      <w:pPr>
        <w:spacing w:after="100" w:before="200"/>
      </w:pPr>
      <w:r>
        <w:rPr>
          <w:rFonts w:ascii="Arial" w:cs="Arial" w:eastAsia="Arial" w:hAnsi="Arial"/>
          <w:b/>
          <w:bCs/>
          <w:color w:val="1A3560"/>
          <w:sz w:val="22"/>
          <w:szCs w:val="22"/>
        </w:rPr>
        <w:t xml:space="preserve">Gradient Boosting Regressor</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gb_reg = GradientBoostingRegressor(</w:t>
            </w:r>
          </w:p>
          <w:p>
            <w:pPr>
              <w:spacing w:after="0"/>
            </w:pPr>
            <w:r>
              <w:rPr>
                <w:rFonts w:ascii="Courier New" w:cs="Courier New" w:eastAsia="Courier New" w:hAnsi="Courier New"/>
                <w:color w:val="1F2937"/>
                <w:sz w:val="20"/>
                <w:szCs w:val="20"/>
              </w:rPr>
              <w:t xml:space="preserve">    n_estimators=300,</w:t>
            </w:r>
          </w:p>
          <w:p>
            <w:pPr>
              <w:spacing w:after="0"/>
            </w:pPr>
            <w:r>
              <w:rPr>
                <w:rFonts w:ascii="Courier New" w:cs="Courier New" w:eastAsia="Courier New" w:hAnsi="Courier New"/>
                <w:color w:val="1F2937"/>
                <w:sz w:val="20"/>
                <w:szCs w:val="20"/>
              </w:rPr>
              <w:t xml:space="preserve">    subsample=0.8   # remaining 0.2 available for OOB tracking</w:t>
            </w:r>
          </w:p>
          <w:p>
            <w:pPr>
              <w:spacing w:after="0"/>
            </w:pPr>
            <w:r>
              <w:rPr>
                <w:rFonts w:ascii="Courier New" w:cs="Courier New" w:eastAsia="Courier New" w:hAnsi="Courier New"/>
                <w:color w:val="1F2937"/>
                <w:sz w:val="20"/>
                <w:szCs w:val="20"/>
              </w:rPr>
              <w:t xml:space="preserve">)</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225"/>
        <w:gridCol w:w="5225"/>
      </w:tblGrid>
      <w:tr>
        <w:trPr>
          <w:tblHeader/>
        </w:trPr>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Metric</w:t>
            </w:r>
          </w:p>
        </w:tc>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Training rows</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16,512  (len(X_train))</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oob_improvement_ entries</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300  — one per boosting stage</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MAE</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0.334</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MSE</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0.246</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RMSE</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0.496</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R² score</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0.818</w:t>
            </w:r>
          </w:p>
        </w:tc>
      </w:tr>
    </w:tbl>
    <w:p>
      <w:pPr>
        <w:spacing w:after="100" w:before="200"/>
      </w:pPr>
      <w:r>
        <w:rPr>
          <w:rFonts w:ascii="Arial" w:cs="Arial" w:eastAsia="Arial" w:hAnsi="Arial"/>
          <w:b/>
          <w:bCs/>
          <w:color w:val="1A3560"/>
          <w:sz w:val="22"/>
          <w:szCs w:val="22"/>
        </w:rPr>
        <w:t xml:space="preserve">XGBoost Regressor</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xgb_reg = xgb.XGBRegressor(</w:t>
            </w:r>
          </w:p>
          <w:p>
            <w:pPr>
              <w:spacing w:after="0"/>
            </w:pPr>
            <w:r>
              <w:rPr>
                <w:rFonts w:ascii="Courier New" w:cs="Courier New" w:eastAsia="Courier New" w:hAnsi="Courier New"/>
                <w:color w:val="1F2937"/>
                <w:sz w:val="20"/>
                <w:szCs w:val="20"/>
              </w:rPr>
              <w:t xml:space="preserve">    n_estimators=500, learning_rate=0.05, max_depth=6,</w:t>
            </w:r>
          </w:p>
          <w:p>
            <w:pPr>
              <w:spacing w:after="0"/>
            </w:pPr>
            <w:r>
              <w:rPr>
                <w:rFonts w:ascii="Courier New" w:cs="Courier New" w:eastAsia="Courier New" w:hAnsi="Courier New"/>
                <w:color w:val="1F2937"/>
                <w:sz w:val="20"/>
                <w:szCs w:val="20"/>
              </w:rPr>
              <w:t xml:space="preserve">    subsample=0.8, colsample_bytree=0.8,</w:t>
            </w:r>
          </w:p>
          <w:p>
            <w:pPr>
              <w:spacing w:after="0"/>
            </w:pPr>
            <w:r>
              <w:rPr>
                <w:rFonts w:ascii="Courier New" w:cs="Courier New" w:eastAsia="Courier New" w:hAnsi="Courier New"/>
                <w:color w:val="1F2937"/>
                <w:sz w:val="20"/>
                <w:szCs w:val="20"/>
              </w:rPr>
              <w:t xml:space="preserve">    reg_lambda=1.0, reg_alpha=0.0,</w:t>
            </w:r>
          </w:p>
          <w:p>
            <w:pPr>
              <w:spacing w:after="0"/>
            </w:pPr>
            <w:r>
              <w:rPr>
                <w:rFonts w:ascii="Courier New" w:cs="Courier New" w:eastAsia="Courier New" w:hAnsi="Courier New"/>
                <w:color w:val="1F2937"/>
                <w:sz w:val="20"/>
                <w:szCs w:val="20"/>
              </w:rPr>
              <w:t xml:space="preserve">    objective='reg:squarederror', random_state=20, tree_method='hist'</w:t>
            </w:r>
          </w:p>
          <w:p>
            <w:pPr>
              <w:spacing w:after="0"/>
            </w:pPr>
            <w:r>
              <w:rPr>
                <w:rFonts w:ascii="Courier New" w:cs="Courier New" w:eastAsia="Courier New" w:hAnsi="Courier New"/>
                <w:color w:val="1F2937"/>
                <w:sz w:val="20"/>
                <w:szCs w:val="20"/>
              </w:rPr>
              <w:t xml:space="preserve">)</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225"/>
        <w:gridCol w:w="5225"/>
      </w:tblGrid>
      <w:tr>
        <w:trPr>
          <w:tblHeader/>
        </w:trPr>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Metric</w:t>
            </w:r>
          </w:p>
        </w:tc>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MAE</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0.292</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MSE</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0.202</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RMSE</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0.449</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R² score</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0.850</w:t>
            </w:r>
          </w:p>
        </w:tc>
      </w:tr>
    </w:tbl>
    <w:p>
      <w:pPr>
        <w:spacing w:after="100" w:before="200"/>
      </w:pPr>
      <w:r>
        <w:rPr>
          <w:rFonts w:ascii="Arial" w:cs="Arial" w:eastAsia="Arial" w:hAnsi="Arial"/>
          <w:b/>
          <w:bCs/>
          <w:color w:val="1A3560"/>
          <w:sz w:val="22"/>
          <w:szCs w:val="22"/>
        </w:rPr>
        <w:t xml:space="preserve">All four models, side by side</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2612"/>
        <w:gridCol w:w="2612"/>
        <w:gridCol w:w="2612"/>
        <w:gridCol w:w="2612"/>
      </w:tblGrid>
      <w:tr>
        <w:trPr>
          <w:tblHeader/>
        </w:trPr>
        <w:tc>
          <w:tcPr>
            <w:tcW w:type="dxa" w:w="2612"/>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Model</w:t>
            </w:r>
          </w:p>
        </w:tc>
        <w:tc>
          <w:tcPr>
            <w:tcW w:type="dxa" w:w="2612"/>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MAE</w:t>
            </w:r>
          </w:p>
        </w:tc>
        <w:tc>
          <w:tcPr>
            <w:tcW w:type="dxa" w:w="2612"/>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RMSE</w:t>
            </w:r>
          </w:p>
        </w:tc>
        <w:tc>
          <w:tcPr>
            <w:tcW w:type="dxa" w:w="2612"/>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R²</w:t>
            </w:r>
          </w:p>
        </w:tc>
      </w:tr>
      <w:tr>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Decision Tree (ML-19)</w:t>
            </w:r>
          </w:p>
        </w:tc>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0.442</w:t>
            </w:r>
          </w:p>
        </w:tc>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0.646</w:t>
            </w:r>
          </w:p>
        </w:tc>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0.690</w:t>
            </w:r>
          </w:p>
        </w:tc>
      </w:tr>
      <w:tr>
        <w:tc>
          <w:tcPr>
            <w:tcW w:type="dxa" w:w="2612"/>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Random Forest (ML-19)</w:t>
            </w:r>
          </w:p>
        </w:tc>
        <w:tc>
          <w:tcPr>
            <w:tcW w:type="dxa" w:w="2612"/>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0.333</w:t>
            </w:r>
          </w:p>
        </w:tc>
        <w:tc>
          <w:tcPr>
            <w:tcW w:type="dxa" w:w="2612"/>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0.500</w:t>
            </w:r>
          </w:p>
        </w:tc>
        <w:tc>
          <w:tcPr>
            <w:tcW w:type="dxa" w:w="2612"/>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0.815</w:t>
            </w:r>
          </w:p>
        </w:tc>
      </w:tr>
      <w:tr>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Gradient Boosting</w:t>
            </w:r>
          </w:p>
        </w:tc>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0.334</w:t>
            </w:r>
          </w:p>
        </w:tc>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0.496</w:t>
            </w:r>
          </w:p>
        </w:tc>
        <w:tc>
          <w:tcPr>
            <w:tcW w:type="dxa" w:w="2612"/>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0.818</w:t>
            </w:r>
          </w:p>
        </w:tc>
      </w:tr>
      <w:tr>
        <w:tc>
          <w:tcPr>
            <w:tcW w:type="dxa" w:w="2612"/>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XGBoost</w:t>
            </w:r>
          </w:p>
        </w:tc>
        <w:tc>
          <w:tcPr>
            <w:tcW w:type="dxa" w:w="2612"/>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0.292</w:t>
            </w:r>
          </w:p>
        </w:tc>
        <w:tc>
          <w:tcPr>
            <w:tcW w:type="dxa" w:w="2612"/>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0.449</w:t>
            </w:r>
          </w:p>
        </w:tc>
        <w:tc>
          <w:tcPr>
            <w:tcW w:type="dxa" w:w="2612"/>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0.850</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15803D" w:sz="4"/>
              <w:left w:val="single" w:color="15803D" w:sz="24"/>
              <w:bottom w:val="single" w:color="15803D" w:sz="4"/>
              <w:right w:val="single" w:color="15803D" w:sz="4"/>
            </w:tcBorders>
            <w:shd w:fill="DCFCE7"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XGBoost wins on every metric here — but the margin over Random Forest is thin</w:t>
            </w:r>
          </w:p>
          <w:p>
            <w:pPr>
              <w:spacing w:after="60"/>
            </w:pPr>
            <w:r>
              <w:rPr>
                <w:rFonts w:ascii="Arial" w:cs="Arial" w:eastAsia="Arial" w:hAnsi="Arial"/>
                <w:color w:val="1F2937"/>
                <w:sz w:val="21"/>
                <w:szCs w:val="21"/>
              </w:rPr>
              <w:t xml:space="preserve">R² climbs from 0.690 (single tree) to 0.815 (RF) to 0.818 (GB) to 0.850 (XGBoost). The RF → GB jump is almost nothing (0.815 → 0.818); the real gain comes from XGBoost's 500 estimators, depth-6 trees, and explicit L2 regularization together. On a dataset this size, the extra XGBoost machinery pays for itself, but it's worth noticing the RF baseline is already most of the way there.</w:t>
            </w:r>
          </w:p>
        </w:tc>
      </w:tr>
    </w:tbl>
    <w:p>
      <w:pPr>
        <w:pBdr>
          <w:bottom w:val="single" w:color="1A3560" w:sz="6"/>
        </w:pBdr>
        <w:spacing w:after="150" w:before="300"/>
      </w:pPr>
      <w:r>
        <w:rPr>
          <w:rFonts w:ascii="Arial" w:cs="Arial" w:eastAsia="Arial" w:hAnsi="Arial"/>
          <w:b/>
          <w:bCs/>
          <w:color w:val="1A3560"/>
          <w:sz w:val="25"/>
          <w:szCs w:val="25"/>
        </w:rPr>
        <w:t xml:space="preserve">6. Docker Introduction — Images, Containers &amp; Deployment</w:t>
      </w:r>
    </w:p>
    <w:p>
      <w:pPr>
        <w:spacing w:after="120"/>
      </w:pPr>
      <w:r>
        <w:rPr>
          <w:rFonts w:ascii="Arial" w:cs="Arial" w:eastAsia="Arial" w:hAnsi="Arial"/>
          <w:color w:val="1F2937"/>
          <w:sz w:val="21"/>
          <w:szCs w:val="21"/>
        </w:rPr>
        <w:t xml:space="preserve">Introductory context for why containers matter for shipping ML models: a model trained locally has to run reliably on a server with a matching Python/library environment. Docker solves the "works on my machine" problem by packaging the OS, runtime, and dependencies together.</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2200"/>
        <w:gridCol w:w="8250"/>
      </w:tblGrid>
      <w:tr>
        <w:trPr>
          <w:tblHeader/>
        </w:trPr>
        <w:tc>
          <w:tcPr>
            <w:tcW w:type="dxa" w:w="22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Term</w:t>
            </w:r>
          </w:p>
        </w:tc>
        <w:tc>
          <w:tcPr>
            <w:tcW w:type="dxa" w:w="82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Definition</w:t>
            </w:r>
          </w:p>
        </w:tc>
      </w:tr>
      <w:tr>
        <w:tc>
          <w:tcPr>
            <w:tcW w:type="dxa" w:w="22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Docker image</w:t>
            </w:r>
          </w:p>
        </w:tc>
        <w:tc>
          <w:tcPr>
            <w:tcW w:type="dxa" w:w="82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A read-only blueprint/template containing application code, runtime, libraries, and environment variables.</w:t>
            </w:r>
          </w:p>
        </w:tc>
      </w:tr>
      <w:tr>
        <w:tc>
          <w:tcPr>
            <w:tcW w:type="dxa" w:w="22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Docker container</w:t>
            </w:r>
          </w:p>
        </w:tc>
        <w:tc>
          <w:tcPr>
            <w:tcW w:type="dxa" w:w="82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A live, runnable instance of an image that runs as an isolated process on the host machine.</w:t>
            </w:r>
          </w:p>
        </w:tc>
      </w:tr>
      <w:tr>
        <w:tc>
          <w:tcPr>
            <w:tcW w:type="dxa" w:w="22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Dockerfile</w:t>
            </w:r>
          </w:p>
        </w:tc>
        <w:tc>
          <w:tcPr>
            <w:tcW w:type="dxa" w:w="82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A plain text file containing sequential instructions used to build a Docker image automatically.</w:t>
            </w:r>
          </w:p>
        </w:tc>
      </w:tr>
      <w:tr>
        <w:tc>
          <w:tcPr>
            <w:tcW w:type="dxa" w:w="22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DockerHub</w:t>
            </w:r>
          </w:p>
        </w:tc>
        <w:tc>
          <w:tcPr>
            <w:tcW w:type="dxa" w:w="82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A public cloud-based registry used to find, share, and store prebuilt Docker images.</w:t>
            </w:r>
          </w:p>
        </w:tc>
      </w:tr>
      <w:tr>
        <w:tc>
          <w:tcPr>
            <w:tcW w:type="dxa" w:w="22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Docker Engine</w:t>
            </w:r>
          </w:p>
        </w:tc>
        <w:tc>
          <w:tcPr>
            <w:tcW w:type="dxa" w:w="82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The underlying client-server application that manages images, containers, networks, and data volumes.</w:t>
            </w:r>
          </w:p>
        </w:tc>
      </w:tr>
    </w:tbl>
    <w:p>
      <w:pPr>
        <w:spacing w:after="120"/>
      </w:pPr>
      <w:r>
        <w:rPr>
          <w:rFonts w:ascii="Arial" w:cs="Arial" w:eastAsia="Arial" w:hAnsi="Arial"/>
          <w:color w:val="1F2937"/>
          <w:sz w:val="21"/>
          <w:szCs w:val="21"/>
        </w:rPr>
        <w:t xml:space="preserve">Deployment path discussed: a client-facing request (e.g. a browser hitting a URL) resolves through an ISP to a data center IP address, which routes to a specific virtual machine instance (AWS EC2, GCP, Azure, or Cloudflare) provisioned with CPU/GPU/RAM allocated from the physical hardware in that data center.</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2410C" w:sz="4"/>
              <w:left w:val="single" w:color="C2410C" w:sz="24"/>
              <w:bottom w:val="single" w:color="C2410C" w:sz="4"/>
              <w:right w:val="single" w:color="C2410C" w:sz="4"/>
            </w:tcBorders>
            <w:shd w:fill="FFEDD5"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Environment mismatches are exactly what breaks model serving</w:t>
            </w:r>
          </w:p>
          <w:p>
            <w:pPr>
              <w:spacing w:after="60"/>
            </w:pPr>
            <w:r>
              <w:rPr>
                <w:rFonts w:ascii="Arial" w:cs="Arial" w:eastAsia="Arial" w:hAnsi="Arial"/>
                <w:color w:val="1F2937"/>
                <w:sz w:val="21"/>
                <w:szCs w:val="21"/>
              </w:rPr>
              <w:t xml:space="preserve">The notes flag a concrete case: developing on Windows with Python 3.6 and a specific GPU driver version vs. Mac with Python 3.14 for the same computer-vision workload — those environments are not compatible out of the box. Docker's whole value proposition is collapsing "works on Windows," "works on Mac," and "works on the EC2 instance" into one pulled image, so the model that was validated in training runs identically in serving.</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FROM python:3.12-slim-trixie</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 curl + certificates are required to download the installer</w:t>
            </w:r>
          </w:p>
          <w:p>
            <w:pPr>
              <w:spacing w:after="0"/>
            </w:pPr>
            <w:r>
              <w:rPr>
                <w:rFonts w:ascii="Courier New" w:cs="Courier New" w:eastAsia="Courier New" w:hAnsi="Courier New"/>
                <w:color w:val="1F2937"/>
                <w:sz w:val="20"/>
                <w:szCs w:val="20"/>
              </w:rPr>
              <w:t xml:space="preserve">RUN apt-get update &amp;&amp; apt-get install -y --no-install-recommends curl ca-certificates</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 Download and run the installer, then clean up</w:t>
            </w:r>
          </w:p>
          <w:p>
            <w:pPr>
              <w:spacing w:after="0"/>
            </w:pPr>
            <w:r>
              <w:rPr>
                <w:rFonts w:ascii="Courier New" w:cs="Courier New" w:eastAsia="Courier New" w:hAnsi="Courier New"/>
                <w:color w:val="1F2937"/>
                <w:sz w:val="20"/>
                <w:szCs w:val="20"/>
              </w:rPr>
              <w:t xml:space="preserve">ADD https://releases.astral.sh/installers/uv/latest/uv-installer.sh /uv-installer.sh</w:t>
            </w:r>
          </w:p>
          <w:p>
            <w:pPr>
              <w:spacing w:after="0"/>
            </w:pPr>
            <w:r>
              <w:rPr>
                <w:rFonts w:ascii="Courier New" w:cs="Courier New" w:eastAsia="Courier New" w:hAnsi="Courier New"/>
                <w:color w:val="1F2937"/>
                <w:sz w:val="20"/>
                <w:szCs w:val="20"/>
              </w:rPr>
              <w:t xml:space="preserve">RUN sh /uv-installer.sh &amp;&amp; rm /uv-installer.sh</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ENV PATH="/root/.local/bin/:$PATH"</w:t>
            </w:r>
          </w:p>
        </w:tc>
      </w:tr>
    </w:tbl>
    <w:p>
      <w:pPr>
        <w:spacing w:after="120"/>
      </w:pPr>
      <w:r>
        <w:rPr>
          <w:rFonts w:ascii="Arial" w:cs="Arial" w:eastAsia="Arial" w:hAnsi="Arial"/>
          <w:color w:val="1F2937"/>
          <w:sz w:val="21"/>
          <w:szCs w:val="21"/>
        </w:rPr>
        <w:t xml:space="preserve">Basic workflow, day 1: install Docker → pull an image → create an instance of that image (a container) → go inside the container and work. A Dockerfile defines the recipe; running it produces an image; running that image produces a container.</w:t>
      </w:r>
    </w:p>
    <w:p>
      <w:r>
        <w:br w:type="page"/>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none" w:color="FFFFFF" w:sz="0"/>
              <w:left w:val="none" w:color="FFFFFF" w:sz="0"/>
              <w:bottom w:val="none" w:color="FFFFFF" w:sz="0"/>
              <w:right w:val="none" w:color="FFFFFF" w:sz="0"/>
            </w:tcBorders>
            <w:shd w:fill="0D1F3C" w:color="auto" w:val="clear"/>
            <w:tcMar>
              <w:top w:type="dxa" w:w="180"/>
              <w:left w:type="dxa" w:w="300"/>
              <w:bottom w:type="dxa" w:w="180"/>
              <w:right w:type="dxa" w:w="300"/>
            </w:tcMar>
          </w:tcPr>
          <w:p>
            <w:pPr>
              <w:spacing w:after="60"/>
            </w:pPr>
            <w:r>
              <w:rPr>
                <w:rFonts w:ascii="Arial" w:cs="Arial" w:eastAsia="Arial" w:hAnsi="Arial"/>
                <w:b/>
                <w:bCs/>
                <w:color w:val="FFFFFF"/>
                <w:sz w:val="25"/>
                <w:szCs w:val="25"/>
              </w:rPr>
              <w:t xml:space="preserve">SENIOR ENGINEER NOTES</w:t>
            </w:r>
          </w:p>
          <w:p>
            <w:pPr>
              <w:spacing w:after="40"/>
            </w:pPr>
            <w:r>
              <w:rPr>
                <w:rFonts w:ascii="Arial" w:cs="Arial" w:eastAsia="Arial" w:hAnsi="Arial"/>
                <w:b/>
                <w:bCs/>
                <w:color w:val="CBD5E1"/>
                <w:sz w:val="21"/>
                <w:szCs w:val="21"/>
              </w:rPr>
              <w:t xml:space="preserve">Production Gotchas — Gradient Boosting, XGBoost &amp; Docker</w:t>
            </w:r>
          </w:p>
          <w:p>
            <w:r>
              <w:rPr>
                <w:rFonts w:ascii="Arial" w:cs="Arial" w:eastAsia="Arial" w:hAnsi="Arial"/>
                <w:color w:val="93C5FD"/>
                <w:sz w:val="20"/>
                <w:szCs w:val="20"/>
              </w:rPr>
              <w:t xml:space="preserve">ML-20</w:t>
            </w:r>
          </w:p>
        </w:tc>
      </w:tr>
    </w:tbl>
    <w:p>
      <w:pPr>
        <w:spacing w:after="150" w:before="200"/>
      </w:pPr>
    </w:p>
    <w:p>
      <w:pPr>
        <w:spacing w:after="100" w:before="200"/>
      </w:pPr>
      <w:r>
        <w:rPr>
          <w:rFonts w:ascii="Arial" w:cs="Arial" w:eastAsia="Arial" w:hAnsi="Arial"/>
          <w:b/>
          <w:bCs/>
          <w:color w:val="1A3560"/>
          <w:sz w:val="22"/>
          <w:szCs w:val="22"/>
        </w:rPr>
        <w:t xml:space="preserve">Production Wisdom</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B91C1C" w:sz="4"/>
              <w:left w:val="single" w:color="B91C1C" w:sz="4"/>
              <w:bottom w:val="single" w:color="B91C1C" w:sz="4"/>
              <w:right w:val="single" w:color="B91C1C" w:sz="4"/>
            </w:tcBorders>
            <w:shd w:fill="FEE2E2" w:color="auto" w:val="clear"/>
            <w:tcMar>
              <w:top w:type="dxa" w:w="150"/>
              <w:left w:type="dxa" w:w="250"/>
              <w:bottom w:type="dxa" w:w="150"/>
              <w:right w:type="dxa" w:w="250"/>
            </w:tcMar>
          </w:tcPr>
          <w:p>
            <w:pPr>
              <w:spacing w:after="80"/>
            </w:pPr>
            <w:r>
              <w:rPr>
                <w:rFonts w:ascii="Arial" w:cs="Arial" w:eastAsia="Arial" w:hAnsi="Arial"/>
                <w:b/>
                <w:bCs/>
                <w:color w:val="B91C1C"/>
                <w:sz w:val="19"/>
                <w:szCs w:val="19"/>
              </w:rPr>
              <w:t xml:space="preserve">● HIGH SEVERITY</w:t>
            </w:r>
          </w:p>
          <w:p>
            <w:pPr>
              <w:spacing w:after="80"/>
            </w:pPr>
            <w:r>
              <w:rPr>
                <w:rFonts w:ascii="Arial" w:cs="Arial" w:eastAsia="Arial" w:hAnsi="Arial"/>
                <w:b/>
                <w:bCs/>
                <w:color w:val="1F2937"/>
                <w:sz w:val="21"/>
                <w:szCs w:val="21"/>
              </w:rPr>
              <w:t xml:space="preserve">Boosting's sequential dependency means you cannot parallelize across trees — only within them</w:t>
            </w:r>
          </w:p>
          <w:p>
            <w:pPr>
              <w:spacing w:after="60"/>
            </w:pPr>
            <w:r>
              <w:rPr>
                <w:rFonts w:ascii="Arial" w:cs="Arial" w:eastAsia="Arial" w:hAnsi="Arial"/>
                <w:color w:val="1F2937"/>
                <w:sz w:val="21"/>
                <w:szCs w:val="21"/>
              </w:rPr>
              <w:t xml:space="preserve">Every stage m2 needs the residuals produced by m1, m3 needs m2's, and so on — that dependency chain is what makes gradient boosting inherently sequential and slower to train than Random Forest, no matter how many cores you throw at it. XGBoost's speed advantage over plain GradientBoostingRegressor doesn't come from parallelizing the boosting rounds themselves; it comes from parallelizing the split-finding work inside each individual tree (histogram binning, tree_method='hist'). If a training pipeline is CPU-bound on GB/XGBoost, the fix is tree-level parallelism and better binning, not throwing more workers at the outer loop.</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B91C1C" w:sz="4"/>
              <w:left w:val="single" w:color="B91C1C" w:sz="4"/>
              <w:bottom w:val="single" w:color="B91C1C" w:sz="4"/>
              <w:right w:val="single" w:color="B91C1C" w:sz="4"/>
            </w:tcBorders>
            <w:shd w:fill="FEE2E2" w:color="auto" w:val="clear"/>
            <w:tcMar>
              <w:top w:type="dxa" w:w="150"/>
              <w:left w:type="dxa" w:w="250"/>
              <w:bottom w:type="dxa" w:w="150"/>
              <w:right w:type="dxa" w:w="250"/>
            </w:tcMar>
          </w:tcPr>
          <w:p>
            <w:pPr>
              <w:spacing w:after="80"/>
            </w:pPr>
            <w:r>
              <w:rPr>
                <w:rFonts w:ascii="Arial" w:cs="Arial" w:eastAsia="Arial" w:hAnsi="Arial"/>
                <w:b/>
                <w:bCs/>
                <w:color w:val="B91C1C"/>
                <w:sz w:val="19"/>
                <w:szCs w:val="19"/>
              </w:rPr>
              <w:t xml:space="preserve">● HIGH SEVERITY</w:t>
            </w:r>
          </w:p>
          <w:p>
            <w:pPr>
              <w:spacing w:after="80"/>
            </w:pPr>
            <w:r>
              <w:rPr>
                <w:rFonts w:ascii="Arial" w:cs="Arial" w:eastAsia="Arial" w:hAnsi="Arial"/>
                <w:b/>
                <w:bCs/>
                <w:color w:val="1F2937"/>
                <w:sz w:val="21"/>
                <w:szCs w:val="21"/>
              </w:rPr>
              <w:t xml:space="preserve">learning_rate and n_estimators are a coupled pair, not two independent knobs</w:t>
            </w:r>
          </w:p>
          <w:p>
            <w:pPr>
              <w:spacing w:after="60"/>
            </w:pPr>
            <w:r>
              <w:rPr>
                <w:rFonts w:ascii="Arial" w:cs="Arial" w:eastAsia="Arial" w:hAnsi="Arial"/>
                <w:color w:val="1F2937"/>
                <w:sz w:val="21"/>
                <w:szCs w:val="21"/>
              </w:rPr>
              <w:t xml:space="preserve">A lower learning_rate needs more n_estimators to reach the same fit — they trade off directly. The XGBoost config here used learning_rate=0.05 with n_estimators=500; halving the learning rate to 0.025 without roughly doubling n_estimators would systematically undertrain the model, and it would look like a regularization improvement (smaller updates!) rather than what it actually is (an incomplete fit). Always tune these two together against a validation curve, never in isolation.</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2410C" w:sz="4"/>
              <w:left w:val="single" w:color="C2410C" w:sz="4"/>
              <w:bottom w:val="single" w:color="C2410C" w:sz="4"/>
              <w:right w:val="single" w:color="C2410C" w:sz="4"/>
            </w:tcBorders>
            <w:shd w:fill="FFEDD5" w:color="auto" w:val="clear"/>
            <w:tcMar>
              <w:top w:type="dxa" w:w="150"/>
              <w:left w:type="dxa" w:w="250"/>
              <w:bottom w:type="dxa" w:w="150"/>
              <w:right w:type="dxa" w:w="250"/>
            </w:tcMar>
          </w:tcPr>
          <w:p>
            <w:pPr>
              <w:spacing w:after="80"/>
            </w:pPr>
            <w:r>
              <w:rPr>
                <w:rFonts w:ascii="Arial" w:cs="Arial" w:eastAsia="Arial" w:hAnsi="Arial"/>
                <w:b/>
                <w:bCs/>
                <w:color w:val="C2410C"/>
                <w:sz w:val="19"/>
                <w:szCs w:val="19"/>
              </w:rPr>
              <w:t xml:space="preserve">● MODERATE</w:t>
            </w:r>
          </w:p>
          <w:p>
            <w:pPr>
              <w:spacing w:after="80"/>
            </w:pPr>
            <w:r>
              <w:rPr>
                <w:rFonts w:ascii="Arial" w:cs="Arial" w:eastAsia="Arial" w:hAnsi="Arial"/>
                <w:b/>
                <w:bCs/>
                <w:color w:val="1F2937"/>
                <w:sz w:val="21"/>
                <w:szCs w:val="21"/>
              </w:rPr>
              <w:t xml:space="preserve">subsample=0.8 without a fixed random_state makes runs non-reproducible</w:t>
            </w:r>
          </w:p>
          <w:p>
            <w:pPr>
              <w:spacing w:after="60"/>
            </w:pPr>
            <w:r>
              <w:rPr>
                <w:rFonts w:ascii="Arial" w:cs="Arial" w:eastAsia="Arial" w:hAnsi="Arial"/>
                <w:color w:val="1F2937"/>
                <w:sz w:val="21"/>
                <w:szCs w:val="21"/>
              </w:rPr>
              <w:t xml:space="preserve">Both the GradientBoostingRegressor and XGBRegressor configs here use row/column subsampling (subsample=0.8, colsample_bytree=0.8) for regularization — that's good practice, but subsampling is itself a random process. The XGBoost config pinned random_state=20; the sklearn GradientBoostingRegressor call in this session did not pin one. Two "identical" training runs of that GB model on the same data can produce measurably different trees and slightly different metrics purely from subsample randomness — always set random_state explicitly once a model is heading toward being compared, reviewed, or shipped.</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B91C1C" w:sz="4"/>
              <w:left w:val="single" w:color="B91C1C" w:sz="4"/>
              <w:bottom w:val="single" w:color="B91C1C" w:sz="4"/>
              <w:right w:val="single" w:color="B91C1C" w:sz="4"/>
            </w:tcBorders>
            <w:shd w:fill="FEE2E2" w:color="auto" w:val="clear"/>
            <w:tcMar>
              <w:top w:type="dxa" w:w="150"/>
              <w:left w:type="dxa" w:w="250"/>
              <w:bottom w:type="dxa" w:w="150"/>
              <w:right w:type="dxa" w:w="250"/>
            </w:tcMar>
          </w:tcPr>
          <w:p>
            <w:pPr>
              <w:spacing w:after="80"/>
            </w:pPr>
            <w:r>
              <w:rPr>
                <w:rFonts w:ascii="Arial" w:cs="Arial" w:eastAsia="Arial" w:hAnsi="Arial"/>
                <w:b/>
                <w:bCs/>
                <w:color w:val="B91C1C"/>
                <w:sz w:val="19"/>
                <w:szCs w:val="19"/>
              </w:rPr>
              <w:t xml:space="preserve">● HIGH SEVERITY</w:t>
            </w:r>
          </w:p>
          <w:p>
            <w:pPr>
              <w:spacing w:after="80"/>
            </w:pPr>
            <w:r>
              <w:rPr>
                <w:rFonts w:ascii="Arial" w:cs="Arial" w:eastAsia="Arial" w:hAnsi="Arial"/>
                <w:b/>
                <w:bCs/>
                <w:color w:val="1F2937"/>
                <w:sz w:val="21"/>
                <w:szCs w:val="21"/>
              </w:rPr>
              <w:t xml:space="preserve">A 0.003 R² gap (RF vs. GB here) is noise until proven otherwise</w:t>
            </w:r>
          </w:p>
          <w:p>
            <w:pPr>
              <w:spacing w:after="60"/>
            </w:pPr>
            <w:r>
              <w:rPr>
                <w:rFonts w:ascii="Arial" w:cs="Arial" w:eastAsia="Arial" w:hAnsi="Arial"/>
                <w:color w:val="1F2937"/>
                <w:sz w:val="21"/>
                <w:szCs w:val="21"/>
              </w:rPr>
              <w:t xml:space="preserve">Random Forest scored R²=0.815 and Gradient Boosting scored 0.818 on this test split — that's a difference of three thousandths, well within the run-to-run variance you'd see from a different random_state or a different train/test split. Don't let a leaderboard-style ranking ("GB beat RF!") drive a model choice on a gap this small; re-run with a few different splits or cross-validation folds before concluding one architecture is actually better than the other on this problem. The XGBoost gap (0.850 vs. 0.815) is large enough to trust without that extra step — know which gaps need statistical scrutiny and which don't.</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2410C" w:sz="4"/>
              <w:left w:val="single" w:color="C2410C" w:sz="4"/>
              <w:bottom w:val="single" w:color="C2410C" w:sz="4"/>
              <w:right w:val="single" w:color="C2410C" w:sz="4"/>
            </w:tcBorders>
            <w:shd w:fill="FFEDD5" w:color="auto" w:val="clear"/>
            <w:tcMar>
              <w:top w:type="dxa" w:w="150"/>
              <w:left w:type="dxa" w:w="250"/>
              <w:bottom w:type="dxa" w:w="150"/>
              <w:right w:type="dxa" w:w="250"/>
            </w:tcMar>
          </w:tcPr>
          <w:p>
            <w:pPr>
              <w:spacing w:after="80"/>
            </w:pPr>
            <w:r>
              <w:rPr>
                <w:rFonts w:ascii="Arial" w:cs="Arial" w:eastAsia="Arial" w:hAnsi="Arial"/>
                <w:b/>
                <w:bCs/>
                <w:color w:val="C2410C"/>
                <w:sz w:val="19"/>
                <w:szCs w:val="19"/>
              </w:rPr>
              <w:t xml:space="preserve">● MODERATE</w:t>
            </w:r>
          </w:p>
          <w:p>
            <w:pPr>
              <w:spacing w:after="80"/>
            </w:pPr>
            <w:r>
              <w:rPr>
                <w:rFonts w:ascii="Arial" w:cs="Arial" w:eastAsia="Arial" w:hAnsi="Arial"/>
                <w:b/>
                <w:bCs/>
                <w:color w:val="1F2937"/>
                <w:sz w:val="21"/>
                <w:szCs w:val="21"/>
              </w:rPr>
              <w:t xml:space="preserve">'FROM python:3.12-slim-trixie' pins the base image tag, but not the packages installed on top of it</w:t>
            </w:r>
          </w:p>
          <w:p>
            <w:pPr>
              <w:spacing w:after="60"/>
            </w:pPr>
            <w:r>
              <w:rPr>
                <w:rFonts w:ascii="Arial" w:cs="Arial" w:eastAsia="Arial" w:hAnsi="Arial"/>
                <w:color w:val="1F2937"/>
                <w:sz w:val="21"/>
                <w:szCs w:val="21"/>
              </w:rPr>
              <w:t xml:space="preserve">The Dockerfile in these notes correctly pins a specific slim base image, which is good practice — but apt-get update &amp;&amp; apt-get install without version pins on curl/ca-certificates, and a uv installer pulled from a 'latest' URL, both mean the image built today is not guaranteed to be byte-identical to the image built from the same Dockerfile next month. For a serving image tied to a specific model version, pin package versions in the Dockerfile itself (or vendor the installer script) — 'latest' anything inside a Dockerfile quietly reintroduces the environment-drift problem Docker exists to solve.</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0F766E" w:sz="4"/>
              <w:left w:val="single" w:color="0F766E" w:sz="4"/>
              <w:bottom w:val="single" w:color="0F766E" w:sz="4"/>
              <w:right w:val="single" w:color="0F766E" w:sz="4"/>
            </w:tcBorders>
            <w:shd w:fill="CCFBF1" w:color="auto" w:val="clear"/>
            <w:tcMar>
              <w:top w:type="dxa" w:w="150"/>
              <w:left w:type="dxa" w:w="250"/>
              <w:bottom w:type="dxa" w:w="150"/>
              <w:right w:type="dxa" w:w="250"/>
            </w:tcMar>
          </w:tcPr>
          <w:p>
            <w:pPr>
              <w:spacing w:after="80"/>
            </w:pPr>
            <w:r>
              <w:rPr>
                <w:rFonts w:ascii="Arial" w:cs="Arial" w:eastAsia="Arial" w:hAnsi="Arial"/>
                <w:b/>
                <w:bCs/>
                <w:color w:val="0F766E"/>
                <w:sz w:val="19"/>
                <w:szCs w:val="19"/>
              </w:rPr>
              <w:t xml:space="preserve">● LOW</w:t>
            </w:r>
          </w:p>
          <w:p>
            <w:pPr>
              <w:spacing w:after="80"/>
            </w:pPr>
            <w:r>
              <w:rPr>
                <w:rFonts w:ascii="Arial" w:cs="Arial" w:eastAsia="Arial" w:hAnsi="Arial"/>
                <w:b/>
                <w:bCs/>
                <w:color w:val="1F2937"/>
                <w:sz w:val="21"/>
                <w:szCs w:val="21"/>
              </w:rPr>
              <w:t xml:space="preserve">gamma=0 (min gain to split) in this XGBoost config means pruning is happening entirely post-hoc</w:t>
            </w:r>
          </w:p>
          <w:p>
            <w:pPr>
              <w:spacing w:after="60"/>
            </w:pPr>
            <w:r>
              <w:rPr>
                <w:rFonts w:ascii="Arial" w:cs="Arial" w:eastAsia="Arial" w:hAnsi="Arial"/>
                <w:color w:val="1F2937"/>
                <w:sz w:val="21"/>
                <w:szCs w:val="21"/>
              </w:rPr>
              <w:t xml:space="preserve">With γ left at its default of 0, XGBoost will accept any split with positive gain and rely on max_depth plus its automatic post-pruning pass to control tree size, rather than refusing low-value splits up front. That's a reasonable default for a first pass, but on noisier data than this session's California Housing example, a non-zero γ is often the more direct lever for controlling overfitting than tightening max_depth further — worth testing explicitly rather than assuming max_depth alone is doing all the regularization work.</w:t>
            </w:r>
          </w:p>
        </w:tc>
      </w:tr>
    </w:tbl>
    <w:p>
      <w:pPr>
        <w:spacing w:after="120" w:before="250"/>
      </w:pPr>
      <w:r>
        <w:rPr>
          <w:rFonts w:ascii="Arial" w:cs="Arial" w:eastAsia="Arial" w:hAnsi="Arial"/>
          <w:b/>
          <w:bCs/>
          <w:color w:val="1A3560"/>
          <w:sz w:val="25"/>
          <w:szCs w:val="25"/>
        </w:rPr>
        <w:t xml:space="preserve">Quick-Glance Checklist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5350"/>
      </w:tblGrid>
      <w:tr>
        <w:trPr>
          <w:tblHeader/>
        </w:trPr>
        <w:tc>
          <w:tcPr>
            <w:tcW w:type="dxa" w:w="5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w:t>
            </w:r>
          </w:p>
        </w:tc>
        <w:tc>
          <w:tcPr>
            <w:tcW w:type="dxa" w:w="46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Check</w:t>
            </w:r>
          </w:p>
        </w:tc>
        <w:tc>
          <w:tcPr>
            <w:tcW w:type="dxa" w:w="53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Why it matters</w:t>
            </w:r>
          </w:p>
        </w:tc>
      </w:tr>
      <w:tr>
        <w:tc>
          <w:tcPr>
            <w:tcW w:type="dxa" w:w="5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c>
          <w:tcPr>
            <w:tcW w:type="dxa" w:w="46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Is boosting training time attributed correctly (sequential dependency, not just core count)?</w:t>
            </w:r>
          </w:p>
        </w:tc>
        <w:tc>
          <w:tcPr>
            <w:tcW w:type="dxa" w:w="53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Explains why GB/XGBoost don't scale with parallelism the way Random Forest does</w:t>
            </w:r>
          </w:p>
        </w:tc>
      </w:tr>
      <w:tr>
        <w:tc>
          <w:tcPr>
            <w:tcW w:type="dxa" w:w="5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w:t>
            </w:r>
          </w:p>
        </w:tc>
        <w:tc>
          <w:tcPr>
            <w:tcW w:type="dxa" w:w="46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Are learning_rate and n_estimators tuned together, not independently?</w:t>
            </w:r>
          </w:p>
        </w:tc>
        <w:tc>
          <w:tcPr>
            <w:tcW w:type="dxa" w:w="53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A lower learning rate silently undertrains the model unless estimators increase to match</w:t>
            </w:r>
          </w:p>
        </w:tc>
      </w:tr>
      <w:tr>
        <w:tc>
          <w:tcPr>
            <w:tcW w:type="dxa" w:w="5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w:t>
            </w:r>
          </w:p>
        </w:tc>
        <w:tc>
          <w:tcPr>
            <w:tcW w:type="dxa" w:w="46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Is random_state pinned on every subsampling model before results are compared or shipped?</w:t>
            </w:r>
          </w:p>
        </w:tc>
        <w:tc>
          <w:tcPr>
            <w:tcW w:type="dxa" w:w="53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subsample/colsample_bytree randomness makes 'identical' runs diverge without it</w:t>
            </w:r>
          </w:p>
        </w:tc>
      </w:tr>
      <w:tr>
        <w:tc>
          <w:tcPr>
            <w:tcW w:type="dxa" w:w="5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4</w:t>
            </w:r>
          </w:p>
        </w:tc>
        <w:tc>
          <w:tcPr>
            <w:tcW w:type="dxa" w:w="46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Is a small metric gap between two models (e.g. &lt;0.01 R²) treated as noise until re-validated?</w:t>
            </w:r>
          </w:p>
        </w:tc>
        <w:tc>
          <w:tcPr>
            <w:tcW w:type="dxa" w:w="53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Prevents picking a 'winning' architecture on a difference that's within normal run-to-run variance</w:t>
            </w:r>
          </w:p>
        </w:tc>
      </w:tr>
      <w:tr>
        <w:tc>
          <w:tcPr>
            <w:tcW w:type="dxa" w:w="5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5</w:t>
            </w:r>
          </w:p>
        </w:tc>
        <w:tc>
          <w:tcPr>
            <w:tcW w:type="dxa" w:w="46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Are Dockerfile package installs pinned, not just the base image tag?</w:t>
            </w:r>
          </w:p>
        </w:tc>
        <w:tc>
          <w:tcPr>
            <w:tcW w:type="dxa" w:w="53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Unpinned apt-get/installer calls reintroduce the environment-drift problem Docker is meant to solve</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2026-07-23T05:30:46.172Z</dcterms:created>
  <dcterms:modified xsi:type="dcterms:W3CDTF">2026-07-23T05:30:46.187Z</dcterms:modified>
</cp:coreProperties>
</file>

<file path=docProps/custom.xml><?xml version="1.0" encoding="utf-8"?>
<Properties xmlns="http://schemas.openxmlformats.org/officeDocument/2006/custom-properties" xmlns:vt="http://schemas.openxmlformats.org/officeDocument/2006/docPropsVTypes"/>
</file>