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p>
    <w:bookmarkStart w:id="20" w:name="Xadb9af89d9fe9cb6a1e7f5949d9b00451bb30b4"/>
    <w:p>
      <w:pPr>
        <w:pStyle w:val="Heading1"/>
      </w:pPr>
      <w:r>
        <w:t xml:space="preserve">BCHH-C Practice Paper 2 — Answer Key &amp; Explanations</w:t>
      </w:r>
    </w:p>
    <w:p>
      <w:pPr>
        <w:pStyle w:val="FirstParagraph"/>
      </w:pPr>
      <w:r>
        <w:rPr>
          <w:iCs/>
          <w:i/>
        </w:rPr>
        <w:t xml:space="preserve">Answers reference the ICD-10-CM Official Guidelines for Coding and Reporting, the OASIS Guidance Manual, and Medicare Home Health Conditions of Participation (42 CFR 484). Verify individual code characters against your current-year code book.</w:t>
      </w:r>
    </w:p>
    <w:p>
      <w:r>
        <w:pict>
          <v:rect style="width:0;height:1.5pt" o:hralign="center" o:hrstd="t" o:hr="t"/>
        </w:pict>
      </w:r>
    </w:p>
    <w:p>
      <w:pPr>
        <w:pStyle w:val="FirstParagraph"/>
      </w:pPr>
      <w:r>
        <w:rPr>
          <w:bCs/>
          <w:b/>
        </w:rPr>
        <w:t xml:space="preserve">Q1. — B) I13.0, I50.23, E11.22, N18.30</w:t>
      </w:r>
      <w:r>
        <w:t xml:space="preserve"> </w:t>
      </w:r>
      <w:r>
        <w:t xml:space="preserve">HTN + heart failure + CKD are all present, so the three-way combination I13.0 applies (CKD stages 1–4), followed by the specific heart failure code (acute on chronic systolic = I50.23), the diabetic CKD code E11.22 (physician linked), and the CKD stage N18.30. The heart failure and CKD codes are required</w:t>
      </w:r>
      <w:r>
        <w:t xml:space="preserve"> </w:t>
      </w:r>
      <w:r>
        <w:t xml:space="preserve">“</w:t>
      </w:r>
      <w:r>
        <w:t xml:space="preserve">use additional</w:t>
      </w:r>
      <w:r>
        <w:t xml:space="preserve">”</w:t>
      </w:r>
      <w:r>
        <w:t xml:space="preserve"> </w:t>
      </w:r>
      <w:r>
        <w:t xml:space="preserve">codes under I13.0.</w:t>
      </w:r>
    </w:p>
    <w:p>
      <w:pPr>
        <w:pStyle w:val="BodyText"/>
      </w:pPr>
      <w:r>
        <w:rPr>
          <w:bCs/>
          <w:b/>
        </w:rPr>
        <w:t xml:space="preserve">Q2. — A) M86.171, B95.61, J44.9, F17.210, Z45.2, Z79.2</w:t>
      </w:r>
      <w:r>
        <w:t xml:space="preserve"> </w:t>
      </w:r>
      <w:r>
        <w:t xml:space="preserve">The condition being treated (osteomyelitis) is primary — not the device Z-codes. MSSA as the causal organism of a localized infection is B95.61 (B95.62 is MRSA; A41.01 would be MSSA sepsis, not documented). Current smoker = F17.210, not history Z87.891. Z45.2 (attention to vascular access device) and Z79.2 (long-term antibiotics) follow.</w:t>
      </w:r>
    </w:p>
    <w:p>
      <w:pPr>
        <w:pStyle w:val="BodyText"/>
      </w:pPr>
      <w:r>
        <w:rPr>
          <w:bCs/>
          <w:b/>
        </w:rPr>
        <w:t xml:space="preserve">Q3. — A) Z48.3, C50.912, Z90.12</w:t>
      </w:r>
      <w:r>
        <w:t xml:space="preserve"> </w:t>
      </w:r>
      <w:r>
        <w:t xml:space="preserve">Uncomplicated surgical aftercare following neoplasm surgery = Z48.3 primary. The cancer is still coded as current (C50.912) because treatment (chemo) is planned/ongoing — not Z85.3. Acquired absence of the left breast = Z90.12.</w:t>
      </w:r>
    </w:p>
    <w:p>
      <w:pPr>
        <w:pStyle w:val="BodyText"/>
      </w:pPr>
      <w:r>
        <w:rPr>
          <w:bCs/>
          <w:b/>
        </w:rPr>
        <w:t xml:space="preserve">Q4. — B) M80.051D, I10, Z91.81</w:t>
      </w:r>
      <w:r>
        <w:t xml:space="preserve"> </w:t>
      </w:r>
      <w:r>
        <w:t xml:space="preserve">A fracture from a minimal-force event that the physician attributes to osteoporosis is a pathologic fracture: M80.051- (age-related osteoporosis with current pathological fracture, right femur). M81.0 is NOT added — the M80 combination code includes the osteoporosis. 7th character D for routine healing aftercare.</w:t>
      </w:r>
    </w:p>
    <w:p>
      <w:pPr>
        <w:pStyle w:val="BodyText"/>
      </w:pPr>
      <w:r>
        <w:rPr>
          <w:bCs/>
          <w:b/>
        </w:rPr>
        <w:t xml:space="preserve">Q5. — B) D — subsequent encounter</w:t>
      </w:r>
      <w:r>
        <w:t xml:space="preserve"> </w:t>
      </w:r>
      <w:r>
        <w:t xml:space="preserve">Once the patient has received active treatment (the ORIF) and is now in the routine healing/recovery phase, 7th character D applies.</w:t>
      </w:r>
      <w:r>
        <w:t xml:space="preserve"> </w:t>
      </w:r>
      <w:r>
        <w:t xml:space="preserve">“</w:t>
      </w:r>
      <w:r>
        <w:t xml:space="preserve">A</w:t>
      </w:r>
      <w:r>
        <w:t xml:space="preserve">”</w:t>
      </w:r>
      <w:r>
        <w:t xml:space="preserve"> </w:t>
      </w:r>
      <w:r>
        <w:t xml:space="preserve">is for active treatment of the acute injury; wound checks and PT during healing are subsequent care.</w:t>
      </w:r>
    </w:p>
    <w:p>
      <w:pPr>
        <w:pStyle w:val="BodyText"/>
      </w:pPr>
      <w:r>
        <w:rPr>
          <w:bCs/>
          <w:b/>
        </w:rPr>
        <w:t xml:space="preserve">Q6. — A) E11.622, L97.422</w:t>
      </w:r>
      <w:r>
        <w:t xml:space="preserve"> </w:t>
      </w:r>
      <w:r>
        <w:t xml:space="preserve">Diabetic skin ulcer = E11.622 (other skin ulcer), sequenced first per the</w:t>
      </w:r>
      <w:r>
        <w:t xml:space="preserve"> </w:t>
      </w:r>
      <w:r>
        <w:t xml:space="preserve">“</w:t>
      </w:r>
      <w:r>
        <w:t xml:space="preserve">use additional code</w:t>
      </w:r>
      <w:r>
        <w:t xml:space="preserve">”</w:t>
      </w:r>
      <w:r>
        <w:t xml:space="preserve"> </w:t>
      </w:r>
      <w:r>
        <w:t xml:space="preserve">note, then the site/severity code: left heel with fat layer exposed = L97.422.</w:t>
      </w:r>
    </w:p>
    <w:p>
      <w:pPr>
        <w:pStyle w:val="BodyText"/>
      </w:pPr>
      <w:r>
        <w:rPr>
          <w:bCs/>
          <w:b/>
        </w:rPr>
        <w:t xml:space="preserve">Q7. — B) L89.153, L89.612</w:t>
      </w:r>
      <w:r>
        <w:t xml:space="preserve"> </w:t>
      </w:r>
      <w:r>
        <w:t xml:space="preserve">Sacrum stage 3 = L89.153; right heel stage 2 = L89.612. Each pressure ulcer gets its own combination site+stage code.</w:t>
      </w:r>
    </w:p>
    <w:p>
      <w:pPr>
        <w:pStyle w:val="BodyText"/>
      </w:pPr>
      <w:r>
        <w:rPr>
          <w:bCs/>
          <w:b/>
        </w:rPr>
        <w:t xml:space="preserve">Q8. — B) N39.0, B96.20</w:t>
      </w:r>
      <w:r>
        <w:t xml:space="preserve"> </w:t>
      </w:r>
      <w:r>
        <w:t xml:space="preserve">Sepsis resolved before discharge is not coded in home health — code only what is still being treated: the UTI (N39.0) with E. coli organism code B96.20.</w:t>
      </w:r>
    </w:p>
    <w:p>
      <w:pPr>
        <w:pStyle w:val="BodyText"/>
      </w:pPr>
      <w:r>
        <w:rPr>
          <w:bCs/>
          <w:b/>
        </w:rPr>
        <w:t xml:space="preserve">Q9. — C) A04.71, Z79.2</w:t>
      </w:r>
      <w:r>
        <w:t xml:space="preserve"> </w:t>
      </w:r>
      <w:r>
        <w:t xml:space="preserve">Recurrent C. difficile enterocolitis = A04.71 (A04.72 is</w:t>
      </w:r>
      <w:r>
        <w:t xml:space="preserve"> </w:t>
      </w:r>
      <w:r>
        <w:t xml:space="preserve">“</w:t>
      </w:r>
      <w:r>
        <w:t xml:space="preserve">not specified as recurrent</w:t>
      </w:r>
      <w:r>
        <w:t xml:space="preserve">”</w:t>
      </w:r>
      <w:r>
        <w:t xml:space="preserve">). Resolved AKI is not coded. Z79.2 for the long-term antibiotic course.</w:t>
      </w:r>
    </w:p>
    <w:p>
      <w:pPr>
        <w:pStyle w:val="BodyText"/>
      </w:pPr>
      <w:r>
        <w:rPr>
          <w:bCs/>
          <w:b/>
        </w:rPr>
        <w:t xml:space="preserve">Q10. — B) Z48.812, I25.10, Z95.1</w:t>
      </w:r>
      <w:r>
        <w:t xml:space="preserve"> </w:t>
      </w:r>
      <w:r>
        <w:t xml:space="preserve">Uncomplicated aftercare following circulatory system surgery (Z48.812) is primary; CAD (I25.10) remains a current chronic condition; Z95.1 reports the bypass graft status.</w:t>
      </w:r>
    </w:p>
    <w:p>
      <w:pPr>
        <w:pStyle w:val="BodyText"/>
      </w:pPr>
      <w:r>
        <w:rPr>
          <w:bCs/>
          <w:b/>
        </w:rPr>
        <w:t xml:space="preserve">Q11. — A) I69.352, I69.320</w:t>
      </w:r>
      <w:r>
        <w:t xml:space="preserve"> </w:t>
      </w:r>
      <w:r>
        <w:t xml:space="preserve">Left-handed patient with left-sided hemiplegia = dominant side affected → I69.352 (hemiplegia following cerebral infarction affecting left dominant side). Aphasia following cerebral infarction = I69.320. I69 codes, not G81/R47, because the deficits are documented late effects of the CVA.</w:t>
      </w:r>
    </w:p>
    <w:p>
      <w:pPr>
        <w:pStyle w:val="BodyText"/>
      </w:pPr>
      <w:r>
        <w:rPr>
          <w:bCs/>
          <w:b/>
        </w:rPr>
        <w:t xml:space="preserve">Q12. — B) Non-dominant side — I69.354</w:t>
      </w:r>
      <w:r>
        <w:t xml:space="preserve"> </w:t>
      </w:r>
      <w:r>
        <w:t xml:space="preserve">Default rules: if right-handed, the left side is non-dominant; if left-handed, the right side is non-dominant; for ambidextrous patients the default is dominant.</w:t>
      </w:r>
    </w:p>
    <w:p>
      <w:pPr>
        <w:pStyle w:val="BodyText"/>
      </w:pPr>
      <w:r>
        <w:rPr>
          <w:bCs/>
          <w:b/>
        </w:rPr>
        <w:t xml:space="preserve">Q13. — B) I69.391, R13.12</w:t>
      </w:r>
      <w:r>
        <w:t xml:space="preserve"> </w:t>
      </w:r>
      <w:r>
        <w:t xml:space="preserve">Dysphagia following cerebral infarction (I69.391) is sequenced first, with an additional code identifying the phase — oropharyngeal = R13.12 — per the</w:t>
      </w:r>
      <w:r>
        <w:t xml:space="preserve"> </w:t>
      </w:r>
      <w:r>
        <w:t xml:space="preserve">“</w:t>
      </w:r>
      <w:r>
        <w:t xml:space="preserve">use additional code</w:t>
      </w:r>
      <w:r>
        <w:t xml:space="preserve">”</w:t>
      </w:r>
      <w:r>
        <w:t xml:space="preserve"> </w:t>
      </w:r>
      <w:r>
        <w:t xml:space="preserve">note at I69.391.</w:t>
      </w:r>
    </w:p>
    <w:p>
      <w:pPr>
        <w:pStyle w:val="BodyText"/>
      </w:pPr>
      <w:r>
        <w:rPr>
          <w:bCs/>
          <w:b/>
        </w:rPr>
        <w:t xml:space="preserve">Q14. — B) Code I11.0 and I50.9</w:t>
      </w:r>
      <w:r>
        <w:t xml:space="preserve"> </w:t>
      </w:r>
      <w:r>
        <w:t xml:space="preserve">The classification presumes a causal relationship between hypertension and heart failure (the</w:t>
      </w:r>
      <w:r>
        <w:t xml:space="preserve"> </w:t>
      </w:r>
      <w:r>
        <w:t xml:space="preserve">“</w:t>
      </w:r>
      <w:r>
        <w:t xml:space="preserve">with</w:t>
      </w:r>
      <w:r>
        <w:t xml:space="preserve">”</w:t>
      </w:r>
      <w:r>
        <w:t xml:space="preserve"> </w:t>
      </w:r>
      <w:r>
        <w:t xml:space="preserve">convention); they are coded as related (I11.0 + I50.9) unless the provider explicitly documents they are unrelated.</w:t>
      </w:r>
    </w:p>
    <w:p>
      <w:pPr>
        <w:pStyle w:val="BodyText"/>
      </w:pPr>
      <w:r>
        <w:rPr>
          <w:bCs/>
          <w:b/>
        </w:rPr>
        <w:t xml:space="preserve">Q15. — B) I12.9, N18.31</w:t>
      </w:r>
      <w:r>
        <w:t xml:space="preserve"> </w:t>
      </w:r>
      <w:r>
        <w:t xml:space="preserve">HTN and CKD are presumed related: I12.9 (hypertensive CKD, stage 1–4 or unspecified) plus N18.31 for the stage.</w:t>
      </w:r>
    </w:p>
    <w:p>
      <w:pPr>
        <w:pStyle w:val="BodyText"/>
      </w:pPr>
      <w:r>
        <w:rPr>
          <w:bCs/>
          <w:b/>
        </w:rPr>
        <w:t xml:space="preserve">Q16. — C) I13.0, I50.9, N18.4</w:t>
      </w:r>
      <w:r>
        <w:t xml:space="preserve"> </w:t>
      </w:r>
      <w:r>
        <w:t xml:space="preserve">All three conditions → hypertensive heart AND CKD combination. CKD stage 4 keeps it at I13.0 (I13.2 requires CKD 5/ESRD). Use additional codes for the heart failure type and CKD stage.</w:t>
      </w:r>
    </w:p>
    <w:p>
      <w:pPr>
        <w:pStyle w:val="BodyText"/>
      </w:pPr>
      <w:r>
        <w:rPr>
          <w:bCs/>
          <w:b/>
        </w:rPr>
        <w:t xml:space="preserve">Q17. — B) I13.2, I50.32, N18.6, Z99.2</w:t>
      </w:r>
      <w:r>
        <w:t xml:space="preserve"> </w:t>
      </w:r>
      <w:r>
        <w:t xml:space="preserve">ESRD moves the combination to I13.2; then the specific heart failure (chronic diastolic = I50.32), N18.6 for ESRD, and Z99.2 for dialysis dependence.</w:t>
      </w:r>
    </w:p>
    <w:p>
      <w:pPr>
        <w:pStyle w:val="BodyText"/>
      </w:pPr>
      <w:r>
        <w:rPr>
          <w:bCs/>
          <w:b/>
        </w:rPr>
        <w:t xml:space="preserve">Q18. — B) N18.5, D63.1</w:t>
      </w:r>
      <w:r>
        <w:t xml:space="preserve"> </w:t>
      </w:r>
      <w:r>
        <w:t xml:space="preserve">D63.1 (anemia in CKD) carries a</w:t>
      </w:r>
      <w:r>
        <w:t xml:space="preserve"> </w:t>
      </w:r>
      <w:r>
        <w:t xml:space="preserve">“</w:t>
      </w:r>
      <w:r>
        <w:t xml:space="preserve">code first</w:t>
      </w:r>
      <w:r>
        <w:t xml:space="preserve">”</w:t>
      </w:r>
      <w:r>
        <w:t xml:space="preserve"> </w:t>
      </w:r>
      <w:r>
        <w:t xml:space="preserve">instruction — the CKD is sequenced before the anemia.</w:t>
      </w:r>
    </w:p>
    <w:p>
      <w:pPr>
        <w:pStyle w:val="BodyText"/>
      </w:pPr>
      <w:r>
        <w:rPr>
          <w:bCs/>
          <w:b/>
        </w:rPr>
        <w:t xml:space="preserve">Q19. — A) D64.81, T45.1X5D, C18.9</w:t>
      </w:r>
      <w:r>
        <w:t xml:space="preserve"> </w:t>
      </w:r>
      <w:r>
        <w:t xml:space="preserve">Anemia due to an adverse effect of chemotherapy: the anemia (D64.81, anemia due to antineoplastic chemotherapy) is sequenced first when it is the reason for the encounter, followed by the adverse-effect T-code (T45.1X5-) and the neoplasm. (Contrast with anemia OF neoplastic disease, D63.0, where the neoplasm is coded first.)</w:t>
      </w:r>
    </w:p>
    <w:p>
      <w:pPr>
        <w:pStyle w:val="BodyText"/>
      </w:pPr>
      <w:r>
        <w:rPr>
          <w:bCs/>
          <w:b/>
        </w:rPr>
        <w:t xml:space="preserve">Q20. — B) C25.9, D63.0</w:t>
      </w:r>
      <w:r>
        <w:t xml:space="preserve"> </w:t>
      </w:r>
      <w:r>
        <w:t xml:space="preserve">“</w:t>
      </w:r>
      <w:r>
        <w:t xml:space="preserve">Anemia in neoplastic disease</w:t>
      </w:r>
      <w:r>
        <w:t xml:space="preserve">”</w:t>
      </w:r>
      <w:r>
        <w:t xml:space="preserve"> </w:t>
      </w:r>
      <w:r>
        <w:t xml:space="preserve">(D63.0) has a</w:t>
      </w:r>
      <w:r>
        <w:t xml:space="preserve"> </w:t>
      </w:r>
      <w:r>
        <w:t xml:space="preserve">“</w:t>
      </w:r>
      <w:r>
        <w:t xml:space="preserve">code first neoplasm</w:t>
      </w:r>
      <w:r>
        <w:t xml:space="preserve">”</w:t>
      </w:r>
      <w:r>
        <w:t xml:space="preserve"> </w:t>
      </w:r>
      <w:r>
        <w:t xml:space="preserve">note — the malignancy is sequenced first even when the encounter is for the anemia.</w:t>
      </w:r>
    </w:p>
    <w:p>
      <w:pPr>
        <w:pStyle w:val="BodyText"/>
      </w:pPr>
      <w:r>
        <w:rPr>
          <w:bCs/>
          <w:b/>
        </w:rPr>
        <w:t xml:space="preserve">Q21. — C) T87.43, B95.62</w:t>
      </w:r>
      <w:r>
        <w:t xml:space="preserve"> </w:t>
      </w:r>
      <w:r>
        <w:t xml:space="preserve">Infection of amputation stump, right lower extremity = T87.43; MRSA as causal organism = B95.62 (B95.61 is MSSA).</w:t>
      </w:r>
    </w:p>
    <w:p>
      <w:pPr>
        <w:pStyle w:val="BodyText"/>
      </w:pPr>
      <w:r>
        <w:rPr>
          <w:bCs/>
          <w:b/>
        </w:rPr>
        <w:t xml:space="preserve">Q22. — B) T81.31XA</w:t>
      </w:r>
      <w:r>
        <w:t xml:space="preserve"> </w:t>
      </w:r>
      <w:r>
        <w:t xml:space="preserve">A dehisced wound receiving active wound care (debridement/VAC-level treatment) is a surgical complication coded with T81.31X- and 7th character A while active treatment continues — not routine aftercare (Z48.815), which is only for uncomplicated recovery.</w:t>
      </w:r>
    </w:p>
    <w:p>
      <w:pPr>
        <w:pStyle w:val="BodyText"/>
      </w:pPr>
      <w:r>
        <w:rPr>
          <w:bCs/>
          <w:b/>
        </w:rPr>
        <w:t xml:space="preserve">Q23. — B) L27.0, T36.0X5D</w:t>
      </w:r>
      <w:r>
        <w:t xml:space="preserve"> </w:t>
      </w:r>
      <w:r>
        <w:t xml:space="preserve">Adverse effect of a correctly administered drug: code the manifestation first (L27.0, generalized skin eruption due to drugs taken internally), then the adverse-effect code T36.0X5- (penicillins, adverse effect). 5th/6th character</w:t>
      </w:r>
      <w:r>
        <w:t xml:space="preserve"> </w:t>
      </w:r>
      <w:r>
        <w:t xml:space="preserve">“</w:t>
      </w:r>
      <w:r>
        <w:t xml:space="preserve">5</w:t>
      </w:r>
      <w:r>
        <w:t xml:space="preserve">”</w:t>
      </w:r>
      <w:r>
        <w:t xml:space="preserve"> </w:t>
      </w:r>
      <w:r>
        <w:t xml:space="preserve">= adverse effect;</w:t>
      </w:r>
      <w:r>
        <w:t xml:space="preserve"> </w:t>
      </w:r>
      <w:r>
        <w:t xml:space="preserve">“</w:t>
      </w:r>
      <w:r>
        <w:t xml:space="preserve">1</w:t>
      </w:r>
      <w:r>
        <w:t xml:space="preserve">”</w:t>
      </w:r>
      <w:r>
        <w:t xml:space="preserve"> </w:t>
      </w:r>
      <w:r>
        <w:t xml:space="preserve">would be accidental poisoning.</w:t>
      </w:r>
    </w:p>
    <w:p>
      <w:pPr>
        <w:pStyle w:val="BodyText"/>
      </w:pPr>
      <w:r>
        <w:rPr>
          <w:bCs/>
          <w:b/>
        </w:rPr>
        <w:t xml:space="preserve">Q24. — B) Poisoning, accidental — T46.0X1D first</w:t>
      </w:r>
      <w:r>
        <w:t xml:space="preserve"> </w:t>
      </w:r>
      <w:r>
        <w:t xml:space="preserve">Taking the wrong dose in error is a poisoning, not an adverse effect. Poisoning codes are sequenced FIRST, followed by the manifestations (bradycardia).</w:t>
      </w:r>
    </w:p>
    <w:p>
      <w:pPr>
        <w:pStyle w:val="BodyText"/>
      </w:pPr>
      <w:r>
        <w:rPr>
          <w:bCs/>
          <w:b/>
        </w:rPr>
        <w:t xml:space="preserve">Q25. — B) T50.1X6D and Z91.120</w:t>
      </w:r>
      <w:r>
        <w:t xml:space="preserve"> </w:t>
      </w:r>
      <w:r>
        <w:t xml:space="preserve">Underdosing: T-code with 6th character</w:t>
      </w:r>
      <w:r>
        <w:t xml:space="preserve"> </w:t>
      </w:r>
      <w:r>
        <w:t xml:space="preserve">“</w:t>
      </w:r>
      <w:r>
        <w:t xml:space="preserve">6</w:t>
      </w:r>
      <w:r>
        <w:t xml:space="preserve">”</w:t>
      </w:r>
      <w:r>
        <w:t xml:space="preserve"> </w:t>
      </w:r>
      <w:r>
        <w:t xml:space="preserve">(underdosing of loop diuretics = T50.1X6-), which is never primary — the exacerbated condition is coded first — plus Z91.120 (intentional underdosing due to financial hardship).</w:t>
      </w:r>
    </w:p>
    <w:p>
      <w:pPr>
        <w:pStyle w:val="BodyText"/>
      </w:pPr>
      <w:r>
        <w:rPr>
          <w:bCs/>
          <w:b/>
        </w:rPr>
        <w:t xml:space="preserve">Q26. — A) S81.801D, W11.XXXD</w:t>
      </w:r>
      <w:r>
        <w:t xml:space="preserve"> </w:t>
      </w:r>
      <w:r>
        <w:t xml:space="preserve">Subsequent encounter (routine dressing changes during healing) → 7th character D on both the laceration and the fall-from-ladder external cause code. Y92 place-of-occurrence codes are reported only at the initial encounter, so Y92.017 is not repeated in home health.</w:t>
      </w:r>
    </w:p>
    <w:p>
      <w:pPr>
        <w:pStyle w:val="BodyText"/>
      </w:pPr>
      <w:r>
        <w:rPr>
          <w:bCs/>
          <w:b/>
        </w:rPr>
        <w:t xml:space="preserve">Q27. — B) T23.301A, T24.231A — highest degree first</w:t>
      </w:r>
      <w:r>
        <w:t xml:space="preserve"> </w:t>
      </w:r>
      <w:r>
        <w:t xml:space="preserve">When multiple burns are present, sequence the highest-severity burn first (third-degree hand before second-degree forearm). 7th character A applies while the burns are receiving active wound care. (Option letters list the principle; the second-degree right forearm burn is T22.211A.)</w:t>
      </w:r>
    </w:p>
    <w:p>
      <w:pPr>
        <w:pStyle w:val="BodyText"/>
      </w:pPr>
      <w:r>
        <w:rPr>
          <w:bCs/>
          <w:b/>
        </w:rPr>
        <w:t xml:space="preserve">Q28. — B) Corrosion</w:t>
      </w:r>
      <w:r>
        <w:t xml:space="preserve"> </w:t>
      </w:r>
      <w:r>
        <w:t xml:space="preserve">Chemical-caused tissue damage is classified as a corrosion; the burn/corrosion distinction is built into the T20–T25 codes (corrosion codes are separate subcategories), and the same sequencing rules apply.</w:t>
      </w:r>
    </w:p>
    <w:p>
      <w:pPr>
        <w:pStyle w:val="BodyText"/>
      </w:pPr>
      <w:r>
        <w:rPr>
          <w:bCs/>
          <w:b/>
        </w:rPr>
        <w:t xml:space="preserve">Q29. — B) Assign E66.01 and Z68.41</w:t>
      </w:r>
      <w:r>
        <w:t xml:space="preserve"> </w:t>
      </w:r>
      <w:r>
        <w:t xml:space="preserve">BMI (Z68.-) may be coded from documentation by clinicians who are not the patient’s provider (nurse, dietitian), but only when an associated reportable diagnosis (obesity) is documented by the provider. BMI 42.5 = Z68.41.</w:t>
      </w:r>
    </w:p>
    <w:p>
      <w:pPr>
        <w:pStyle w:val="BodyText"/>
      </w:pPr>
      <w:r>
        <w:rPr>
          <w:bCs/>
          <w:b/>
        </w:rPr>
        <w:t xml:space="preserve">Q30. — A) E43, Z43.1</w:t>
      </w:r>
      <w:r>
        <w:t xml:space="preserve"> </w:t>
      </w:r>
      <w:r>
        <w:t xml:space="preserve">Severe protein-calorie malnutrition (unspecified severity pattern) = E43. Attention to gastrostomy for the new PEG feedings = Z43.1; there is no gastrostomy complication documented (ruling out K94.2-).</w:t>
      </w:r>
    </w:p>
    <w:p>
      <w:pPr>
        <w:pStyle w:val="BodyText"/>
      </w:pPr>
      <w:r>
        <w:rPr>
          <w:bCs/>
          <w:b/>
        </w:rPr>
        <w:t xml:space="preserve">Q31. — B) G30.9, F02.80</w:t>
      </w:r>
      <w:r>
        <w:t xml:space="preserve"> </w:t>
      </w:r>
      <w:r>
        <w:t xml:space="preserve">Etiology/manifestation pair: code first the Alzheimer’s disease (G30.9), then dementia in diseases classified elsewhere without behavioral disturbance (F02.80). F03.90 is only for dementia without a stated cause.</w:t>
      </w:r>
    </w:p>
    <w:p>
      <w:pPr>
        <w:pStyle w:val="BodyText"/>
      </w:pPr>
      <w:r>
        <w:rPr>
          <w:bCs/>
          <w:b/>
        </w:rPr>
        <w:t xml:space="preserve">Q32. — A) G35, N31.9, Z46.6</w:t>
      </w:r>
      <w:r>
        <w:t xml:space="preserve"> </w:t>
      </w:r>
      <w:r>
        <w:t xml:space="preserve">MS is the underlying condition and focus of therapy; neurogenic bladder N31.9, and Z46.6 for encounter for attention/changing of the urinary device.</w:t>
      </w:r>
    </w:p>
    <w:p>
      <w:pPr>
        <w:pStyle w:val="BodyText"/>
      </w:pPr>
      <w:r>
        <w:rPr>
          <w:bCs/>
          <w:b/>
        </w:rPr>
        <w:t xml:space="preserve">Q33. — C) Z86.69</w:t>
      </w:r>
      <w:r>
        <w:t xml:space="preserve"> </w:t>
      </w:r>
      <w:r>
        <w:t xml:space="preserve">A resolved, non-recurring seizure with no current treatment is history — not active epilepsy (G40.-) and not a current symptom (R56.9). Personal history of nervous system disease = Z86.69.</w:t>
      </w:r>
    </w:p>
    <w:p>
      <w:pPr>
        <w:pStyle w:val="BodyText"/>
      </w:pPr>
      <w:r>
        <w:rPr>
          <w:bCs/>
          <w:b/>
        </w:rPr>
        <w:t xml:space="preserve">Q34. — B) J44.0, J18.9</w:t>
      </w:r>
      <w:r>
        <w:t xml:space="preserve"> </w:t>
      </w:r>
      <w:r>
        <w:t xml:space="preserve">COPD with a lower respiratory infection uses the combination J44.0 (</w:t>
      </w:r>
      <w:r>
        <w:t xml:space="preserve">“</w:t>
      </w:r>
      <w:r>
        <w:t xml:space="preserve">COPD with acute lower respiratory infection</w:t>
      </w:r>
      <w:r>
        <w:t xml:space="preserve">”</w:t>
      </w:r>
      <w:r>
        <w:t xml:space="preserve">) sequenced with an additional code for the infection (J18.9). J44.1 is only added when an acute exacerbation is also documented.</w:t>
      </w:r>
    </w:p>
    <w:p>
      <w:pPr>
        <w:pStyle w:val="BodyText"/>
      </w:pPr>
      <w:r>
        <w:rPr>
          <w:bCs/>
          <w:b/>
        </w:rPr>
        <w:t xml:space="preserve">Q35. — A) J44.0, J15.1, J44.1</w:t>
      </w:r>
      <w:r>
        <w:t xml:space="preserve"> </w:t>
      </w:r>
      <w:r>
        <w:t xml:space="preserve">Both events documented: J44.0 (COPD with lower respiratory infection) + the pneumonia organism code (Pseudomonas = J15.1) + J44.1 (COPD with acute exacerbation). All three may be reported together per the guidelines.</w:t>
      </w:r>
    </w:p>
    <w:p>
      <w:pPr>
        <w:pStyle w:val="BodyText"/>
      </w:pPr>
      <w:r>
        <w:rPr>
          <w:bCs/>
          <w:b/>
        </w:rPr>
        <w:t xml:space="preserve">Q36. — C) J44.9, J45.30</w:t>
      </w:r>
      <w:r>
        <w:t xml:space="preserve"> </w:t>
      </w:r>
      <w:r>
        <w:t xml:space="preserve">When asthma and COPD are both documented, code both — the COPD code plus the code for the specific type of asthma (mild persistent = J45.30).</w:t>
      </w:r>
    </w:p>
    <w:p>
      <w:pPr>
        <w:pStyle w:val="BodyText"/>
      </w:pPr>
      <w:r>
        <w:rPr>
          <w:bCs/>
          <w:b/>
        </w:rPr>
        <w:t xml:space="preserve">Q37. — B) J47.1</w:t>
      </w:r>
      <w:r>
        <w:t xml:space="preserve"> </w:t>
      </w:r>
      <w:r>
        <w:t xml:space="preserve">Bronchiectasis with acute exacerbation = J47.1. J47.0 is bronchiectasis with acute lower respiratory infection; J47.9 is uncomplicated.</w:t>
      </w:r>
    </w:p>
    <w:p>
      <w:pPr>
        <w:pStyle w:val="BodyText"/>
      </w:pPr>
      <w:r>
        <w:rPr>
          <w:bCs/>
          <w:b/>
        </w:rPr>
        <w:t xml:space="preserve">Q38. — B) J96.11, Z99.81</w:t>
      </w:r>
      <w:r>
        <w:t xml:space="preserve"> </w:t>
      </w:r>
      <w:r>
        <w:t xml:space="preserve">Chronic respiratory failure with hypoxia = J96.11; dependence on supplemental oxygen = Z99.81.</w:t>
      </w:r>
    </w:p>
    <w:p>
      <w:pPr>
        <w:pStyle w:val="BodyText"/>
      </w:pPr>
      <w:r>
        <w:rPr>
          <w:bCs/>
          <w:b/>
        </w:rPr>
        <w:t xml:space="preserve">Q39. — B) Z99.11</w:t>
      </w:r>
      <w:r>
        <w:t xml:space="preserve"> </w:t>
      </w:r>
      <w:r>
        <w:t xml:space="preserve">Ventilator dependence = Z99.11. Z99.81 is supplemental oxygen only; Z43.0/Z93.0 address the tracheostomy, not the ventilator.</w:t>
      </w:r>
    </w:p>
    <w:p>
      <w:pPr>
        <w:pStyle w:val="BodyText"/>
      </w:pPr>
      <w:r>
        <w:rPr>
          <w:bCs/>
          <w:b/>
        </w:rPr>
        <w:t xml:space="preserve">Q40. — B) Z43.0</w:t>
      </w:r>
      <w:r>
        <w:t xml:space="preserve"> </w:t>
      </w:r>
      <w:r>
        <w:t xml:space="preserve">The encounter is FOR care/teaching of the tracheostomy → attention code Z43.0. Z93.0 (status) is used only when the trach is incidental to the reason for care; no complication is documented.</w:t>
      </w:r>
    </w:p>
    <w:p>
      <w:pPr>
        <w:pStyle w:val="BodyText"/>
      </w:pPr>
      <w:r>
        <w:rPr>
          <w:bCs/>
          <w:b/>
        </w:rPr>
        <w:t xml:space="preserve">Q41. — B) K94.22, L03.311, B95.61, E11.9</w:t>
      </w:r>
      <w:r>
        <w:t xml:space="preserve"> </w:t>
      </w:r>
      <w:r>
        <w:t xml:space="preserve">An infected gastrostomy is a gastrostomy complication: K94.22 (gastrostomy infection) with</w:t>
      </w:r>
      <w:r>
        <w:t xml:space="preserve"> </w:t>
      </w:r>
      <w:r>
        <w:t xml:space="preserve">“</w:t>
      </w:r>
      <w:r>
        <w:t xml:space="preserve">use additional</w:t>
      </w:r>
      <w:r>
        <w:t xml:space="preserve">”</w:t>
      </w:r>
      <w:r>
        <w:t xml:space="preserve"> </w:t>
      </w:r>
      <w:r>
        <w:t xml:space="preserve">codes for the cellulitis (abdominal wall = L03.311) and organism (MSSA = B95.61). K94.29 is for other complications like excoriation, not infection.</w:t>
      </w:r>
    </w:p>
    <w:p>
      <w:pPr>
        <w:pStyle w:val="BodyText"/>
      </w:pPr>
      <w:r>
        <w:rPr>
          <w:bCs/>
          <w:b/>
        </w:rPr>
        <w:t xml:space="preserve">Q42. — B) Z93.3</w:t>
      </w:r>
      <w:r>
        <w:t xml:space="preserve"> </w:t>
      </w:r>
      <w:r>
        <w:t xml:space="preserve">A well-functioning, self-managed ostomy that is not the focus of care is reported with the status code Z93.3 — not attention (Z43.3) and not a complication.</w:t>
      </w:r>
    </w:p>
    <w:p>
      <w:pPr>
        <w:pStyle w:val="BodyText"/>
      </w:pPr>
      <w:r>
        <w:rPr>
          <w:bCs/>
          <w:b/>
        </w:rPr>
        <w:t xml:space="preserve">Q43. — B) T83.511A, N39.0, B96.20, Z46.6</w:t>
      </w:r>
      <w:r>
        <w:t xml:space="preserve"> </w:t>
      </w:r>
      <w:r>
        <w:t xml:space="preserve">A catheter-associated UTI is a device complication: T83.511- (infection due to indwelling urethral catheter) sequenced first with 7th character A while the infection is actively treated, then the UTI and organism, then Z46.6 for the catheter care.</w:t>
      </w:r>
    </w:p>
    <w:p>
      <w:pPr>
        <w:pStyle w:val="BodyText"/>
      </w:pPr>
      <w:r>
        <w:rPr>
          <w:bCs/>
          <w:b/>
        </w:rPr>
        <w:t xml:space="preserve">Q44. — A) Z47.1, Z96.641</w:t>
      </w:r>
      <w:r>
        <w:t xml:space="preserve"> </w:t>
      </w:r>
      <w:r>
        <w:t xml:space="preserve">Uncomplicated joint replacement aftercare = Z47.1 primary, plus the joint presence code Z96.641 (right artificial hip). The osteoarthritis is NOT coded — it was resolved by removal/replacement of the joint.</w:t>
      </w:r>
    </w:p>
    <w:p>
      <w:pPr>
        <w:pStyle w:val="BodyText"/>
      </w:pPr>
      <w:r>
        <w:rPr>
          <w:bCs/>
          <w:b/>
        </w:rPr>
        <w:t xml:space="preserve">Q45. — B)</w:t>
      </w:r>
      <w:r>
        <w:t xml:space="preserve"> </w:t>
      </w:r>
      <w:r>
        <w:t xml:space="preserve">Aftercare Z-codes are for uncomplicated recovery; when the encounter treats a documented prosthetic complication (T84.- infection, mechanical loosening, etc.), the complication code is assigned instead of Z47.1.</w:t>
      </w:r>
    </w:p>
    <w:p>
      <w:pPr>
        <w:pStyle w:val="BodyText"/>
      </w:pPr>
      <w:r>
        <w:rPr>
          <w:bCs/>
          <w:b/>
        </w:rPr>
        <w:t xml:space="preserve">Q46. — B) I69.354</w:t>
      </w:r>
      <w:r>
        <w:t xml:space="preserve"> </w:t>
      </w:r>
      <w:r>
        <w:t xml:space="preserve">Right-hand-dominant with left-sided residual weakness = non-dominant side → I69.354. Documented late effect of CVA takes the I69 category, not G81.</w:t>
      </w:r>
    </w:p>
    <w:p>
      <w:pPr>
        <w:pStyle w:val="BodyText"/>
      </w:pPr>
      <w:r>
        <w:rPr>
          <w:bCs/>
          <w:b/>
        </w:rPr>
        <w:t xml:space="preserve">Q47. — B) Dominant</w:t>
      </w:r>
      <w:r>
        <w:t xml:space="preserve"> </w:t>
      </w:r>
      <w:r>
        <w:t xml:space="preserve">Per the ICD-10-CM guideline defaults: ambidextrous patients default to dominant.</w:t>
      </w:r>
    </w:p>
    <w:p>
      <w:pPr>
        <w:pStyle w:val="BodyText"/>
      </w:pPr>
      <w:r>
        <w:rPr>
          <w:bCs/>
          <w:b/>
        </w:rPr>
        <w:t xml:space="preserve">Q48. — B) Z85.3</w:t>
      </w:r>
      <w:r>
        <w:t xml:space="preserve"> </w:t>
      </w:r>
      <w:r>
        <w:t xml:space="preserve">Primary breast malignancy previously excised, no further treatment, no recurrence → personal history code Z85.3.</w:t>
      </w:r>
    </w:p>
    <w:p>
      <w:pPr>
        <w:pStyle w:val="BodyText"/>
      </w:pPr>
      <w:r>
        <w:rPr>
          <w:bCs/>
          <w:b/>
        </w:rPr>
        <w:t xml:space="preserve">Q49. — B) C79.51, Z85.46</w:t>
      </w:r>
      <w:r>
        <w:t xml:space="preserve"> </w:t>
      </w:r>
      <w:r>
        <w:t xml:space="preserve">Treatment is directed at the secondary site only: the metastasis (C79.51) is coded as current, and the eradicated primary becomes history — Z85.46 (personal history of prostate cancer).</w:t>
      </w:r>
    </w:p>
    <w:p>
      <w:pPr>
        <w:pStyle w:val="BodyText"/>
      </w:pPr>
      <w:r>
        <w:rPr>
          <w:bCs/>
          <w:b/>
        </w:rPr>
        <w:t xml:space="preserve">Q50. — B) Z51.11</w:t>
      </w:r>
      <w:r>
        <w:t xml:space="preserve"> </w:t>
      </w:r>
      <w:r>
        <w:t xml:space="preserve">When the encounter is solely for administration of antineoplastic chemotherapy, Z51.11 is sequenced first, followed by the malignancy.</w:t>
      </w:r>
    </w:p>
    <w:p>
      <w:pPr>
        <w:pStyle w:val="BodyText"/>
      </w:pPr>
      <w:r>
        <w:rPr>
          <w:bCs/>
          <w:b/>
        </w:rPr>
        <w:t xml:space="preserve">Q51. — B) Z21</w:t>
      </w:r>
      <w:r>
        <w:t xml:space="preserve"> </w:t>
      </w:r>
      <w:r>
        <w:t xml:space="preserve">Asymptomatic HIV-positive status with no history of HIV-related illness = Z21. Once any HIV-related condition has ever been documented, B20 is used permanently instead.</w:t>
      </w:r>
    </w:p>
    <w:p>
      <w:pPr>
        <w:pStyle w:val="BodyText"/>
      </w:pPr>
      <w:r>
        <w:rPr>
          <w:bCs/>
          <w:b/>
        </w:rPr>
        <w:t xml:space="preserve">Q52. — B) Underlying infection first, then R65.21, plus organ dysfunction codes</w:t>
      </w:r>
      <w:r>
        <w:t xml:space="preserve"> </w:t>
      </w:r>
      <w:r>
        <w:t xml:space="preserve">Severe sepsis structure: systemic infection code (e.g., A41.-) first, then R65.21 (severe sepsis with septic shock), then codes for the associated organ dysfunction.</w:t>
      </w:r>
    </w:p>
    <w:p>
      <w:pPr>
        <w:pStyle w:val="BodyText"/>
      </w:pPr>
      <w:r>
        <w:rPr>
          <w:bCs/>
          <w:b/>
        </w:rPr>
        <w:t xml:space="preserve">Q53. — A) M06.9, Z79.899</w:t>
      </w:r>
      <w:r>
        <w:t xml:space="preserve"> </w:t>
      </w:r>
      <w:r>
        <w:t xml:space="preserve">Rheumatoid arthritis without documented rheumatoid factor detail defaults to M06.9 (other RA). Long-term methotrexate is captured with Z79.899 (other long-term drug therapy).</w:t>
      </w:r>
    </w:p>
    <w:p>
      <w:pPr>
        <w:pStyle w:val="BodyText"/>
      </w:pPr>
      <w:r>
        <w:rPr>
          <w:bCs/>
          <w:b/>
        </w:rPr>
        <w:t xml:space="preserve">Q54. — B) G</w:t>
      </w:r>
      <w:r>
        <w:t xml:space="preserve"> </w:t>
      </w:r>
      <w:r>
        <w:t xml:space="preserve">Delayed healing/delayed union of a fracture = 7th character G (subsequent encounter for fracture with delayed healing).</w:t>
      </w:r>
    </w:p>
    <w:p>
      <w:pPr>
        <w:pStyle w:val="BodyText"/>
      </w:pPr>
      <w:r>
        <w:rPr>
          <w:bCs/>
          <w:b/>
        </w:rPr>
        <w:t xml:space="preserve">Q55. — C) K</w:t>
      </w:r>
      <w:r>
        <w:t xml:space="preserve"> </w:t>
      </w:r>
      <w:r>
        <w:t xml:space="preserve">Documented nonunion = 7th character K.</w:t>
      </w:r>
    </w:p>
    <w:p>
      <w:pPr>
        <w:pStyle w:val="BodyText"/>
      </w:pPr>
      <w:r>
        <w:rPr>
          <w:bCs/>
          <w:b/>
        </w:rPr>
        <w:t xml:space="preserve">Q56. — B) E10.- without Z79.4</w:t>
      </w:r>
      <w:r>
        <w:t xml:space="preserve"> </w:t>
      </w:r>
      <w:r>
        <w:t xml:space="preserve">For type 1 diabetes, insulin use is intrinsic to the condition, so Z79.4 is not assigned. Z79.4 is used for type 2 (or secondary) diabetes managed with insulin.</w:t>
      </w:r>
    </w:p>
    <w:p>
      <w:pPr>
        <w:pStyle w:val="BodyText"/>
      </w:pPr>
      <w:r>
        <w:rPr>
          <w:bCs/>
          <w:b/>
        </w:rPr>
        <w:t xml:space="preserve">Q57. — B) Code the pneumonia only</w:t>
      </w:r>
      <w:r>
        <w:t xml:space="preserve"> </w:t>
      </w:r>
      <w:r>
        <w:t xml:space="preserve">Signs and symptoms that are integral to a confirmed diagnosis (fever, cough, SOB with pneumonia) are not coded separately.</w:t>
      </w:r>
    </w:p>
    <w:p>
      <w:pPr>
        <w:pStyle w:val="BodyText"/>
      </w:pPr>
      <w:r>
        <w:rPr>
          <w:bCs/>
          <w:b/>
        </w:rPr>
        <w:t xml:space="preserve">Q58. — B) Etiology first, then manifestation</w:t>
      </w:r>
      <w:r>
        <w:t xml:space="preserve"> </w:t>
      </w:r>
      <w:r>
        <w:t xml:space="preserve">The etiology/manifestation convention requires the underlying condition (</w:t>
      </w:r>
      <w:r>
        <w:t xml:space="preserve">“</w:t>
      </w:r>
      <w:r>
        <w:t xml:space="preserve">code first</w:t>
      </w:r>
      <w:r>
        <w:t xml:space="preserve">”</w:t>
      </w:r>
      <w:r>
        <w:t xml:space="preserve">) to be sequenced before the manifestation (</w:t>
      </w:r>
      <w:r>
        <w:t xml:space="preserve">“</w:t>
      </w:r>
      <w:r>
        <w:t xml:space="preserve">in diseases classified elsewhere</w:t>
      </w:r>
      <w:r>
        <w:t xml:space="preserve">”</w:t>
      </w:r>
      <w:r>
        <w:t xml:space="preserve">); manifestation codes are never primary.</w:t>
      </w:r>
    </w:p>
    <w:p>
      <w:pPr>
        <w:pStyle w:val="BodyText"/>
      </w:pPr>
      <w:r>
        <w:rPr>
          <w:bCs/>
          <w:b/>
        </w:rPr>
        <w:t xml:space="preserve">Q59. — B)</w:t>
      </w:r>
      <w:r>
        <w:t xml:space="preserve"> </w:t>
      </w:r>
      <w:r>
        <w:t xml:space="preserve">Excludes1 =</w:t>
      </w:r>
      <w:r>
        <w:t xml:space="preserve"> </w:t>
      </w:r>
      <w:r>
        <w:t xml:space="preserve">“</w:t>
      </w:r>
      <w:r>
        <w:t xml:space="preserve">not coded here</w:t>
      </w:r>
      <w:r>
        <w:t xml:space="preserve">”</w:t>
      </w:r>
      <w:r>
        <w:t xml:space="preserve"> </w:t>
      </w:r>
      <w:r>
        <w:t xml:space="preserve">— the two conditions are mutually exclusive and generally cannot be reported together, with the narrow exception that they may be reported together when the two conditions are documented as unrelated to each other.</w:t>
      </w:r>
    </w:p>
    <w:p>
      <w:pPr>
        <w:pStyle w:val="BodyText"/>
      </w:pPr>
      <w:r>
        <w:rPr>
          <w:bCs/>
          <w:b/>
        </w:rPr>
        <w:t xml:space="preserve">Q60. — A)</w:t>
      </w:r>
      <w:r>
        <w:t xml:space="preserve"> </w:t>
      </w:r>
      <w:r>
        <w:t xml:space="preserve">Excludes2 =</w:t>
      </w:r>
      <w:r>
        <w:t xml:space="preserve"> </w:t>
      </w:r>
      <w:r>
        <w:t xml:space="preserve">“</w:t>
      </w:r>
      <w:r>
        <w:t xml:space="preserve">not included here</w:t>
      </w:r>
      <w:r>
        <w:t xml:space="preserve">”</w:t>
      </w:r>
      <w:r>
        <w:t xml:space="preserve"> </w:t>
      </w:r>
      <w:r>
        <w:t xml:space="preserve">— the excluded condition is separate from the code above, and both codes may be assigned together when the patient has both.</w:t>
      </w:r>
    </w:p>
    <w:p>
      <w:pPr>
        <w:pStyle w:val="BodyText"/>
      </w:pPr>
      <w:r>
        <w:rPr>
          <w:bCs/>
          <w:b/>
        </w:rPr>
        <w:t xml:space="preserve">Q61. — B)</w:t>
      </w:r>
      <w:r>
        <w:t xml:space="preserve"> </w:t>
      </w:r>
      <w:r>
        <w:t xml:space="preserve">NEC means the documentation is specific but the classification lacks a matching specific code, so an</w:t>
      </w:r>
      <w:r>
        <w:t xml:space="preserve"> </w:t>
      </w:r>
      <w:r>
        <w:t xml:space="preserve">“</w:t>
      </w:r>
      <w:r>
        <w:t xml:space="preserve">other specified</w:t>
      </w:r>
      <w:r>
        <w:t xml:space="preserve">”</w:t>
      </w:r>
      <w:r>
        <w:t xml:space="preserve"> </w:t>
      </w:r>
      <w:r>
        <w:t xml:space="preserve">code is assigned. NOS is the reverse — the documentation itself is unspecific.</w:t>
      </w:r>
    </w:p>
    <w:p>
      <w:pPr>
        <w:pStyle w:val="BodyText"/>
      </w:pPr>
      <w:r>
        <w:rPr>
          <w:bCs/>
          <w:b/>
        </w:rPr>
        <w:t xml:space="preserve">Q62. — C) Contact the assessing clinician</w:t>
      </w:r>
      <w:r>
        <w:t xml:space="preserve"> </w:t>
      </w:r>
      <w:r>
        <w:t xml:space="preserve">Home health coders must code to the highest specificity supported by documentation; missing laterality warrants collaboration with the assessing clinician (who may verify with the physician) rather than defaulting or guessing.</w:t>
      </w:r>
    </w:p>
    <w:p>
      <w:pPr>
        <w:pStyle w:val="BodyText"/>
      </w:pPr>
      <w:r>
        <w:rPr>
          <w:bCs/>
          <w:b/>
        </w:rPr>
        <w:t xml:space="preserve">Q63. — B)</w:t>
      </w:r>
      <w:r>
        <w:t xml:space="preserve"> </w:t>
      </w:r>
      <w:r>
        <w:t xml:space="preserve">M1021 is the diagnosis most related to the current home health plan of care — the chief reason skilled services are being provided — which is not necessarily the hospital’s principal diagnosis or the highest-scoring code.</w:t>
      </w:r>
    </w:p>
    <w:p>
      <w:pPr>
        <w:pStyle w:val="BodyText"/>
      </w:pPr>
      <w:r>
        <w:rPr>
          <w:bCs/>
          <w:b/>
        </w:rPr>
        <w:t xml:space="preserve">Q64. — A) One</w:t>
      </w:r>
      <w:r>
        <w:t xml:space="preserve"> </w:t>
      </w:r>
      <w:r>
        <w:t xml:space="preserve">Only one primary diagnosis is reported (M1021); additional pertinent diagnoses are secondary (M1023).</w:t>
      </w:r>
    </w:p>
    <w:p>
      <w:pPr>
        <w:pStyle w:val="BodyText"/>
      </w:pPr>
      <w:r>
        <w:rPr>
          <w:bCs/>
          <w:b/>
        </w:rPr>
        <w:t xml:space="preserve">Q65. — B) An external cause code</w:t>
      </w:r>
      <w:r>
        <w:t xml:space="preserve"> </w:t>
      </w:r>
      <w:r>
        <w:t xml:space="preserve">V-Y external cause codes may never be reported as primary. Aftercare Z-codes and, when no definitive diagnosis exists, symptom codes can be primary; chronic diseases frequently are.</w:t>
      </w:r>
    </w:p>
    <w:p>
      <w:pPr>
        <w:pStyle w:val="BodyText"/>
      </w:pPr>
      <w:r>
        <w:rPr>
          <w:bCs/>
          <w:b/>
        </w:rPr>
        <w:t xml:space="preserve">Q66. — B) The registered nurse</w:t>
      </w:r>
      <w:r>
        <w:t xml:space="preserve"> </w:t>
      </w:r>
      <w:r>
        <w:t xml:space="preserve">Per 42 CFR 484.55, when nursing is ordered, the RN must perform the initial assessment visit and the SOC comprehensive assessment (OASIS).</w:t>
      </w:r>
    </w:p>
    <w:p>
      <w:pPr>
        <w:pStyle w:val="BodyText"/>
      </w:pPr>
      <w:r>
        <w:rPr>
          <w:bCs/>
          <w:b/>
        </w:rPr>
        <w:t xml:space="preserve">Q67. — B) The physical therapist</w:t>
      </w:r>
      <w:r>
        <w:t xml:space="preserve"> </w:t>
      </w:r>
      <w:r>
        <w:t xml:space="preserve">When therapy is the only ordered discipline (therapy-only case), the qualified therapist (PT/SLP/OT per the rules) may perform the initial assessment and SOC OASIS.</w:t>
      </w:r>
    </w:p>
    <w:p>
      <w:pPr>
        <w:pStyle w:val="BodyText"/>
      </w:pPr>
      <w:r>
        <w:rPr>
          <w:bCs/>
          <w:b/>
        </w:rPr>
        <w:t xml:space="preserve">Q68. — B) Within 5 days after the SOC date</w:t>
      </w:r>
      <w:r>
        <w:t xml:space="preserve"> </w:t>
      </w:r>
      <w:r>
        <w:t xml:space="preserve">The SOC comprehensive assessment must be completed within 5 calendar days after the start of care.</w:t>
      </w:r>
    </w:p>
    <w:p>
      <w:pPr>
        <w:pStyle w:val="BodyText"/>
      </w:pPr>
      <w:r>
        <w:rPr>
          <w:bCs/>
          <w:b/>
        </w:rPr>
        <w:t xml:space="preserve">Q69. — A) Days 56–60</w:t>
      </w:r>
      <w:r>
        <w:t xml:space="preserve"> </w:t>
      </w:r>
      <w:r>
        <w:t xml:space="preserve">The recertification assessment must be conducted during the last 5 days of the current 60-day certification period.</w:t>
      </w:r>
    </w:p>
    <w:p>
      <w:pPr>
        <w:pStyle w:val="BodyText"/>
      </w:pPr>
      <w:r>
        <w:rPr>
          <w:bCs/>
          <w:b/>
        </w:rPr>
        <w:t xml:space="preserve">Q70. — B) Contact the assessing clinician</w:t>
      </w:r>
      <w:r>
        <w:t xml:space="preserve"> </w:t>
      </w:r>
      <w:r>
        <w:t xml:space="preserve">Diagnosis changes to a completed OASIS require collaboration with — and approval by — the assessing clinician; the coder cannot unilaterally change clinical content (only technical corrections such as fixing manifestation sequencing are coder-level changes).</w:t>
      </w:r>
    </w:p>
    <w:p>
      <w:pPr>
        <w:pStyle w:val="BodyText"/>
      </w:pPr>
      <w:r>
        <w:rPr>
          <w:bCs/>
          <w:b/>
        </w:rPr>
        <w:t xml:space="preserve">Q71. — B) Stage 4</w:t>
      </w:r>
      <w:r>
        <w:t xml:space="preserve"> </w:t>
      </w:r>
      <w:r>
        <w:t xml:space="preserve">Pressure ulcers are never reverse-staged. A granulating stage 4 remains a stage 4 (healing) until fully closed.</w:t>
      </w:r>
    </w:p>
    <w:p>
      <w:pPr>
        <w:pStyle w:val="BodyText"/>
      </w:pPr>
      <w:r>
        <w:rPr>
          <w:bCs/>
          <w:b/>
        </w:rPr>
        <w:t xml:space="preserve">Q72. — B) Not coded</w:t>
      </w:r>
      <w:r>
        <w:t xml:space="preserve"> </w:t>
      </w:r>
      <w:r>
        <w:t xml:space="preserve">Completely epithelialized/healed pressure ulcers are not assigned an L89 code.</w:t>
      </w:r>
    </w:p>
    <w:p>
      <w:pPr>
        <w:pStyle w:val="BodyText"/>
      </w:pPr>
      <w:r>
        <w:rPr>
          <w:bCs/>
          <w:b/>
        </w:rPr>
        <w:t xml:space="preserve">Q73. — B) L89.150</w:t>
      </w:r>
      <w:r>
        <w:t xml:space="preserve"> </w:t>
      </w:r>
      <w:r>
        <w:t xml:space="preserve">A wound bed obscured by slough/eschar cannot be staged → unstageable, 6th character 0.</w:t>
      </w:r>
      <w:r>
        <w:t xml:space="preserve"> </w:t>
      </w:r>
      <w:r>
        <w:t xml:space="preserve">“</w:t>
      </w:r>
      <w:r>
        <w:t xml:space="preserve">Unspecified</w:t>
      </w:r>
      <w:r>
        <w:t xml:space="preserve">”</w:t>
      </w:r>
      <w:r>
        <w:t xml:space="preserve"> </w:t>
      </w:r>
      <w:r>
        <w:t xml:space="preserve">(9) means the documentation failed to state a stage, which is different from clinically unstageable.</w:t>
      </w:r>
    </w:p>
    <w:p>
      <w:pPr>
        <w:pStyle w:val="BodyText"/>
      </w:pPr>
      <w:r>
        <w:rPr>
          <w:bCs/>
          <w:b/>
        </w:rPr>
        <w:t xml:space="preserve">Q74. — B) L89.616</w:t>
      </w:r>
      <w:r>
        <w:t xml:space="preserve"> </w:t>
      </w:r>
      <w:r>
        <w:t xml:space="preserve">Deep tissue pressure injury (intact skin, deep discoloration) has its own 6th character 6 codes: right heel = L89.616.</w:t>
      </w:r>
    </w:p>
    <w:p>
      <w:pPr>
        <w:pStyle w:val="BodyText"/>
      </w:pPr>
      <w:r>
        <w:rPr>
          <w:bCs/>
          <w:b/>
        </w:rPr>
        <w:t xml:space="preserve">Q75. — B) I83.211, L97.211</w:t>
      </w:r>
      <w:r>
        <w:t xml:space="preserve"> </w:t>
      </w:r>
      <w:r>
        <w:t xml:space="preserve">Venous ulcers require the underlying venous condition to be coded first: varicose veins of the right lower extremity with both ulcer and inflammation = I83.211, then the site/severity code L97.211 (right calf, breakdown of skin).</w:t>
      </w:r>
    </w:p>
    <w:p>
      <w:pPr>
        <w:pStyle w:val="BodyText"/>
      </w:pPr>
      <w:r>
        <w:rPr>
          <w:bCs/>
          <w:b/>
        </w:rPr>
        <w:t xml:space="preserve">Q76. — A) I70.244, L97.522</w:t>
      </w:r>
      <w:r>
        <w:t xml:space="preserve"> </w:t>
      </w:r>
      <w:r>
        <w:t xml:space="preserve">Atherosclerosis of native arteries of the left leg with ulceration of the heel/midfoot = I70.244, coded first, then L97.522 (left heel and midfoot, fat layer exposed).</w:t>
      </w:r>
    </w:p>
    <w:p>
      <w:pPr>
        <w:pStyle w:val="BodyText"/>
      </w:pPr>
      <w:r>
        <w:rPr>
          <w:bCs/>
          <w:b/>
        </w:rPr>
        <w:t xml:space="preserve">Q77. — B) An implanted venous access port</w:t>
      </w:r>
      <w:r>
        <w:t xml:space="preserve"> </w:t>
      </w:r>
      <w:r>
        <w:t xml:space="preserve">Per OASIS guidance, implanted infusion devices/venous access devices are considered surgical wounds while in place. PICC lines (not implanted), chest tubes, and mucosal/eye procedures are not.</w:t>
      </w:r>
    </w:p>
    <w:p>
      <w:pPr>
        <w:pStyle w:val="BodyText"/>
      </w:pPr>
      <w:r>
        <w:rPr>
          <w:bCs/>
          <w:b/>
        </w:rPr>
        <w:t xml:space="preserve">Q78. — C) Surgery to mucosal membranes</w:t>
      </w:r>
      <w:r>
        <w:t xml:space="preserve"> </w:t>
      </w:r>
      <w:r>
        <w:t xml:space="preserve">Mucosal surgical sites (oral, GU, etc.) and cataract surgery are not observable surgical wounds; incisions, orthopedic pin sites, and lap port sites are.</w:t>
      </w:r>
    </w:p>
    <w:p>
      <w:pPr>
        <w:pStyle w:val="BodyText"/>
      </w:pPr>
      <w:r>
        <w:rPr>
          <w:bCs/>
          <w:b/>
        </w:rPr>
        <w:t xml:space="preserve">Q79. — B) E11.22 and N18.30</w:t>
      </w:r>
      <w:r>
        <w:t xml:space="preserve"> </w:t>
      </w:r>
      <w:r>
        <w:t xml:space="preserve">The index term</w:t>
      </w:r>
      <w:r>
        <w:t xml:space="preserve"> </w:t>
      </w:r>
      <w:r>
        <w:t xml:space="preserve">“</w:t>
      </w:r>
      <w:r>
        <w:t xml:space="preserve">with</w:t>
      </w:r>
      <w:r>
        <w:t xml:space="preserve">”</w:t>
      </w:r>
      <w:r>
        <w:t xml:space="preserve"> </w:t>
      </w:r>
      <w:r>
        <w:t xml:space="preserve">presumes a causal relationship between diabetes and CKD unless the provider documents they are unrelated.</w:t>
      </w:r>
    </w:p>
    <w:p>
      <w:pPr>
        <w:pStyle w:val="BodyText"/>
      </w:pPr>
      <w:r>
        <w:rPr>
          <w:bCs/>
          <w:b/>
        </w:rPr>
        <w:t xml:space="preserve">Q80. — B) Presume the link</w:t>
      </w:r>
      <w:r>
        <w:t xml:space="preserve"> </w:t>
      </w:r>
      <w:r>
        <w:t xml:space="preserve">Same</w:t>
      </w:r>
      <w:r>
        <w:t xml:space="preserve"> </w:t>
      </w:r>
      <w:r>
        <w:t xml:space="preserve">“</w:t>
      </w:r>
      <w:r>
        <w:t xml:space="preserve">with</w:t>
      </w:r>
      <w:r>
        <w:t xml:space="preserve">”</w:t>
      </w:r>
      <w:r>
        <w:t xml:space="preserve"> </w:t>
      </w:r>
      <w:r>
        <w:t xml:space="preserve">convention: diabetes with a foot/heel ulcer is presumed diabetic (E11.622 + L97-site code) absent documentation of another cause.</w:t>
      </w:r>
    </w:p>
    <w:p>
      <w:pPr>
        <w:pStyle w:val="BodyText"/>
      </w:pPr>
      <w:r>
        <w:rPr>
          <w:bCs/>
          <w:b/>
        </w:rPr>
        <w:t xml:space="preserve">Q81. — B)</w:t>
      </w:r>
      <w:r>
        <w:t xml:space="preserve"> </w:t>
      </w:r>
      <w:r>
        <w:t xml:space="preserve">The presumption is rebuttable: when the provider attributes the heart failure to another cause, the HF is unlinked from the HTN — code the HTN/CKD combination (I12.-) plus the heart failure and cardiomyopathy separately.</w:t>
      </w:r>
    </w:p>
    <w:p>
      <w:pPr>
        <w:pStyle w:val="BodyText"/>
      </w:pPr>
      <w:r>
        <w:rPr>
          <w:bCs/>
          <w:b/>
        </w:rPr>
        <w:t xml:space="preserve">Q82. — B) I51.81</w:t>
      </w:r>
      <w:r>
        <w:t xml:space="preserve"> </w:t>
      </w:r>
      <w:r>
        <w:t xml:space="preserve">Takotsubo (stress-induced/broken-heart) syndrome = I51.81.</w:t>
      </w:r>
    </w:p>
    <w:p>
      <w:pPr>
        <w:pStyle w:val="BodyText"/>
      </w:pPr>
      <w:r>
        <w:rPr>
          <w:bCs/>
          <w:b/>
        </w:rPr>
        <w:t xml:space="preserve">Q83. — B) I48.19</w:t>
      </w:r>
      <w:r>
        <w:t xml:space="preserve"> </w:t>
      </w:r>
      <w:r>
        <w:t xml:space="preserve">“</w:t>
      </w:r>
      <w:r>
        <w:t xml:space="preserve">Persistent atrial fibrillation</w:t>
      </w:r>
      <w:r>
        <w:t xml:space="preserve">”</w:t>
      </w:r>
      <w:r>
        <w:t xml:space="preserve"> </w:t>
      </w:r>
      <w:r>
        <w:t xml:space="preserve">(not otherwise specified as longstanding) = I48.19, other persistent atrial fibrillation. I48.0 is paroxysmal; I48.20 is chronic/permanent unspecified; I48.91 is unspecified afib.</w:t>
      </w:r>
    </w:p>
    <w:p>
      <w:pPr>
        <w:pStyle w:val="BodyText"/>
      </w:pPr>
      <w:r>
        <w:rPr>
          <w:bCs/>
          <w:b/>
        </w:rPr>
        <w:t xml:space="preserve">Q84. — B) I25.119</w:t>
      </w:r>
      <w:r>
        <w:t xml:space="preserve"> </w:t>
      </w:r>
      <w:r>
        <w:t xml:space="preserve">CAD of native arteries with angina uses the combination code I25.119 (with unspecified angina); the causal relationship is presumed and separate I20 codes are not reported.</w:t>
      </w:r>
    </w:p>
    <w:p>
      <w:pPr>
        <w:pStyle w:val="BodyText"/>
      </w:pPr>
      <w:r>
        <w:rPr>
          <w:bCs/>
          <w:b/>
        </w:rPr>
        <w:t xml:space="preserve">Q85. — C) I25.2</w:t>
      </w:r>
      <w:r>
        <w:t xml:space="preserve"> </w:t>
      </w:r>
      <w:r>
        <w:t xml:space="preserve">An MI older than 4 weeks with no current symptoms = old myocardial infarction, I25.2.</w:t>
      </w:r>
    </w:p>
    <w:p>
      <w:pPr>
        <w:pStyle w:val="BodyText"/>
      </w:pPr>
      <w:r>
        <w:rPr>
          <w:bCs/>
          <w:b/>
        </w:rPr>
        <w:t xml:space="preserve">Q86. — B) I22.- with I21.-</w:t>
      </w:r>
      <w:r>
        <w:t xml:space="preserve"> </w:t>
      </w:r>
      <w:r>
        <w:t xml:space="preserve">A new acute MI occurring within 4 weeks of a prior acute MI is a subsequent MI: assign the I22.- code in conjunction with the I21.- code of the initial infarction.</w:t>
      </w:r>
    </w:p>
    <w:p>
      <w:pPr>
        <w:pStyle w:val="BodyText"/>
      </w:pPr>
      <w:r>
        <w:rPr>
          <w:bCs/>
          <w:b/>
        </w:rPr>
        <w:t xml:space="preserve">Q87. — B) K21.00</w:t>
      </w:r>
      <w:r>
        <w:t xml:space="preserve"> </w:t>
      </w:r>
      <w:r>
        <w:t xml:space="preserve">GERD with esophagitis, without bleeding = K21.00. K21.9 is without esophagitis; K21.01 is with bleeding.</w:t>
      </w:r>
    </w:p>
    <w:p>
      <w:pPr>
        <w:pStyle w:val="BodyText"/>
      </w:pPr>
      <w:r>
        <w:rPr>
          <w:bCs/>
          <w:b/>
        </w:rPr>
        <w:t xml:space="preserve">Q88. — A) L02.415, L03.115, B95.61</w:t>
      </w:r>
      <w:r>
        <w:t xml:space="preserve"> </w:t>
      </w:r>
      <w:r>
        <w:t xml:space="preserve">Abscess and cellulitis are separate conditions — code both (right lower limb abscess L02.415 and cellulitis L03.115) plus the organism; MSSA = B95.61.</w:t>
      </w:r>
    </w:p>
    <w:p>
      <w:pPr>
        <w:pStyle w:val="BodyText"/>
      </w:pPr>
      <w:r>
        <w:rPr>
          <w:bCs/>
          <w:b/>
        </w:rPr>
        <w:t xml:space="preserve">Q89. — C)</w:t>
      </w:r>
      <w:r>
        <w:t xml:space="preserve"> </w:t>
      </w:r>
      <w:r>
        <w:t xml:space="preserve">MSSA sepsis A41.01 / MRSA sepsis A41.02; as the cause of other diseases, MSSA = B95.61 and MRSA = B95.62.</w:t>
      </w:r>
    </w:p>
    <w:p>
      <w:pPr>
        <w:pStyle w:val="BodyText"/>
      </w:pPr>
      <w:r>
        <w:rPr>
          <w:bCs/>
          <w:b/>
        </w:rPr>
        <w:t xml:space="preserve">Q90. — A)</w:t>
      </w:r>
      <w:r>
        <w:t xml:space="preserve"> </w:t>
      </w:r>
      <w:r>
        <w:t xml:space="preserve">Chapter 16 (P00–P96) codes are used for conditions that originate in the perinatal period regardless of the patient’s current age, as long as the condition is still present/being treated.</w:t>
      </w:r>
    </w:p>
    <w:p>
      <w:pPr>
        <w:pStyle w:val="BodyText"/>
      </w:pPr>
      <w:r>
        <w:rPr>
          <w:bCs/>
          <w:b/>
        </w:rPr>
        <w:t xml:space="preserve">Q91. — D) O86.01</w:t>
      </w:r>
      <w:r>
        <w:t xml:space="preserve"> </w:t>
      </w:r>
      <w:r>
        <w:t xml:space="preserve">Complications of the puerperium take Chapter 15 codes over general surgical complication codes: superficial incisional surgical site infection following cesarean = O86.01. (O90.0 is C-section wound disruption/dehiscence; T81.41XA is for non-obstetric wounds.)</w:t>
      </w:r>
    </w:p>
    <w:p>
      <w:pPr>
        <w:pStyle w:val="BodyText"/>
      </w:pPr>
      <w:r>
        <w:rPr>
          <w:bCs/>
          <w:b/>
        </w:rPr>
        <w:t xml:space="preserve">Q92. — A) Z47.81, E11.52, Z89.421</w:t>
      </w:r>
      <w:r>
        <w:t xml:space="preserve"> </w:t>
      </w:r>
      <w:r>
        <w:t xml:space="preserve">Uncomplicated amputation aftercare = Z47.81 primary; the diabetic peripheral angiopathy with gangrene (E11.52) remains a coded current condition; Z89.421 = acquired absence of right foot (partial/transmetatarsal level per documentation).</w:t>
      </w:r>
    </w:p>
    <w:p>
      <w:pPr>
        <w:pStyle w:val="BodyText"/>
      </w:pPr>
      <w:r>
        <w:rPr>
          <w:bCs/>
          <w:b/>
        </w:rPr>
        <w:t xml:space="preserve">Q93. — D) Z48.815, Z43.3</w:t>
      </w:r>
      <w:r>
        <w:t xml:space="preserve"> </w:t>
      </w:r>
      <w:r>
        <w:t xml:space="preserve">The diverticulitis was surgically resolved and is not coded. Aftercare following digestive system surgery (Z48.815) plus attention to the new colostomy (Z43.3).</w:t>
      </w:r>
    </w:p>
    <w:p>
      <w:pPr>
        <w:pStyle w:val="BodyText"/>
      </w:pPr>
      <w:r>
        <w:rPr>
          <w:bCs/>
          <w:b/>
        </w:rPr>
        <w:t xml:space="preserve">Q94. — B) D</w:t>
      </w:r>
      <w:r>
        <w:t xml:space="preserve"> </w:t>
      </w:r>
      <w:r>
        <w:t xml:space="preserve">Routine dressing changes during expected healing = subsequent encounter, 7th character D. Character A is reserved for active treatment of the acute injury phase (ED care, surgical treatment, non-healing/complicated wounds under active treatment).</w:t>
      </w:r>
    </w:p>
    <w:p>
      <w:pPr>
        <w:pStyle w:val="BodyText"/>
      </w:pPr>
      <w:r>
        <w:rPr>
          <w:bCs/>
          <w:b/>
        </w:rPr>
        <w:t xml:space="preserve">Q95. — A) Z51.5</w:t>
      </w:r>
      <w:r>
        <w:t xml:space="preserve"> </w:t>
      </w:r>
      <w:r>
        <w:t xml:space="preserve">Encounter for palliative care = Z51.5, added as a secondary code alongside the terminal/serious condition codes.</w:t>
      </w:r>
    </w:p>
    <w:p>
      <w:pPr>
        <w:pStyle w:val="BodyText"/>
      </w:pPr>
      <w:r>
        <w:rPr>
          <w:bCs/>
          <w:b/>
        </w:rPr>
        <w:t xml:space="preserve">Q96. — C)</w:t>
      </w:r>
      <w:r>
        <w:t xml:space="preserve"> </w:t>
      </w:r>
      <w:r>
        <w:t xml:space="preserve">External cause codes are supplementary — always sequenced after the injury/condition and never primary. They are usable (and encouraged) in home health, but no national mandate requires them.</w:t>
      </w:r>
    </w:p>
    <w:p>
      <w:pPr>
        <w:pStyle w:val="BodyText"/>
      </w:pPr>
      <w:r>
        <w:rPr>
          <w:bCs/>
          <w:b/>
        </w:rPr>
        <w:t xml:space="preserve">Q97. — B)</w:t>
      </w:r>
      <w:r>
        <w:t xml:space="preserve"> </w:t>
      </w:r>
      <w:r>
        <w:t xml:space="preserve">Y92 place-of-occurrence and Y93 activity codes are assigned only once, at the initial encounter for treatment; the external cause code for the mechanism (e.g., the W-code fall) is carried through the treatment episode with the appropriate 7th character.</w:t>
      </w:r>
    </w:p>
    <w:p>
      <w:pPr>
        <w:pStyle w:val="BodyText"/>
      </w:pPr>
      <w:r>
        <w:rPr>
          <w:bCs/>
          <w:b/>
        </w:rPr>
        <w:t xml:space="preserve">Q98. — C) R29.6 and Z91.81</w:t>
      </w:r>
      <w:r>
        <w:t xml:space="preserve"> </w:t>
      </w:r>
      <w:r>
        <w:t xml:space="preserve">Repeated falls (R29.6) captures the current clinical finding; history of falling (Z91.81) captures ongoing fall risk — the guidelines permit both together when both apply.</w:t>
      </w:r>
    </w:p>
    <w:p>
      <w:pPr>
        <w:pStyle w:val="BodyText"/>
      </w:pPr>
      <w:r>
        <w:rPr>
          <w:bCs/>
          <w:b/>
        </w:rPr>
        <w:t xml:space="preserve">Q99. — C) Z86.73</w:t>
      </w:r>
      <w:r>
        <w:t xml:space="preserve"> </w:t>
      </w:r>
      <w:r>
        <w:t xml:space="preserve">A TIA leaves no residual deficits by definition; a past TIA is reported with Z86.73 (personal history of TIA/cerebral infarction without residual deficits).</w:t>
      </w:r>
    </w:p>
    <w:p>
      <w:pPr>
        <w:pStyle w:val="BodyText"/>
      </w:pPr>
      <w:r>
        <w:rPr>
          <w:bCs/>
          <w:b/>
        </w:rPr>
        <w:t xml:space="preserve">Q100. — B) Z51.81, Z79.01, Z86.718</w:t>
      </w:r>
      <w:r>
        <w:t xml:space="preserve"> </w:t>
      </w:r>
      <w:r>
        <w:t xml:space="preserve">Encounter for therapeutic drug monitoring (Z51.81) is the reason for skilled care and is sequenced first, with Z79.01 (long-term anticoagulants) and Z86.718 (history of venous thrombosis) as supporting codes; the resolved DVT is not coded as current.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2026-07-03T07:22:51Z</dcterms:created>
  <dcterms:modified xsi:type="dcterms:W3CDTF">2026-07-03T07:22:51Z</dcterms:modified>
</cp:coreProperties>
</file>

<file path=docProps/custom.xml><?xml version="1.0" encoding="utf-8"?>
<Properties xmlns="http://schemas.openxmlformats.org/officeDocument/2006/custom-properties" xmlns:vt="http://schemas.openxmlformats.org/officeDocument/2006/docPropsVTypes"/>
</file>