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8616c76b302dd47ba6490efe70250fdbadff10"/>
    <w:p>
      <w:pPr>
        <w:pStyle w:val="Heading1"/>
      </w:pPr>
      <w:r>
        <w:t xml:space="preserve">BCHH-C Practice Paper 3 — Answer Key &amp; Explanations</w:t>
      </w:r>
    </w:p>
    <w:p>
      <w:pPr>
        <w:pStyle w:val="FirstParagraph"/>
      </w:pPr>
      <w:r>
        <w:rPr>
          <w:iCs/>
          <w:i/>
        </w:rPr>
        <w:t xml:space="preserve">Answers reference the ICD-10-CM Official Guidelines for Coding and Reporting, the OASIS Guidance Manual, and Medicare Home Health Conditions of Participation (42 CFR 484). Verify individual code characters against your current-year code 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Q1. — A) E11.42, I10, N40.0</w:t>
      </w:r>
      <w:r>
        <w:t xml:space="preserve"> </w:t>
      </w:r>
      <w:r>
        <w:t xml:space="preserve">Type 2 DM with diabetic polyneuropathy = E11.42 (the</w:t>
      </w:r>
      <w:r>
        <w:t xml:space="preserve"> </w:t>
      </w:r>
      <w:r>
        <w:t xml:space="preserve">“</w:t>
      </w:r>
      <w:r>
        <w:t xml:space="preserve">with</w:t>
      </w:r>
      <w:r>
        <w:t xml:space="preserve">”</w:t>
      </w:r>
      <w:r>
        <w:t xml:space="preserve"> </w:t>
      </w:r>
      <w:r>
        <w:t xml:space="preserve">convention presumes the link). I10 = HTN, N40.0 = BPH without obstruction. G63 is a manifestation code but is included in E11.42’s combination code.</w:t>
      </w:r>
    </w:p>
    <w:p>
      <w:pPr>
        <w:pStyle w:val="BodyText"/>
      </w:pPr>
      <w:r>
        <w:rPr>
          <w:bCs/>
          <w:b/>
        </w:rPr>
        <w:t xml:space="preserve">Q2. — A) E11.9</w:t>
      </w:r>
      <w:r>
        <w:t xml:space="preserve"> </w:t>
      </w:r>
      <w:r>
        <w:t xml:space="preserve">Diet-controlled type 2 diabetes is still coded as E11.9 (without complications).</w:t>
      </w:r>
      <w:r>
        <w:t xml:space="preserve"> </w:t>
      </w:r>
      <w:r>
        <w:t xml:space="preserve">“</w:t>
      </w:r>
      <w:r>
        <w:t xml:space="preserve">History of diabetes</w:t>
      </w:r>
      <w:r>
        <w:t xml:space="preserve">”</w:t>
      </w:r>
      <w:r>
        <w:t xml:space="preserve"> </w:t>
      </w:r>
      <w:r>
        <w:t xml:space="preserve">(Z86.39) is only used when the condition truly no longer exists, which is essentially never for type 2 DM.</w:t>
      </w:r>
    </w:p>
    <w:p>
      <w:pPr>
        <w:pStyle w:val="BodyText"/>
      </w:pPr>
      <w:r>
        <w:rPr>
          <w:bCs/>
          <w:b/>
        </w:rPr>
        <w:t xml:space="preserve">Q3. — A) E11.621, L97.511, Z79.4</w:t>
      </w:r>
      <w:r>
        <w:t xml:space="preserve"> </w:t>
      </w:r>
      <w:r>
        <w:t xml:space="preserve">DM type 2 with foot ulcer = E11.621 (right), then L97.511 for site/severity (right great toe, limited to breakdown of skin), plus Z79.4 for long-term insulin in a type 2 diabetic.</w:t>
      </w:r>
    </w:p>
    <w:p>
      <w:pPr>
        <w:pStyle w:val="BodyText"/>
      </w:pPr>
      <w:r>
        <w:rPr>
          <w:bCs/>
          <w:b/>
        </w:rPr>
        <w:t xml:space="preserve">Q4. — B) E10.22, N18.4</w:t>
      </w:r>
      <w:r>
        <w:t xml:space="preserve"> </w:t>
      </w:r>
      <w:r>
        <w:t xml:space="preserve">Type 1 DM with diabetic CKD = E10.22, followed by N18.4 (stage 4). Z79.4 is NOT added for type 1 diabetes — insulin is intrinsic to the disease.</w:t>
      </w:r>
    </w:p>
    <w:p>
      <w:pPr>
        <w:pStyle w:val="BodyText"/>
      </w:pPr>
      <w:r>
        <w:rPr>
          <w:bCs/>
          <w:b/>
        </w:rPr>
        <w:t xml:space="preserve">Q5. — C) Z79.4 and Z96.41</w:t>
      </w:r>
      <w:r>
        <w:t xml:space="preserve"> </w:t>
      </w:r>
      <w:r>
        <w:t xml:space="preserve">Type 2 DM on insulin pump requires both Z79.4 (long-term insulin use) and Z96.41 (presence of insulin pump).</w:t>
      </w:r>
    </w:p>
    <w:p>
      <w:pPr>
        <w:pStyle w:val="BodyText"/>
      </w:pPr>
      <w:r>
        <w:rPr>
          <w:bCs/>
          <w:b/>
        </w:rPr>
        <w:t xml:space="preserve">Q6. — B) Assume a causal relationship and assign I12.9 with N18.3</w:t>
      </w:r>
      <w:r>
        <w:t xml:space="preserve"> </w:t>
      </w:r>
      <w:r>
        <w:t xml:space="preserve">ICD-10-CM presumes a causal relationship between HTN and CKD — the coder does not need explicit provider documentation linking them (guideline I.C.9.a.2).</w:t>
      </w:r>
    </w:p>
    <w:p>
      <w:pPr>
        <w:pStyle w:val="BodyText"/>
      </w:pPr>
      <w:r>
        <w:rPr>
          <w:bCs/>
          <w:b/>
        </w:rPr>
        <w:t xml:space="preserve">Q7. — D) I13.0, I50.9, N18.2</w:t>
      </w:r>
      <w:r>
        <w:t xml:space="preserve"> </w:t>
      </w:r>
      <w:r>
        <w:t xml:space="preserve">When both hypertensive heart disease with HF and hypertensive CKD are present, use I13.- (hypertensive heart and CKD). I13.0 = with HF, CKD stages 1–4. Additional codes for the HF type and CKD stage are required.</w:t>
      </w:r>
    </w:p>
    <w:p>
      <w:pPr>
        <w:pStyle w:val="BodyText"/>
      </w:pPr>
      <w:r>
        <w:rPr>
          <w:bCs/>
          <w:b/>
        </w:rPr>
        <w:t xml:space="preserve">Q8. — B) I50.33</w:t>
      </w:r>
      <w:r>
        <w:t xml:space="preserve"> </w:t>
      </w:r>
      <w:r>
        <w:t xml:space="preserve">Acute on chronic diastolic HF = I50.33. This is the condition SN is ordered for, so it is M1021.</w:t>
      </w:r>
    </w:p>
    <w:p>
      <w:pPr>
        <w:pStyle w:val="BodyText"/>
      </w:pPr>
      <w:r>
        <w:rPr>
          <w:bCs/>
          <w:b/>
        </w:rPr>
        <w:t xml:space="preserve">Q9. — A) I42.6</w:t>
      </w:r>
      <w:r>
        <w:t xml:space="preserve"> </w:t>
      </w:r>
      <w:r>
        <w:t xml:space="preserve">Alcoholic cardiomyopathy has its own specific combination code I42.6. A separate code for the alcoholism is not required because it is included in the code description, though F10.20 may also be coded if independently documented and treated.</w:t>
      </w:r>
    </w:p>
    <w:p>
      <w:pPr>
        <w:pStyle w:val="BodyText"/>
      </w:pPr>
      <w:r>
        <w:rPr>
          <w:bCs/>
          <w:b/>
        </w:rPr>
        <w:t xml:space="preserve">Q10. — A) I25.110</w:t>
      </w:r>
      <w:r>
        <w:t xml:space="preserve"> </w:t>
      </w:r>
      <w:r>
        <w:t xml:space="preserve">CAD of native coronary artery with unstable angina = I25.110. The guideline presumes the causal relationship and a separate I20.0 is not coded.</w:t>
      </w:r>
    </w:p>
    <w:p>
      <w:pPr>
        <w:pStyle w:val="BodyText"/>
      </w:pPr>
      <w:r>
        <w:rPr>
          <w:bCs/>
          <w:b/>
        </w:rPr>
        <w:t xml:space="preserve">Q11. — B) Z48.812</w:t>
      </w:r>
      <w:r>
        <w:t xml:space="preserve"> </w:t>
      </w:r>
      <w:r>
        <w:t xml:space="preserve">Aftercare following heart surgery = Z48.812 as M1021 when the encounter is for routine post-surgical recovery, not active treatment of the CAD.</w:t>
      </w:r>
    </w:p>
    <w:p>
      <w:pPr>
        <w:pStyle w:val="BodyText"/>
      </w:pPr>
      <w:r>
        <w:rPr>
          <w:bCs/>
          <w:b/>
        </w:rPr>
        <w:t xml:space="preserve">Q12. — A) I48.20</w:t>
      </w:r>
      <w:r>
        <w:t xml:space="preserve"> </w:t>
      </w:r>
      <w:r>
        <w:t xml:space="preserve">“</w:t>
      </w:r>
      <w:r>
        <w:t xml:space="preserve">Chronic</w:t>
      </w:r>
      <w:r>
        <w:t xml:space="preserve">”</w:t>
      </w:r>
      <w:r>
        <w:t xml:space="preserve"> </w:t>
      </w:r>
      <w:r>
        <w:t xml:space="preserve">atrial fibrillation is classified as permanent (long-standing, accepted) and maps to I48.20 (chronic/permanent AF, unspecified).</w:t>
      </w:r>
    </w:p>
    <w:p>
      <w:pPr>
        <w:pStyle w:val="BodyText"/>
      </w:pPr>
      <w:r>
        <w:rPr>
          <w:bCs/>
          <w:b/>
        </w:rPr>
        <w:t xml:space="preserve">Q13. — C) I21.01</w:t>
      </w:r>
      <w:r>
        <w:t xml:space="preserve"> </w:t>
      </w:r>
      <w:r>
        <w:t xml:space="preserve">STEMI of anterior wall (LAD) within 4 weeks = I21.01. Active treatment phase continues in home health; the MI code remains current.</w:t>
      </w:r>
    </w:p>
    <w:p>
      <w:pPr>
        <w:pStyle w:val="BodyText"/>
      </w:pPr>
      <w:r>
        <w:rPr>
          <w:bCs/>
          <w:b/>
        </w:rPr>
        <w:t xml:space="preserve">Q14. — B) I25.2</w:t>
      </w:r>
      <w:r>
        <w:t xml:space="preserve"> </w:t>
      </w:r>
      <w:r>
        <w:t xml:space="preserve">A healed MI with no ongoing symptoms beyond 4 weeks = I25.2 (old myocardial infarction). Z86.79 is not the correct code for a prior MI.</w:t>
      </w:r>
    </w:p>
    <w:p>
      <w:pPr>
        <w:pStyle w:val="BodyText"/>
      </w:pPr>
      <w:r>
        <w:rPr>
          <w:bCs/>
          <w:b/>
        </w:rPr>
        <w:t xml:space="preserve">Q15. — A) I82.411, Z79.01</w:t>
      </w:r>
      <w:r>
        <w:t xml:space="preserve"> </w:t>
      </w:r>
      <w:r>
        <w:t xml:space="preserve">Acute DVT of right femoral vein = I82.411. Warfarin = Z79.01 (long-term anticoagulants).</w:t>
      </w:r>
    </w:p>
    <w:p>
      <w:pPr>
        <w:pStyle w:val="BodyText"/>
      </w:pPr>
      <w:r>
        <w:rPr>
          <w:bCs/>
          <w:b/>
        </w:rPr>
        <w:t xml:space="preserve">Q16. — C) Z51.81, Z79.01, Z86.711</w:t>
      </w:r>
      <w:r>
        <w:t xml:space="preserve"> </w:t>
      </w:r>
      <w:r>
        <w:t xml:space="preserve">The PE is resolved — code the encounter for therapeutic drug monitoring (Z51.81) as M1021, with Z79.01 (anticoagulant) and Z86.711 (history of PE).</w:t>
      </w:r>
    </w:p>
    <w:p>
      <w:pPr>
        <w:pStyle w:val="BodyText"/>
      </w:pPr>
      <w:r>
        <w:rPr>
          <w:bCs/>
          <w:b/>
        </w:rPr>
        <w:t xml:space="preserve">Q17. — B) J44.1, F17.210</w:t>
      </w:r>
      <w:r>
        <w:t xml:space="preserve"> </w:t>
      </w:r>
      <w:r>
        <w:t xml:space="preserve">COPD with acute exacerbation = J44.1. Current smoker with tobacco dependence = F17.210. Z87.891 (history of tobacco use) is for FORMER smokers, not current ones.</w:t>
      </w:r>
    </w:p>
    <w:p>
      <w:pPr>
        <w:pStyle w:val="BodyText"/>
      </w:pPr>
      <w:r>
        <w:rPr>
          <w:bCs/>
          <w:b/>
        </w:rPr>
        <w:t xml:space="preserve">Q18. — B) J45.41</w:t>
      </w:r>
      <w:r>
        <w:t xml:space="preserve"> </w:t>
      </w:r>
      <w:r>
        <w:t xml:space="preserve">Moderate persistent asthma with acute exacerbation = J45.41.</w:t>
      </w:r>
    </w:p>
    <w:p>
      <w:pPr>
        <w:pStyle w:val="BodyText"/>
      </w:pPr>
      <w:r>
        <w:rPr>
          <w:bCs/>
          <w:b/>
        </w:rPr>
        <w:t xml:space="preserve">Q19. — A) J96.10, Z99.11</w:t>
      </w:r>
      <w:r>
        <w:t xml:space="preserve"> </w:t>
      </w:r>
      <w:r>
        <w:t xml:space="preserve">Chronic respiratory failure, type unspecified = J96.10. Dependence on respirator/ventilator = Z99.11.</w:t>
      </w:r>
    </w:p>
    <w:p>
      <w:pPr>
        <w:pStyle w:val="BodyText"/>
      </w:pPr>
      <w:r>
        <w:rPr>
          <w:bCs/>
          <w:b/>
        </w:rPr>
        <w:t xml:space="preserve">Q20. — A) J69.0, R13.10, I69.391</w:t>
      </w:r>
      <w:r>
        <w:t xml:space="preserve"> </w:t>
      </w:r>
      <w:r>
        <w:t xml:space="preserve">Aspiration pneumonia = J69.0 primary. Dysphagia (R13.10) and the stroke sequela causing it (I69.391) follow. The aspiration pneumonia is coded with J69.0, not a standard pneumonia code.</w:t>
      </w:r>
    </w:p>
    <w:p>
      <w:pPr>
        <w:pStyle w:val="BodyText"/>
      </w:pPr>
      <w:r>
        <w:rPr>
          <w:bCs/>
          <w:b/>
        </w:rPr>
        <w:t xml:space="preserve">Q21. — A) K21.00, K22.70</w:t>
      </w:r>
      <w:r>
        <w:t xml:space="preserve"> </w:t>
      </w:r>
      <w:r>
        <w:t xml:space="preserve">GERD with Barrett’s without dysplasia are coded separately: K21.00 (GERD with esophagitis, without bleeding) and K22.70 (Barrett’s without dysplasia). These are not mutually exclusive.</w:t>
      </w:r>
    </w:p>
    <w:p>
      <w:pPr>
        <w:pStyle w:val="BodyText"/>
      </w:pPr>
      <w:r>
        <w:rPr>
          <w:bCs/>
          <w:b/>
        </w:rPr>
        <w:t xml:space="preserve">Q22. — B) G12.21</w:t>
      </w:r>
      <w:r>
        <w:t xml:space="preserve"> </w:t>
      </w:r>
      <w:r>
        <w:t xml:space="preserve">The ALS (G12.21) is the underlying reason the patient needs the PEG and home health services — it is M1021. Z43.1 (attention to gastrostomy) is a supporting code, not primary.</w:t>
      </w:r>
    </w:p>
    <w:p>
      <w:pPr>
        <w:pStyle w:val="BodyText"/>
      </w:pPr>
      <w:r>
        <w:rPr>
          <w:bCs/>
          <w:b/>
        </w:rPr>
        <w:t xml:space="preserve">Q23. — A) K50.012</w:t>
      </w:r>
      <w:r>
        <w:t xml:space="preserve"> </w:t>
      </w:r>
      <w:r>
        <w:t xml:space="preserve">Crohn’s disease of small intestine with intestinal obstruction = K50.012. ICD-10-CM provides combination codes for Crohn’s with complications; do not code the obstruction separately.</w:t>
      </w:r>
    </w:p>
    <w:p>
      <w:pPr>
        <w:pStyle w:val="BodyText"/>
      </w:pPr>
      <w:r>
        <w:rPr>
          <w:bCs/>
          <w:b/>
        </w:rPr>
        <w:t xml:space="preserve">Q24. — B) Z43.3, Z93.3, Z85.038</w:t>
      </w:r>
      <w:r>
        <w:t xml:space="preserve"> </w:t>
      </w:r>
      <w:r>
        <w:t xml:space="preserve">Cancer was completely resected — code as history (Z85.038). Encounter is for ostomy care: Z43.3 (attention to colostomy) primary, Z93.3 (colostomy status), and Z85.038 (history of colon cancer).</w:t>
      </w:r>
    </w:p>
    <w:p>
      <w:pPr>
        <w:pStyle w:val="BodyText"/>
      </w:pPr>
      <w:r>
        <w:rPr>
          <w:bCs/>
          <w:b/>
        </w:rPr>
        <w:t xml:space="preserve">Q25. — A) B18.2, K74.60</w:t>
      </w:r>
      <w:r>
        <w:t xml:space="preserve"> </w:t>
      </w:r>
      <w:r>
        <w:t xml:space="preserve">Chronic hepatitis C is coded B18.2, with cirrhosis K74.60 coded additionally per the</w:t>
      </w:r>
      <w:r>
        <w:t xml:space="preserve"> </w:t>
      </w:r>
      <w:r>
        <w:t xml:space="preserve">“</w:t>
      </w:r>
      <w:r>
        <w:t xml:space="preserve">code also</w:t>
      </w:r>
      <w:r>
        <w:t xml:space="preserve">”</w:t>
      </w:r>
      <w:r>
        <w:t xml:space="preserve"> </w:t>
      </w:r>
      <w:r>
        <w:t xml:space="preserve">instruction under B18.2.</w:t>
      </w:r>
    </w:p>
    <w:p>
      <w:pPr>
        <w:pStyle w:val="BodyText"/>
      </w:pPr>
      <w:r>
        <w:rPr>
          <w:bCs/>
          <w:b/>
        </w:rPr>
        <w:t xml:space="preserve">Q26. — C)</w:t>
      </w:r>
      <w:r>
        <w:t xml:space="preserve"> </w:t>
      </w:r>
      <w:r>
        <w:t xml:space="preserve">“</w:t>
      </w:r>
      <w:r>
        <w:t xml:space="preserve">Other specified</w:t>
      </w:r>
      <w:r>
        <w:t xml:space="preserve">”</w:t>
      </w:r>
      <w:r>
        <w:t xml:space="preserve"> </w:t>
      </w:r>
      <w:r>
        <w:t xml:space="preserve">(NEC) means the clinical documentation is specific, but ICD-10-CM does not have a unique code matching that specificity.</w:t>
      </w:r>
    </w:p>
    <w:p>
      <w:pPr>
        <w:pStyle w:val="BodyText"/>
      </w:pPr>
      <w:r>
        <w:rPr>
          <w:bCs/>
          <w:b/>
        </w:rPr>
        <w:t xml:space="preserve">Q27. — B)</w:t>
      </w:r>
      <w:r>
        <w:t xml:space="preserve"> </w:t>
      </w:r>
      <w:r>
        <w:t xml:space="preserve">Excludes1 means the two conditions are mutually exclusive and should not be coded together unless documentation specifically supports they are unrelated.</w:t>
      </w:r>
    </w:p>
    <w:p>
      <w:pPr>
        <w:pStyle w:val="BodyText"/>
      </w:pPr>
      <w:r>
        <w:rPr>
          <w:bCs/>
          <w:b/>
        </w:rPr>
        <w:t xml:space="preserve">Q28. — B)</w:t>
      </w:r>
      <w:r>
        <w:t xml:space="preserve"> </w:t>
      </w:r>
      <w:r>
        <w:t xml:space="preserve">“</w:t>
      </w:r>
      <w:r>
        <w:t xml:space="preserve">Code also</w:t>
      </w:r>
      <w:r>
        <w:t xml:space="preserve">”</w:t>
      </w:r>
      <w:r>
        <w:t xml:space="preserve"> </w:t>
      </w:r>
      <w:r>
        <w:t xml:space="preserve">means an additional code may be needed to fully describe the condition; it is not mandatory but depends on documentation.</w:t>
      </w:r>
    </w:p>
    <w:p>
      <w:pPr>
        <w:pStyle w:val="BodyText"/>
      </w:pPr>
      <w:r>
        <w:rPr>
          <w:bCs/>
          <w:b/>
        </w:rPr>
        <w:t xml:space="preserve">Q29. — B)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code first</w:t>
      </w:r>
      <w:r>
        <w:t xml:space="preserve">”</w:t>
      </w:r>
      <w:r>
        <w:t xml:space="preserve"> </w:t>
      </w:r>
      <w:r>
        <w:t xml:space="preserve">note means the underlying etiology must be sequenced before the manifestation code.</w:t>
      </w:r>
    </w:p>
    <w:p>
      <w:pPr>
        <w:pStyle w:val="BodyText"/>
      </w:pPr>
      <w:r>
        <w:rPr>
          <w:bCs/>
          <w:b/>
        </w:rPr>
        <w:t xml:space="preserve">Q30. — B)</w:t>
      </w:r>
      <w:r>
        <w:t xml:space="preserve"> </w:t>
      </w:r>
      <w:r>
        <w:t xml:space="preserve">7th character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= active phase of treatment, not simply the first visit. In home health,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applies when the patient is still receiving active treatment (e.g., surgical wound care for a complication).</w:t>
      </w:r>
    </w:p>
    <w:p>
      <w:pPr>
        <w:pStyle w:val="BodyText"/>
      </w:pPr>
      <w:r>
        <w:rPr>
          <w:bCs/>
          <w:b/>
        </w:rPr>
        <w:t xml:space="preserve">Q31. — B)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 </w:t>
      </w:r>
      <w:r>
        <w:t xml:space="preserve">= subsequent encounter for routine care during healing/recovery. This is the most common 7th character in home health for healing injuries.</w:t>
      </w:r>
    </w:p>
    <w:p>
      <w:pPr>
        <w:pStyle w:val="BodyText"/>
      </w:pPr>
      <w:r>
        <w:rPr>
          <w:bCs/>
          <w:b/>
        </w:rPr>
        <w:t xml:space="preserve">Q32. — B) D — subsequent encounter</w:t>
      </w:r>
      <w:r>
        <w:t xml:space="preserve"> </w:t>
      </w:r>
      <w:r>
        <w:t xml:space="preserve">The laceration was treated in the ED (initial encounter). HH wound care during normal healing = subsequent encounter.</w:t>
      </w:r>
    </w:p>
    <w:p>
      <w:pPr>
        <w:pStyle w:val="BodyText"/>
      </w:pPr>
      <w:r>
        <w:rPr>
          <w:bCs/>
          <w:b/>
        </w:rPr>
        <w:t xml:space="preserve">Q33. — C)</w:t>
      </w:r>
      <w:r>
        <w:t xml:space="preserve"> </w:t>
      </w:r>
      <w:r>
        <w:t xml:space="preserve">Sequela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 </w:t>
      </w:r>
      <w:r>
        <w:t xml:space="preserve">is used when care is for a residual effect after the acute condition has resolved (e.g., scar, chronic pain from a healed injury).</w:t>
      </w:r>
    </w:p>
    <w:p>
      <w:pPr>
        <w:pStyle w:val="BodyText"/>
      </w:pPr>
      <w:r>
        <w:rPr>
          <w:bCs/>
          <w:b/>
        </w:rPr>
        <w:t xml:space="preserve">Q34. — D) G89.29, S72.001S</w:t>
      </w:r>
      <w:r>
        <w:t xml:space="preserve"> </w:t>
      </w:r>
      <w:r>
        <w:t xml:space="preserve">Chronic pain from a healed fracture = sequela. G89.29 (chronic pain) may be sequenced first when pain management is the focus, followed by S72.001S (hip fracture, sequela).</w:t>
      </w:r>
    </w:p>
    <w:p>
      <w:pPr>
        <w:pStyle w:val="BodyText"/>
      </w:pPr>
      <w:r>
        <w:rPr>
          <w:bCs/>
          <w:b/>
        </w:rPr>
        <w:t xml:space="preserve">Q35. — A) N39.0, B96.20, Z46.6</w:t>
      </w:r>
      <w:r>
        <w:t xml:space="preserve"> </w:t>
      </w:r>
      <w:r>
        <w:t xml:space="preserve">UTI = N39.0, E. coli organism = B96.20. The catheter’s presence is coded with Z46.6 (fitting/adjustment of urinary device) as a relevant status code. T83.511A is used when the catheter CAUSED the infection — the question does not establish that link.</w:t>
      </w:r>
    </w:p>
    <w:p>
      <w:pPr>
        <w:pStyle w:val="BodyText"/>
      </w:pPr>
      <w:r>
        <w:rPr>
          <w:bCs/>
          <w:b/>
        </w:rPr>
        <w:t xml:space="preserve">Q36. — B) K06.8, T45.515A</w:t>
      </w:r>
      <w:r>
        <w:t xml:space="preserve"> </w:t>
      </w:r>
      <w:r>
        <w:t xml:space="preserve">Adverse effect: code the manifestation (K06.8, gum disorder) first, then the adverse effect code (T45.515A — adverse effect of anticoagulants).</w:t>
      </w:r>
    </w:p>
    <w:p>
      <w:pPr>
        <w:pStyle w:val="BodyText"/>
      </w:pPr>
      <w:r>
        <w:rPr>
          <w:bCs/>
          <w:b/>
        </w:rPr>
        <w:t xml:space="preserve">Q37. — A)</w:t>
      </w:r>
      <w:r>
        <w:t xml:space="preserve"> </w:t>
      </w:r>
      <w:r>
        <w:t xml:space="preserve">Adverse effect = medication taken correctly → 5th/6th character</w:t>
      </w:r>
      <w:r>
        <w:t xml:space="preserve"> </w:t>
      </w:r>
      <w:r>
        <w:t xml:space="preserve">“</w:t>
      </w:r>
      <w:r>
        <w:t xml:space="preserve">5.</w:t>
      </w:r>
      <w:r>
        <w:t xml:space="preserve">”</w:t>
      </w:r>
      <w:r>
        <w:t xml:space="preserve"> </w:t>
      </w:r>
      <w:r>
        <w:t xml:space="preserve">Poisoning = wrong medication, wrong dose, or wrong intent → characters 1–4 indicate intent (accidental, intentional, assault, undetermined).</w:t>
      </w:r>
    </w:p>
    <w:p>
      <w:pPr>
        <w:pStyle w:val="BodyText"/>
      </w:pPr>
      <w:r>
        <w:rPr>
          <w:bCs/>
          <w:b/>
        </w:rPr>
        <w:t xml:space="preserve">Q38. — B) Poisoning — accidental</w:t>
      </w:r>
      <w:r>
        <w:t xml:space="preserve"> </w:t>
      </w:r>
      <w:r>
        <w:t xml:space="preserve">Taking a double dose = not taken as prescribed = poisoning. Accidental intent because the overdose was unintentional.</w:t>
      </w:r>
    </w:p>
    <w:p>
      <w:pPr>
        <w:pStyle w:val="BodyText"/>
      </w:pPr>
      <w:r>
        <w:rPr>
          <w:bCs/>
          <w:b/>
        </w:rPr>
        <w:t xml:space="preserve">Q39. — B) E87.70, T50.1X6A, Z91.120</w:t>
      </w:r>
      <w:r>
        <w:t xml:space="preserve"> </w:t>
      </w:r>
      <w:r>
        <w:t xml:space="preserve">Underdosing: the resulting condition (fluid overload E87.70) is sequenced first, then the underdosing code (T50.1X6A), then the non-compliance code (Z91.120).</w:t>
      </w:r>
    </w:p>
    <w:p>
      <w:pPr>
        <w:pStyle w:val="BodyText"/>
      </w:pPr>
      <w:r>
        <w:rPr>
          <w:bCs/>
          <w:b/>
        </w:rPr>
        <w:t xml:space="preserve">Q40. — B)</w:t>
      </w:r>
      <w:r>
        <w:t xml:space="preserve"> </w:t>
      </w:r>
      <w:r>
        <w:t xml:space="preserve">The condition resulting from underdosing is primary; the underdosing T-code and the non-compliance/complication code are additional.</w:t>
      </w:r>
    </w:p>
    <w:p>
      <w:pPr>
        <w:pStyle w:val="BodyText"/>
      </w:pPr>
      <w:r>
        <w:rPr>
          <w:bCs/>
          <w:b/>
        </w:rPr>
        <w:t xml:space="preserve">Q41. — C) T84.050D</w:t>
      </w:r>
      <w:r>
        <w:t xml:space="preserve"> </w:t>
      </w:r>
      <w:r>
        <w:t xml:space="preserve">Periprosthetic osteolysis of right hip = T84.050. In home health, routine care of a known mechanical complication = 7th character D.</w:t>
      </w:r>
    </w:p>
    <w:p>
      <w:pPr>
        <w:pStyle w:val="BodyText"/>
      </w:pPr>
      <w:r>
        <w:rPr>
          <w:bCs/>
          <w:b/>
        </w:rPr>
        <w:t xml:space="preserve">Q42. — B) Z47.33</w:t>
      </w:r>
      <w:r>
        <w:t xml:space="preserve"> </w:t>
      </w:r>
      <w:r>
        <w:t xml:space="preserve">Routine aftercare following knee replacement = Z47.33. Z96.651 is the presence of the prosthetic joint, not the aftercare code.</w:t>
      </w:r>
    </w:p>
    <w:p>
      <w:pPr>
        <w:pStyle w:val="BodyText"/>
      </w:pPr>
      <w:r>
        <w:rPr>
          <w:bCs/>
          <w:b/>
        </w:rPr>
        <w:t xml:space="preserve">Q43. — B) Change M1021 to T84.54XA</w:t>
      </w:r>
      <w:r>
        <w:t xml:space="preserve"> </w:t>
      </w:r>
      <w:r>
        <w:t xml:space="preserve">A new prosthetic joint infection is a complication requiring active treatment → T84.54XA becomes the primary code.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because active treatment of the infection is occurring.</w:t>
      </w:r>
    </w:p>
    <w:p>
      <w:pPr>
        <w:pStyle w:val="BodyText"/>
      </w:pPr>
      <w:r>
        <w:rPr>
          <w:bCs/>
          <w:b/>
        </w:rPr>
        <w:t xml:space="preserve">Q44. — A) M05.79, Z79.899</w:t>
      </w:r>
      <w:r>
        <w:t xml:space="preserve"> </w:t>
      </w:r>
      <w:r>
        <w:t xml:space="preserve">Seropositive RA with RF, multiple sites = M05.79. Long-term methotrexate = Z79.899 (other long-term drug therapy).</w:t>
      </w:r>
    </w:p>
    <w:p>
      <w:pPr>
        <w:pStyle w:val="BodyText"/>
      </w:pPr>
      <w:r>
        <w:rPr>
          <w:bCs/>
          <w:b/>
        </w:rPr>
        <w:t xml:space="preserve">Q45. — C) N18.4, D63.1</w:t>
      </w:r>
      <w:r>
        <w:t xml:space="preserve"> </w:t>
      </w:r>
      <w:r>
        <w:t xml:space="preserve">CKD stage 4 = N18.4. Anemia in CKD = D63.1 (anemia in chronic kidney disease —</w:t>
      </w:r>
      <w:r>
        <w:t xml:space="preserve"> </w:t>
      </w:r>
      <w:r>
        <w:t xml:space="preserve">“</w:t>
      </w:r>
      <w:r>
        <w:t xml:space="preserve">code first</w:t>
      </w:r>
      <w:r>
        <w:t xml:space="preserve">”</w:t>
      </w:r>
      <w:r>
        <w:t xml:space="preserve"> </w:t>
      </w:r>
      <w:r>
        <w:t xml:space="preserve">the underlying CKD). No separate Z79 is needed for EPO per standard practice, though Z79.899 is acceptable.</w:t>
      </w:r>
    </w:p>
    <w:p>
      <w:pPr>
        <w:pStyle w:val="BodyText"/>
      </w:pPr>
      <w:r>
        <w:rPr>
          <w:bCs/>
          <w:b/>
        </w:rPr>
        <w:t xml:space="preserve">Q46. — B)</w:t>
      </w:r>
      <w:r>
        <w:t xml:space="preserve"> </w:t>
      </w:r>
      <w:r>
        <w:t xml:space="preserve">ICD-10-CM eliminated benign vs. malignant hypertension distinction. All essential HTN = I10.</w:t>
      </w:r>
    </w:p>
    <w:p>
      <w:pPr>
        <w:pStyle w:val="BodyText"/>
      </w:pPr>
      <w:r>
        <w:rPr>
          <w:bCs/>
          <w:b/>
        </w:rPr>
        <w:t xml:space="preserve">Q47. — B) R73.03</w:t>
      </w:r>
      <w:r>
        <w:t xml:space="preserve"> </w:t>
      </w:r>
      <w:r>
        <w:t xml:space="preserve">“</w:t>
      </w:r>
      <w:r>
        <w:t xml:space="preserve">Borderline diabetes</w:t>
      </w:r>
      <w:r>
        <w:t xml:space="preserve">”</w:t>
      </w:r>
      <w:r>
        <w:t xml:space="preserve"> </w:t>
      </w:r>
      <w:r>
        <w:t xml:space="preserve">= prediabetes = R73.03. It is not coded as diabetes.</w:t>
      </w:r>
    </w:p>
    <w:p>
      <w:pPr>
        <w:pStyle w:val="BodyText"/>
      </w:pPr>
      <w:r>
        <w:rPr>
          <w:bCs/>
          <w:b/>
        </w:rPr>
        <w:t xml:space="preserve">Q48. — A) E66.01, Z68.42</w:t>
      </w:r>
      <w:r>
        <w:t xml:space="preserve"> </w:t>
      </w:r>
      <w:r>
        <w:t xml:space="preserve">Morbid obesity = E66.01. BMI 42 = Z68.42. BMI codes are always secondary.</w:t>
      </w:r>
    </w:p>
    <w:p>
      <w:pPr>
        <w:pStyle w:val="BodyText"/>
      </w:pPr>
      <w:r>
        <w:rPr>
          <w:bCs/>
          <w:b/>
        </w:rPr>
        <w:t xml:space="preserve">Q49. — C)</w:t>
      </w:r>
      <w:r>
        <w:t xml:space="preserve"> </w:t>
      </w:r>
      <w:r>
        <w:t xml:space="preserve">BMI can be documented by any qualified healthcare provider (nurse, dietitian), but the associated diagnosis (obesity) must be documented by the patient’s responsible provider.</w:t>
      </w:r>
    </w:p>
    <w:p>
      <w:pPr>
        <w:pStyle w:val="BodyText"/>
      </w:pPr>
      <w:r>
        <w:rPr>
          <w:bCs/>
          <w:b/>
        </w:rPr>
        <w:t xml:space="preserve">Q50. — C) I63.9, G81.94</w:t>
      </w:r>
      <w:r>
        <w:t xml:space="preserve"> </w:t>
      </w:r>
      <w:r>
        <w:t xml:space="preserve">Acute CVA = I63.9. Left-sided hemiplegia in a left-dominant patient = G81.94 (affecting the dominant side).</w:t>
      </w:r>
    </w:p>
    <w:p>
      <w:pPr>
        <w:pStyle w:val="BodyText"/>
      </w:pPr>
      <w:r>
        <w:rPr>
          <w:bCs/>
          <w:b/>
        </w:rPr>
        <w:t xml:space="preserve">Q51. — B) I69.354</w:t>
      </w:r>
      <w:r>
        <w:t xml:space="preserve"> </w:t>
      </w:r>
      <w:r>
        <w:t xml:space="preserve">Resolved CVA with residual hemiplegia = I69.354 (hemiplegia affecting dominant side, following cerebral infarction). The acute stroke code is no longer used.</w:t>
      </w:r>
    </w:p>
    <w:p>
      <w:pPr>
        <w:pStyle w:val="BodyText"/>
      </w:pPr>
      <w:r>
        <w:rPr>
          <w:bCs/>
          <w:b/>
        </w:rPr>
        <w:t xml:space="preserve">Q52. — B) I69.320</w:t>
      </w:r>
      <w:r>
        <w:t xml:space="preserve"> </w:t>
      </w:r>
      <w:r>
        <w:t xml:space="preserve">Residual aphasia from resolved CVA = I69.320 (aphasia following cerebral infarction). Dominance is not relevant for aphasia coding.</w:t>
      </w:r>
    </w:p>
    <w:p>
      <w:pPr>
        <w:pStyle w:val="BodyText"/>
      </w:pPr>
      <w:r>
        <w:rPr>
          <w:bCs/>
          <w:b/>
        </w:rPr>
        <w:t xml:space="preserve">Q53. — A) G20, F02.80</w:t>
      </w:r>
      <w:r>
        <w:t xml:space="preserve"> </w:t>
      </w:r>
      <w:r>
        <w:t xml:space="preserve">Parkinson’s disease = G20 (code first), followed by F02.80 (dementia in diseases classified elsewhere, without behavioral disturbance).</w:t>
      </w:r>
    </w:p>
    <w:p>
      <w:pPr>
        <w:pStyle w:val="BodyText"/>
      </w:pPr>
      <w:r>
        <w:rPr>
          <w:bCs/>
          <w:b/>
        </w:rPr>
        <w:t xml:space="preserve">Q54. — A) G30.0, F02.811, Z91.83</w:t>
      </w:r>
      <w:r>
        <w:t xml:space="preserve"> </w:t>
      </w:r>
      <w:r>
        <w:t xml:space="preserve">Early-onset Alzheimer’s = G30.0 (code first). Dementia with behavioral disturbance = F02.811. Wandering = Z91.83 (additional code).</w:t>
      </w:r>
    </w:p>
    <w:p>
      <w:pPr>
        <w:pStyle w:val="BodyText"/>
      </w:pPr>
      <w:r>
        <w:rPr>
          <w:bCs/>
          <w:b/>
        </w:rPr>
        <w:t xml:space="preserve">Q55. — B) G40.311</w:t>
      </w:r>
      <w:r>
        <w:t xml:space="preserve"> </w:t>
      </w:r>
      <w:r>
        <w:t xml:space="preserve">Intractable generalized tonic-clonic epilepsy = G40.311 (with status epilepticus would be G40.311). The seizure (R56.9) is integral to epilepsy and is not coded separately.</w:t>
      </w:r>
    </w:p>
    <w:p>
      <w:pPr>
        <w:pStyle w:val="BodyText"/>
      </w:pPr>
      <w:r>
        <w:rPr>
          <w:bCs/>
          <w:b/>
        </w:rPr>
        <w:t xml:space="preserve">Q56. — B) A Z code for personal history</w:t>
      </w:r>
      <w:r>
        <w:t xml:space="preserve"> </w:t>
      </w:r>
      <w:r>
        <w:t xml:space="preserve">When a condition no longer exists and is not being treated, a personal history Z code (Z85-Z87) is appropriate.</w:t>
      </w:r>
    </w:p>
    <w:p>
      <w:pPr>
        <w:pStyle w:val="BodyText"/>
      </w:pPr>
      <w:r>
        <w:rPr>
          <w:bCs/>
          <w:b/>
        </w:rPr>
        <w:t xml:space="preserve">Q57. — B) Z85.3, I97.2</w:t>
      </w:r>
      <w:r>
        <w:t xml:space="preserve"> </w:t>
      </w:r>
      <w:r>
        <w:t xml:space="preserve">Breast cancer no longer present = Z85.3 (personal history). Lymphedema is coded I97.2 (postmastectomy lymphedema syndrome). The lymphedema management is the reason for HH, but Z85.3 as M1021 establishes the clinical context.</w:t>
      </w:r>
    </w:p>
    <w:p>
      <w:pPr>
        <w:pStyle w:val="BodyText"/>
      </w:pPr>
      <w:r>
        <w:rPr>
          <w:bCs/>
          <w:b/>
        </w:rPr>
        <w:t xml:space="preserve">Q58. — A) C61</w:t>
      </w:r>
      <w:r>
        <w:t xml:space="preserve"> </w:t>
      </w:r>
      <w:r>
        <w:t xml:space="preserve">Active malignant neoplasm of the prostate = C61 as M1021. G89.3 (neoplasm-related pain) may be added as secondary.</w:t>
      </w:r>
    </w:p>
    <w:p>
      <w:pPr>
        <w:pStyle w:val="BodyText"/>
      </w:pPr>
      <w:r>
        <w:rPr>
          <w:bCs/>
          <w:b/>
        </w:rPr>
        <w:t xml:space="preserve">Q59. — A) C56.9</w:t>
      </w:r>
      <w:r>
        <w:t xml:space="preserve"> </w:t>
      </w:r>
      <w:r>
        <w:t xml:space="preserve">The active cancer (C56.9) is M1021 — it is the underlying reason the patient is receiving home health and having chemotherapy complications.</w:t>
      </w:r>
    </w:p>
    <w:p>
      <w:pPr>
        <w:pStyle w:val="BodyText"/>
      </w:pPr>
      <w:r>
        <w:rPr>
          <w:bCs/>
          <w:b/>
        </w:rPr>
        <w:t xml:space="preserve">Q60. — B) J70.1, Z85.118</w:t>
      </w:r>
      <w:r>
        <w:t xml:space="preserve"> </w:t>
      </w:r>
      <w:r>
        <w:t xml:space="preserve">Radiation fibrosis of the lung = J70.1 (chronic pulmonary manifestation due to radiation). Cancer is in remission/treated = Z85.118 (history). The active cancer code is no longer used once treatment is complete and the cancer is in remission.</w:t>
      </w:r>
    </w:p>
    <w:p>
      <w:pPr>
        <w:pStyle w:val="BodyText"/>
      </w:pPr>
      <w:r>
        <w:rPr>
          <w:bCs/>
          <w:b/>
        </w:rPr>
        <w:t xml:space="preserve">Q61. — B) Z51.81, Z79.01, Z95.2</w:t>
      </w:r>
      <w:r>
        <w:t xml:space="preserve"> </w:t>
      </w:r>
      <w:r>
        <w:t xml:space="preserve">Encounter for drug monitoring = Z51.81 primary. Z79.01 = long-term anticoagulant. Z95.2 = prosthetic heart valve.</w:t>
      </w:r>
    </w:p>
    <w:p>
      <w:pPr>
        <w:pStyle w:val="BodyText"/>
      </w:pPr>
      <w:r>
        <w:rPr>
          <w:bCs/>
          <w:b/>
        </w:rPr>
        <w:t xml:space="preserve">Q62. — B) Within 5 calendar days after the start of care date</w:t>
      </w:r>
      <w:r>
        <w:t xml:space="preserve"> </w:t>
      </w:r>
      <w:r>
        <w:t xml:space="preserve">The SOC comprehensive assessment must be completed within 5 days after SOC.</w:t>
      </w:r>
    </w:p>
    <w:p>
      <w:pPr>
        <w:pStyle w:val="BodyText"/>
      </w:pPr>
      <w:r>
        <w:rPr>
          <w:bCs/>
          <w:b/>
        </w:rPr>
        <w:t xml:space="preserve">Q63. — B) The RN, because nursing is ordered</w:t>
      </w:r>
      <w:r>
        <w:t xml:space="preserve"> </w:t>
      </w:r>
      <w:r>
        <w:t xml:space="preserve">When nursing is an ordered discipline, the RN must perform the initial assessment and SOC OASIS (42 CFR 484.55).</w:t>
      </w:r>
    </w:p>
    <w:p>
      <w:pPr>
        <w:pStyle w:val="BodyText"/>
      </w:pPr>
      <w:r>
        <w:rPr>
          <w:bCs/>
          <w:b/>
        </w:rPr>
        <w:t xml:space="preserve">Q64. — B) The qualified therapist for the therapy discipline ordered</w:t>
      </w:r>
      <w:r>
        <w:t xml:space="preserve"> </w:t>
      </w:r>
      <w:r>
        <w:t xml:space="preserve">In therapy-only cases, the qualified therapist may perform the initial assessment and OASIS.</w:t>
      </w:r>
    </w:p>
    <w:p>
      <w:pPr>
        <w:pStyle w:val="BodyText"/>
      </w:pPr>
      <w:r>
        <w:rPr>
          <w:bCs/>
          <w:b/>
        </w:rPr>
        <w:t xml:space="preserve">Q65. — B) Days 56–60 of the current certification period</w:t>
      </w:r>
      <w:r>
        <w:t xml:space="preserve"> </w:t>
      </w:r>
      <w:r>
        <w:t xml:space="preserve">The recertification assessment window is the last 5 days of the current 60-day period.</w:t>
      </w:r>
    </w:p>
    <w:p>
      <w:pPr>
        <w:pStyle w:val="BodyText"/>
      </w:pPr>
      <w:r>
        <w:rPr>
          <w:bCs/>
          <w:b/>
        </w:rPr>
        <w:t xml:space="preserve">Q66. — B) On the date of transfer to an inpatient facility</w:t>
      </w:r>
      <w:r>
        <w:t xml:space="preserve"> </w:t>
      </w:r>
      <w:r>
        <w:t xml:space="preserve">The Transfer OASIS (RFA 6) is completed on the date of transfer.</w:t>
      </w:r>
    </w:p>
    <w:p>
      <w:pPr>
        <w:pStyle w:val="BodyText"/>
      </w:pPr>
      <w:r>
        <w:rPr>
          <w:bCs/>
          <w:b/>
        </w:rPr>
        <w:t xml:space="preserve">Q67. — B) Technical corrections only</w:t>
      </w:r>
      <w:r>
        <w:t xml:space="preserve"> </w:t>
      </w:r>
      <w:r>
        <w:t xml:space="preserve">Coders can make technical corrections (sequencing fixes, obvious transcription errors). Clinical or substantive changes require the assessing clinician.</w:t>
      </w:r>
    </w:p>
    <w:p>
      <w:pPr>
        <w:pStyle w:val="BodyText"/>
      </w:pPr>
      <w:r>
        <w:rPr>
          <w:bCs/>
          <w:b/>
        </w:rPr>
        <w:t xml:space="preserve">Q68. — C)</w:t>
      </w:r>
      <w:r>
        <w:t xml:space="preserve"> </w:t>
      </w:r>
      <w:r>
        <w:t xml:space="preserve">The initial assessment visit must occur within 48 hours of referral, within 48 hours of the patient’s return home, or on the physician-ordered SOC date.</w:t>
      </w:r>
    </w:p>
    <w:p>
      <w:pPr>
        <w:pStyle w:val="BodyText"/>
      </w:pPr>
      <w:r>
        <w:rPr>
          <w:bCs/>
          <w:b/>
        </w:rPr>
        <w:t xml:space="preserve">Q69. — C)</w:t>
      </w:r>
      <w:r>
        <w:t xml:space="preserve"> </w:t>
      </w:r>
      <w:r>
        <w:t xml:space="preserve">A physician signature is required on the plan of care. Services may begin based on verbal orders, but the POC must ultimately be signed.</w:t>
      </w:r>
    </w:p>
    <w:p>
      <w:pPr>
        <w:pStyle w:val="BodyText"/>
      </w:pPr>
      <w:r>
        <w:rPr>
          <w:bCs/>
          <w:b/>
        </w:rPr>
        <w:t xml:space="preserve">Q70. — B)</w:t>
      </w:r>
      <w:r>
        <w:t xml:space="preserve"> </w:t>
      </w:r>
      <w:r>
        <w:t xml:space="preserve">M1021 is the diagnosis most related to the home health plan of care — the chief reason skilled services are being provided.</w:t>
      </w:r>
    </w:p>
    <w:p>
      <w:pPr>
        <w:pStyle w:val="BodyText"/>
      </w:pPr>
      <w:r>
        <w:rPr>
          <w:bCs/>
          <w:b/>
        </w:rPr>
        <w:t xml:space="preserve">Q71. — B)</w:t>
      </w:r>
      <w:r>
        <w:t xml:space="preserve"> </w:t>
      </w:r>
      <w:r>
        <w:t xml:space="preserve">M1021 can be changed during the certification period when a new condition becomes the primary reason for home health services, following agency and physician collaboration.</w:t>
      </w:r>
    </w:p>
    <w:p>
      <w:pPr>
        <w:pStyle w:val="BodyText"/>
      </w:pPr>
      <w:r>
        <w:rPr>
          <w:bCs/>
          <w:b/>
        </w:rPr>
        <w:t xml:space="preserve">Q72. — B)</w:t>
      </w:r>
      <w:r>
        <w:t xml:space="preserve"> </w:t>
      </w:r>
      <w:r>
        <w:t xml:space="preserve">Never reverse-stage. A previously staged pressure ulcer that becomes covered with slough retains its original staging. Unstageable is only for wounds that were NEVER previously staged.</w:t>
      </w:r>
    </w:p>
    <w:p>
      <w:pPr>
        <w:pStyle w:val="BodyText"/>
      </w:pPr>
      <w:r>
        <w:rPr>
          <w:bCs/>
          <w:b/>
        </w:rPr>
        <w:t xml:space="preserve">Q73. — B) Unstageable</w:t>
      </w:r>
      <w:r>
        <w:t xml:space="preserve"> </w:t>
      </w:r>
      <w:r>
        <w:t xml:space="preserve">A newly observed PU entirely covered by eschar = unstageable on first observation (the wound bed cannot be visualized to determine the stage).</w:t>
      </w:r>
    </w:p>
    <w:p>
      <w:pPr>
        <w:pStyle w:val="BodyText"/>
      </w:pPr>
      <w:r>
        <w:rPr>
          <w:bCs/>
          <w:b/>
        </w:rPr>
        <w:t xml:space="preserve">Q74. — B)</w:t>
      </w:r>
      <w:r>
        <w:t xml:space="preserve"> </w:t>
      </w:r>
      <w:r>
        <w:t xml:space="preserve">A pressure ulcer surgically repaired with a flap/graft is no longer classified as a pressure ulcer for OASIS staging — it becomes a surgical wound.</w:t>
      </w:r>
    </w:p>
    <w:p>
      <w:pPr>
        <w:pStyle w:val="BodyText"/>
      </w:pPr>
      <w:r>
        <w:rPr>
          <w:bCs/>
          <w:b/>
        </w:rPr>
        <w:t xml:space="preserve">Q75. — C) I83.211, L97.211</w:t>
      </w:r>
      <w:r>
        <w:t xml:space="preserve"> </w:t>
      </w:r>
      <w:r>
        <w:t xml:space="preserve">Varicose veins with ulcer and inflammation of right lower leg = I83.211 (code first), then L97.211 for site and severity.</w:t>
      </w:r>
    </w:p>
    <w:p>
      <w:pPr>
        <w:pStyle w:val="BodyText"/>
      </w:pPr>
      <w:r>
        <w:rPr>
          <w:bCs/>
          <w:b/>
        </w:rPr>
        <w:t xml:space="preserve">Q76. — C) I70.242, L97.322</w:t>
      </w:r>
      <w:r>
        <w:t xml:space="preserve"> </w:t>
      </w:r>
      <w:r>
        <w:t xml:space="preserve">PAD with ulcer of left ankle, muscle involvement: I70.242 (atherosclerosis, left leg with ulceration of ankle) coded first, then L97.322 (non-pressure chronic ulcer of left ankle with muscle involvement).</w:t>
      </w:r>
    </w:p>
    <w:p>
      <w:pPr>
        <w:pStyle w:val="BodyText"/>
      </w:pPr>
      <w:r>
        <w:rPr>
          <w:bCs/>
          <w:b/>
        </w:rPr>
        <w:t xml:space="preserve">Q77. — B)</w:t>
      </w:r>
      <w:r>
        <w:t xml:space="preserve"> </w:t>
      </w:r>
      <w:r>
        <w:t xml:space="preserve">A surgically closed wound counts as a surgical wound for OASIS M1340 as long as it has not fully epithelialized/healed.</w:t>
      </w:r>
    </w:p>
    <w:p>
      <w:pPr>
        <w:pStyle w:val="BodyText"/>
      </w:pPr>
      <w:r>
        <w:rPr>
          <w:bCs/>
          <w:b/>
        </w:rPr>
        <w:t xml:space="preserve">Q78. — B)</w:t>
      </w:r>
      <w:r>
        <w:t xml:space="preserve"> </w:t>
      </w:r>
      <w:r>
        <w:t xml:space="preserve">Per OASIS guidance, percutaneous vascular access sites (catheterization) that are still open/healing are considered surgical wounds.</w:t>
      </w:r>
    </w:p>
    <w:p>
      <w:pPr>
        <w:pStyle w:val="BodyText"/>
      </w:pPr>
      <w:r>
        <w:rPr>
          <w:bCs/>
          <w:b/>
        </w:rPr>
        <w:t xml:space="preserve">Q79. — D) Z86.14</w:t>
      </w:r>
      <w:r>
        <w:t xml:space="preserve"> </w:t>
      </w:r>
      <w:r>
        <w:t xml:space="preserve">History of MRSA with no current infection = Z86.14 (personal history of MRSA). Z22.322 is MRSA colonization/carrier (requires documentation of current carrier status, not just history).</w:t>
      </w:r>
    </w:p>
    <w:p>
      <w:pPr>
        <w:pStyle w:val="BodyText"/>
      </w:pPr>
      <w:r>
        <w:rPr>
          <w:bCs/>
          <w:b/>
        </w:rPr>
        <w:t xml:space="preserve">Q80. — B) B95.62</w:t>
      </w:r>
      <w:r>
        <w:t xml:space="preserve"> </w:t>
      </w:r>
      <w:r>
        <w:t xml:space="preserve">Current MRSA as the causal organism of a documented infection = B95.62, coded as an additional code to the infection.</w:t>
      </w:r>
    </w:p>
    <w:p>
      <w:pPr>
        <w:pStyle w:val="BodyText"/>
      </w:pPr>
      <w:r>
        <w:rPr>
          <w:bCs/>
          <w:b/>
        </w:rPr>
        <w:t xml:space="preserve">Q81. — B) A41.02</w:t>
      </w:r>
      <w:r>
        <w:t xml:space="preserve"> </w:t>
      </w:r>
      <w:r>
        <w:t xml:space="preserve">Sepsis due to MRSA = A41.02 (the combination sepsis code for MRSA). B95.62 is not added separately.</w:t>
      </w:r>
    </w:p>
    <w:p>
      <w:pPr>
        <w:pStyle w:val="BodyText"/>
      </w:pPr>
      <w:r>
        <w:rPr>
          <w:bCs/>
          <w:b/>
        </w:rPr>
        <w:t xml:space="preserve">Q82. — B) T84.54XD, B95.61</w:t>
      </w:r>
      <w:r>
        <w:t xml:space="preserve"> </w:t>
      </w:r>
      <w:r>
        <w:t xml:space="preserve">Post-operative infection of left knee prosthetic joint = T84.54X-. In home health for ongoing treatment (wound care, IV antibiotics) = 7th character D for subsequent/routine care. MSSA organism = B95.61.</w:t>
      </w:r>
    </w:p>
    <w:p>
      <w:pPr>
        <w:pStyle w:val="BodyText"/>
      </w:pPr>
      <w:r>
        <w:rPr>
          <w:bCs/>
          <w:b/>
        </w:rPr>
        <w:t xml:space="preserve">Q83. — A) S72.001D</w:t>
      </w:r>
      <w:r>
        <w:t xml:space="preserve"> </w:t>
      </w:r>
      <w:r>
        <w:t xml:space="preserve">Healing hip fracture after ORIF = the fracture code with 7th character D (subsequent encounter, routine healing). Z47.1 (aftercare for hip fracture) is used when there is no active fracture code to report.</w:t>
      </w:r>
    </w:p>
    <w:p>
      <w:pPr>
        <w:pStyle w:val="BodyText"/>
      </w:pPr>
      <w:r>
        <w:rPr>
          <w:bCs/>
          <w:b/>
        </w:rPr>
        <w:t xml:space="preserve">Q84. — A) S06.5X0D</w:t>
      </w:r>
      <w:r>
        <w:t xml:space="preserve"> </w:t>
      </w:r>
      <w:r>
        <w:t xml:space="preserve">Traumatic subdural hematoma in healing phase = S06.5X0D. The injury code with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 </w:t>
      </w:r>
      <w:r>
        <w:t xml:space="preserve">is appropriate during the recovery phase.</w:t>
      </w:r>
    </w:p>
    <w:p>
      <w:pPr>
        <w:pStyle w:val="BodyText"/>
      </w:pPr>
      <w:r>
        <w:rPr>
          <w:bCs/>
          <w:b/>
        </w:rPr>
        <w:t xml:space="preserve">Q85. — B) S32.010D, W11.XXXD, Y93.89, Y99.8</w:t>
      </w:r>
      <w:r>
        <w:t xml:space="preserve"> </w:t>
      </w:r>
      <w:r>
        <w:t xml:space="preserve">Healing L1 compression fracture = S32.010D. Fall from ladder = W11.XXXD (7th character matches the injury code). Activity and external status codes are optional but appropriate.</w:t>
      </w:r>
    </w:p>
    <w:p>
      <w:pPr>
        <w:pStyle w:val="BodyText"/>
      </w:pPr>
      <w:r>
        <w:rPr>
          <w:bCs/>
          <w:b/>
        </w:rPr>
        <w:t xml:space="preserve">Q86. — A)</w:t>
      </w:r>
      <w:r>
        <w:t xml:space="preserve"> </w:t>
      </w:r>
      <w:r>
        <w:t xml:space="preserve">When both acute and chronic forms are documented and separate codes exist, assign both — acute sequenced before chronic.</w:t>
      </w:r>
    </w:p>
    <w:p>
      <w:pPr>
        <w:pStyle w:val="BodyText"/>
      </w:pPr>
      <w:r>
        <w:rPr>
          <w:bCs/>
          <w:b/>
        </w:rPr>
        <w:t xml:space="preserve">Q87. — C) N17.9, N18.3</w:t>
      </w:r>
      <w:r>
        <w:t xml:space="preserve"> </w:t>
      </w:r>
      <w:r>
        <w:t xml:space="preserve">Both AKI (N17.9) and CKD (N18.3) can be coded when both are present and documented.</w:t>
      </w:r>
    </w:p>
    <w:p>
      <w:pPr>
        <w:pStyle w:val="BodyText"/>
      </w:pPr>
      <w:r>
        <w:rPr>
          <w:bCs/>
          <w:b/>
        </w:rPr>
        <w:t xml:space="preserve">Q88. — D)</w:t>
      </w:r>
      <w:r>
        <w:t xml:space="preserve"> </w:t>
      </w:r>
      <w:r>
        <w:t xml:space="preserve">In home health (outpatient), uncertain diagnoses documented as</w:t>
      </w:r>
      <w:r>
        <w:t xml:space="preserve"> </w:t>
      </w:r>
      <w:r>
        <w:t xml:space="preserve">“</w:t>
      </w:r>
      <w:r>
        <w:t xml:space="preserve">probable,</w:t>
      </w:r>
      <w:r>
        <w:t xml:space="preserve">”</w:t>
      </w:r>
      <w:r>
        <w:t xml:space="preserve"> </w:t>
      </w:r>
      <w:r>
        <w:t xml:space="preserve">“</w:t>
      </w:r>
      <w:r>
        <w:t xml:space="preserve">suspected,</w:t>
      </w:r>
      <w:r>
        <w:t xml:space="preserve">”</w:t>
      </w:r>
      <w:r>
        <w:t xml:space="preserve"> </w:t>
      </w:r>
      <w:r>
        <w:t xml:space="preserve">etc. are coded as if confirmed, per guideline IV.H.</w:t>
      </w:r>
    </w:p>
    <w:p>
      <w:pPr>
        <w:pStyle w:val="BodyText"/>
      </w:pPr>
      <w:r>
        <w:rPr>
          <w:bCs/>
          <w:b/>
        </w:rPr>
        <w:t xml:space="preserve">Q89. — C)</w:t>
      </w:r>
      <w:r>
        <w:t xml:space="preserve"> </w:t>
      </w:r>
      <w:r>
        <w:t xml:space="preserve">FALSE: Not all Z codes are secondary. Some Z codes (like Z51.81, Z47.33) are specifically designated as first-listed/primary codes.</w:t>
      </w:r>
    </w:p>
    <w:p>
      <w:pPr>
        <w:pStyle w:val="BodyText"/>
      </w:pPr>
      <w:r>
        <w:rPr>
          <w:bCs/>
          <w:b/>
        </w:rPr>
        <w:t xml:space="preserve">Q90. — A) F32.1, F41.1</w:t>
      </w:r>
      <w:r>
        <w:t xml:space="preserve"> </w:t>
      </w:r>
      <w:r>
        <w:t xml:space="preserve">Major depressive disorder, single episode, moderate = F32.1. GAD = F41.1.</w:t>
      </w:r>
    </w:p>
    <w:p>
      <w:pPr>
        <w:pStyle w:val="BodyText"/>
      </w:pPr>
      <w:r>
        <w:rPr>
          <w:bCs/>
          <w:b/>
        </w:rPr>
        <w:t xml:space="preserve">Q91. — B) F03.911, Z91.83</w:t>
      </w:r>
      <w:r>
        <w:t xml:space="preserve"> </w:t>
      </w:r>
      <w:r>
        <w:t xml:space="preserve">Unspecified dementia with behavioral disturbance (wandering) requires the disturbance code F03.911 plus Z91.83 (wandering in diseases classified elsewhere).</w:t>
      </w:r>
    </w:p>
    <w:p>
      <w:pPr>
        <w:pStyle w:val="BodyText"/>
      </w:pPr>
      <w:r>
        <w:rPr>
          <w:bCs/>
          <w:b/>
        </w:rPr>
        <w:t xml:space="preserve">Q92. — B) Z47.89</w:t>
      </w:r>
      <w:r>
        <w:t xml:space="preserve"> </w:t>
      </w:r>
      <w:r>
        <w:t xml:space="preserve">Routine aftercare following surgery on the musculoskeletal system (shoulder rotator cuff repair) with normal healing = Z47.89 (encounter for other orthopedic aftercare).</w:t>
      </w:r>
    </w:p>
    <w:p>
      <w:pPr>
        <w:pStyle w:val="BodyText"/>
      </w:pPr>
      <w:r>
        <w:rPr>
          <w:bCs/>
          <w:b/>
        </w:rPr>
        <w:t xml:space="preserve">Q93. — A) M80.08XA</w:t>
      </w:r>
      <w:r>
        <w:t xml:space="preserve"> </w:t>
      </w:r>
      <w:r>
        <w:t xml:space="preserve">Osteoporosis with current pathological fracture of the thoracic vertebra = M80.08XA. Active treatment = 7th character A. The combination code includes both the osteoporosis and the fracture.</w:t>
      </w:r>
    </w:p>
    <w:p>
      <w:pPr>
        <w:pStyle w:val="BodyText"/>
      </w:pPr>
      <w:r>
        <w:rPr>
          <w:bCs/>
          <w:b/>
        </w:rPr>
        <w:t xml:space="preserve">Q94. — B)</w:t>
      </w:r>
      <w:r>
        <w:t xml:space="preserve"> </w:t>
      </w:r>
      <w:r>
        <w:t xml:space="preserve">Yes — R29.6 (repeated falls, current finding) and Z91.81 (history of falling, ongoing risk) can both be coded together per guidelines.</w:t>
      </w:r>
    </w:p>
    <w:p>
      <w:pPr>
        <w:pStyle w:val="BodyText"/>
      </w:pPr>
      <w:r>
        <w:rPr>
          <w:bCs/>
          <w:b/>
        </w:rPr>
        <w:t xml:space="preserve">Q95. — B) L03.115, E11.9</w:t>
      </w:r>
      <w:r>
        <w:t xml:space="preserve"> </w:t>
      </w:r>
      <w:r>
        <w:t xml:space="preserve">When the physician explicitly documents the cellulitis is NOT related to diabetes, the presumed link is overridden. Code L03.115 (cellulitis, right lower leg) and E11.9 (DM without complications) separately.</w:t>
      </w:r>
    </w:p>
    <w:p>
      <w:pPr>
        <w:pStyle w:val="BodyText"/>
      </w:pPr>
      <w:r>
        <w:rPr>
          <w:bCs/>
          <w:b/>
        </w:rPr>
        <w:t xml:space="preserve">Q96. — B) I87.2</w:t>
      </w:r>
      <w:r>
        <w:t xml:space="preserve"> </w:t>
      </w:r>
      <w:r>
        <w:t xml:space="preserve">Chronic venous insufficiency causing edema = I87.2. The edema (R60.0) is integral to the venous insufficiency and is not coded separately.</w:t>
      </w:r>
    </w:p>
    <w:p>
      <w:pPr>
        <w:pStyle w:val="BodyText"/>
      </w:pPr>
      <w:r>
        <w:rPr>
          <w:bCs/>
          <w:b/>
        </w:rPr>
        <w:t xml:space="preserve">Q97. — A) Z43.0, Z93.0, Z85.020</w:t>
      </w:r>
      <w:r>
        <w:t xml:space="preserve"> </w:t>
      </w:r>
      <w:r>
        <w:t xml:space="preserve">Encounter for trach care = Z43.0 (attention to tracheostomy). Z93.0 = tracheostomy status. Laryngeal cancer in remission = Z85.020 (history).</w:t>
      </w:r>
    </w:p>
    <w:p>
      <w:pPr>
        <w:pStyle w:val="BodyText"/>
      </w:pPr>
      <w:r>
        <w:rPr>
          <w:bCs/>
          <w:b/>
        </w:rPr>
        <w:t xml:space="preserve">Q98. — A)</w:t>
      </w:r>
      <w:r>
        <w:t xml:space="preserve"> </w:t>
      </w:r>
      <w:r>
        <w:t xml:space="preserve">ROC is required when a patient returns from an inpatient facility stay to continue the same home health certification period.</w:t>
      </w:r>
    </w:p>
    <w:p>
      <w:pPr>
        <w:pStyle w:val="BodyText"/>
      </w:pPr>
      <w:r>
        <w:rPr>
          <w:bCs/>
          <w:b/>
        </w:rPr>
        <w:t xml:space="preserve">Q99. — B)</w:t>
      </w:r>
      <w:r>
        <w:t xml:space="preserve"> </w:t>
      </w:r>
      <w:r>
        <w:t xml:space="preserve">OASIS M1306 defines an observable surgical wound as a wound, incision, or entry site on the body surface resulting from a surgical procedure that can be observed and assessed.</w:t>
      </w:r>
    </w:p>
    <w:p>
      <w:pPr>
        <w:pStyle w:val="BodyText"/>
      </w:pPr>
      <w:r>
        <w:rPr>
          <w:bCs/>
          <w:b/>
        </w:rPr>
        <w:t xml:space="preserve">Q100. — B) 2 — each is counted separately</w:t>
      </w:r>
      <w:r>
        <w:t xml:space="preserve"> </w:t>
      </w:r>
      <w:r>
        <w:t xml:space="preserve">Both the Stage 2 PU and the DTPI are counted in M1311. DTPI has its own category in the OASIS pressure ulcer staging items.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2026-07-03T19:56:01Z</dcterms:created>
  <dcterms:modified xsi:type="dcterms:W3CDTF">2026-07-03T19:56:01Z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