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c5a4eb079dda62fe03b92a4ef1ad300e8ac2e4"/>
    <w:p>
      <w:pPr>
        <w:pStyle w:val="Heading1"/>
      </w:pPr>
      <w:r>
        <w:t xml:space="preserve">BCHH-C Practice Paper 5 — Answer Key &amp; Explanations</w:t>
      </w:r>
    </w:p>
    <w:p>
      <w:pPr>
        <w:pStyle w:val="FirstParagraph"/>
      </w:pPr>
      <w:r>
        <w:rPr>
          <w:iCs/>
          <w:i/>
        </w:rPr>
        <w:t xml:space="preserve">Answers reference the ICD-10-CM Official Guidelines for Coding and Reporting, the OASIS Guidance Manual, and Medicare Home Health Conditions of Participation (42 CFR 484). Verify individual code characters against your current-year code 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Q1. — B) C18.9</w:t>
      </w:r>
      <w:r>
        <w:t xml:space="preserve"> </w:t>
      </w:r>
      <w:r>
        <w:t xml:space="preserve">The active cancer (C18.9) is M1021 — it is the underlying reason for the anemia and the chemotherapy. D64.81 (anemia due to antineoplastic chemotherapy) is secondary.</w:t>
      </w:r>
    </w:p>
    <w:p>
      <w:pPr>
        <w:pStyle w:val="BodyText"/>
      </w:pPr>
      <w:r>
        <w:rPr>
          <w:bCs/>
          <w:b/>
        </w:rPr>
        <w:t xml:space="preserve">Q2. — B) Z85.118</w:t>
      </w:r>
      <w:r>
        <w:t xml:space="preserve"> </w:t>
      </w:r>
      <w:r>
        <w:t xml:space="preserve">Completely resected lung cancer with no further treatment = personal history Z85.118. Active cancer codes are no longer used.</w:t>
      </w:r>
    </w:p>
    <w:p>
      <w:pPr>
        <w:pStyle w:val="BodyText"/>
      </w:pPr>
      <w:r>
        <w:rPr>
          <w:bCs/>
          <w:b/>
        </w:rPr>
        <w:t xml:space="preserve">Q3. — A) C50.912, C79.51</w:t>
      </w:r>
      <w:r>
        <w:t xml:space="preserve"> </w:t>
      </w:r>
      <w:r>
        <w:t xml:space="preserve">Active primary breast cancer is coded first (C50.912), then the secondary/metastatic site (C79.51, bone). G89.3 may be added if pain management is a focus but is secondary.</w:t>
      </w:r>
    </w:p>
    <w:p>
      <w:pPr>
        <w:pStyle w:val="BodyText"/>
      </w:pPr>
      <w:r>
        <w:rPr>
          <w:bCs/>
          <w:b/>
        </w:rPr>
        <w:t xml:space="preserve">Q4. — A) C80.1, C78.7, C78.00</w:t>
      </w:r>
      <w:r>
        <w:t xml:space="preserve"> </w:t>
      </w:r>
      <w:r>
        <w:t xml:space="preserve">Unknown primary = C80.1. Metastatic sites are coded as secondary neoplasms: liver C78.7, lung C78.00.</w:t>
      </w:r>
    </w:p>
    <w:p>
      <w:pPr>
        <w:pStyle w:val="BodyText"/>
      </w:pPr>
      <w:r>
        <w:rPr>
          <w:bCs/>
          <w:b/>
        </w:rPr>
        <w:t xml:space="preserve">Q5. — A) N30.40, Z85.46</w:t>
      </w:r>
      <w:r>
        <w:t xml:space="preserve"> </w:t>
      </w:r>
      <w:r>
        <w:t xml:space="preserve">Radiation cystitis = N30.40 (the current condition being treated). Cancer in remission = Z85.46 (history of prostate cancer).</w:t>
      </w:r>
    </w:p>
    <w:p>
      <w:pPr>
        <w:pStyle w:val="BodyText"/>
      </w:pPr>
      <w:r>
        <w:rPr>
          <w:bCs/>
          <w:b/>
        </w:rPr>
        <w:t xml:space="preserve">Q6. — D) C90.00, M84.421D</w:t>
      </w:r>
      <w:r>
        <w:t xml:space="preserve"> </w:t>
      </w:r>
      <w:r>
        <w:t xml:space="preserve">Active multiple myeloma = C90.00 (code first). Pathological fracture = M84.421D (7th character D for ongoing care in HH, not active fracture treatment).</w:t>
      </w:r>
    </w:p>
    <w:p>
      <w:pPr>
        <w:pStyle w:val="BodyText"/>
      </w:pPr>
      <w:r>
        <w:rPr>
          <w:bCs/>
          <w:b/>
        </w:rPr>
        <w:t xml:space="preserve">Q7. — B)</w:t>
      </w:r>
      <w:r>
        <w:t xml:space="preserve"> </w:t>
      </w:r>
      <w:r>
        <w:t xml:space="preserve">Active neoplasm uses a C-code; previously treated cancer that no longer exists uses Z85 history code. Both are reported.</w:t>
      </w:r>
    </w:p>
    <w:p>
      <w:pPr>
        <w:pStyle w:val="BodyText"/>
      </w:pPr>
      <w:r>
        <w:rPr>
          <w:bCs/>
          <w:b/>
        </w:rPr>
        <w:t xml:space="preserve">Q8. — A) D30.01</w:t>
      </w:r>
      <w:r>
        <w:t xml:space="preserve"> </w:t>
      </w:r>
      <w:r>
        <w:t xml:space="preserve">Benign neoplasm of right kidney = D30.01. C64.1 would be malignant. D09 is carcinoma in situ.</w:t>
      </w:r>
    </w:p>
    <w:p>
      <w:pPr>
        <w:pStyle w:val="BodyText"/>
      </w:pPr>
      <w:r>
        <w:rPr>
          <w:bCs/>
          <w:b/>
        </w:rPr>
        <w:t xml:space="preserve">Q9. — B) N39.0, B96.20</w:t>
      </w:r>
      <w:r>
        <w:t xml:space="preserve"> </w:t>
      </w:r>
      <w:r>
        <w:t xml:space="preserve">Sepsis that resolved before HH admission is NOT coded. Only the active UTI (N39.0) with organism (B96.20, E. coli) is coded.</w:t>
      </w:r>
    </w:p>
    <w:p>
      <w:pPr>
        <w:pStyle w:val="BodyText"/>
      </w:pPr>
      <w:r>
        <w:rPr>
          <w:bCs/>
          <w:b/>
        </w:rPr>
        <w:t xml:space="preserve">Q10. — B) L97.422</w:t>
      </w:r>
      <w:r>
        <w:t xml:space="preserve"> </w:t>
      </w:r>
      <w:r>
        <w:t xml:space="preserve">Resolved sepsis is not coded in HH. The active condition requiring skilled care is the heel ulcer (L97.422). MRSA history may be added if relevant.</w:t>
      </w:r>
    </w:p>
    <w:p>
      <w:pPr>
        <w:pStyle w:val="BodyText"/>
      </w:pPr>
      <w:r>
        <w:rPr>
          <w:bCs/>
          <w:b/>
        </w:rPr>
        <w:t xml:space="preserve">Q11. — A) A04.72</w:t>
      </w:r>
      <w:r>
        <w:t xml:space="preserve"> </w:t>
      </w:r>
      <w:r>
        <w:t xml:space="preserve">Recurrent C. difficile infection = A04.72. A04.71 is for initial episode. The C. diff is a new finding during the HH episode and should be coded.</w:t>
      </w:r>
    </w:p>
    <w:p>
      <w:pPr>
        <w:pStyle w:val="BodyText"/>
      </w:pPr>
      <w:r>
        <w:rPr>
          <w:bCs/>
          <w:b/>
        </w:rPr>
        <w:t xml:space="preserve">Q12. — A) N39.0, B96.1, T83.511D</w:t>
      </w:r>
      <w:r>
        <w:t xml:space="preserve"> </w:t>
      </w:r>
      <w:r>
        <w:t xml:space="preserve">UTI = N39.0. Klebsiella = B96.1. Catheter-associated UTI uses T83.511D (infectious complication of indwelling catheter, subsequent encounter for ongoing care).</w:t>
      </w:r>
    </w:p>
    <w:p>
      <w:pPr>
        <w:pStyle w:val="BodyText"/>
      </w:pPr>
      <w:r>
        <w:rPr>
          <w:bCs/>
          <w:b/>
        </w:rPr>
        <w:t xml:space="preserve">Q13. — A) B20, B59</w:t>
      </w:r>
      <w:r>
        <w:t xml:space="preserve"> </w:t>
      </w:r>
      <w:r>
        <w:t xml:space="preserve">HIV disease = B20 (coded first whenever any HIV-related condition is present). Pneumocystis pneumonia = B59.</w:t>
      </w:r>
    </w:p>
    <w:p>
      <w:pPr>
        <w:pStyle w:val="BodyText"/>
      </w:pPr>
      <w:r>
        <w:rPr>
          <w:bCs/>
          <w:b/>
        </w:rPr>
        <w:t xml:space="preserve">Q14. — B) Z86.11</w:t>
      </w:r>
      <w:r>
        <w:t xml:space="preserve"> </w:t>
      </w:r>
      <w:r>
        <w:t xml:space="preserve">Personal history of tuberculosis (no active disease) = Z86.11.</w:t>
      </w:r>
    </w:p>
    <w:p>
      <w:pPr>
        <w:pStyle w:val="BodyText"/>
      </w:pPr>
      <w:r>
        <w:rPr>
          <w:bCs/>
          <w:b/>
        </w:rPr>
        <w:t xml:space="preserve">Q15. — A) B16.0</w:t>
      </w:r>
      <w:r>
        <w:t xml:space="preserve"> </w:t>
      </w:r>
      <w:r>
        <w:t xml:space="preserve">Acute hepatitis B with delta agent and without hepatic coma = B16.0. This single code captures both infections.</w:t>
      </w:r>
    </w:p>
    <w:p>
      <w:pPr>
        <w:pStyle w:val="BodyText"/>
      </w:pPr>
      <w:r>
        <w:rPr>
          <w:bCs/>
          <w:b/>
        </w:rPr>
        <w:t xml:space="preserve">Q16. — B) M75.122</w:t>
      </w:r>
      <w:r>
        <w:t xml:space="preserve"> </w:t>
      </w:r>
      <w:r>
        <w:t xml:space="preserve">Chronic (non-traumatic) rotator cuff tear, left shoulder = M75.122. Traumatic codes (S46) require a current/recent injury.</w:t>
      </w:r>
    </w:p>
    <w:p>
      <w:pPr>
        <w:pStyle w:val="BodyText"/>
      </w:pPr>
      <w:r>
        <w:rPr>
          <w:bCs/>
          <w:b/>
        </w:rPr>
        <w:t xml:space="preserve">Q17. — A) M97.02XA</w:t>
      </w:r>
      <w:r>
        <w:t xml:space="preserve"> </w:t>
      </w:r>
      <w:r>
        <w:t xml:space="preserve">Periprosthetic fracture around a prosthetic joint = M97.02XA (left hip). Active treatment = 7th character A.</w:t>
      </w:r>
    </w:p>
    <w:p>
      <w:pPr>
        <w:pStyle w:val="BodyText"/>
      </w:pPr>
      <w:r>
        <w:rPr>
          <w:bCs/>
          <w:b/>
        </w:rPr>
        <w:t xml:space="preserve">Q18. — A) M48.06</w:t>
      </w:r>
      <w:r>
        <w:t xml:space="preserve"> </w:t>
      </w:r>
      <w:r>
        <w:t xml:space="preserve">Lumbar spinal stenosis = M48.06. Neurogenic claudication is included in the spinal stenosis diagnosis and is not separately coded.</w:t>
      </w:r>
    </w:p>
    <w:p>
      <w:pPr>
        <w:pStyle w:val="BodyText"/>
      </w:pPr>
      <w:r>
        <w:rPr>
          <w:bCs/>
          <w:b/>
        </w:rPr>
        <w:t xml:space="preserve">Q19. — A) M17.0</w:t>
      </w:r>
      <w:r>
        <w:t xml:space="preserve"> </w:t>
      </w:r>
      <w:r>
        <w:t xml:space="preserve">Bilateral primary osteoarthritis of the knees = M17.0 (bilateral). This is a single code for bilateral involvement.</w:t>
      </w:r>
    </w:p>
    <w:p>
      <w:pPr>
        <w:pStyle w:val="BodyText"/>
      </w:pPr>
      <w:r>
        <w:rPr>
          <w:bCs/>
          <w:b/>
        </w:rPr>
        <w:t xml:space="preserve">Q20. — A) M10.062</w:t>
      </w:r>
      <w:r>
        <w:t xml:space="preserve"> </w:t>
      </w:r>
      <w:r>
        <w:t xml:space="preserve">Gout with tophi, right knee = M10.062 (idiopathic gout with tophus, right knee).</w:t>
      </w:r>
    </w:p>
    <w:p>
      <w:pPr>
        <w:pStyle w:val="BodyText"/>
      </w:pPr>
      <w:r>
        <w:rPr>
          <w:bCs/>
          <w:b/>
        </w:rPr>
        <w:t xml:space="preserve">Q21. — A) M80.08XA</w:t>
      </w:r>
      <w:r>
        <w:t xml:space="preserve"> </w:t>
      </w:r>
      <w:r>
        <w:t xml:space="preserve">Senile osteoporosis = age-related osteoporosis with current pathological fracture of vertebra = M80.08XA. Active treatment = A.</w:t>
      </w:r>
    </w:p>
    <w:p>
      <w:pPr>
        <w:pStyle w:val="BodyText"/>
      </w:pPr>
      <w:r>
        <w:rPr>
          <w:bCs/>
          <w:b/>
        </w:rPr>
        <w:t xml:space="preserve">Q22. — A) S52.531D</w:t>
      </w:r>
      <w:r>
        <w:t xml:space="preserve"> </w:t>
      </w:r>
      <w:r>
        <w:t xml:space="preserve">Colles fracture, healing normally with routine care = S52.531D (subsequent encounter for closed fracture with routine healing).</w:t>
      </w:r>
    </w:p>
    <w:p>
      <w:pPr>
        <w:pStyle w:val="BodyText"/>
      </w:pPr>
      <w:r>
        <w:rPr>
          <w:bCs/>
          <w:b/>
        </w:rPr>
        <w:t xml:space="preserve">Q23. — A) M84.451A, C79.51, C50.911</w:t>
      </w:r>
      <w:r>
        <w:t xml:space="preserve"> </w:t>
      </w:r>
      <w:r>
        <w:t xml:space="preserve">Pathological fracture due to neoplastic disease of right femur = M84.451A. Then the metastatic site (C79.51) and primary cancer (C50.911). Active treatment = A.</w:t>
      </w:r>
    </w:p>
    <w:p>
      <w:pPr>
        <w:pStyle w:val="BodyText"/>
      </w:pPr>
      <w:r>
        <w:rPr>
          <w:bCs/>
          <w:b/>
        </w:rPr>
        <w:t xml:space="preserve">Q24. — A) M45.9, H20.9</w:t>
      </w:r>
      <w:r>
        <w:t xml:space="preserve"> </w:t>
      </w:r>
      <w:r>
        <w:t xml:space="preserve">Ankylosing spondylitis = M45.9. Iritis/anterior uveitis = H20.9 (coded separately when documented).</w:t>
      </w:r>
    </w:p>
    <w:p>
      <w:pPr>
        <w:pStyle w:val="BodyText"/>
      </w:pPr>
      <w:r>
        <w:rPr>
          <w:bCs/>
          <w:b/>
        </w:rPr>
        <w:t xml:space="preserve">Q25. — A) S42.291D</w:t>
      </w:r>
      <w:r>
        <w:t xml:space="preserve"> </w:t>
      </w:r>
      <w:r>
        <w:t xml:space="preserve">Healing proximal humerus fracture (comminuted) = S42.291D. The fracture code with D is used during the healing phase. Z47.89 is used when no fracture code is reportable.</w:t>
      </w:r>
    </w:p>
    <w:p>
      <w:pPr>
        <w:pStyle w:val="BodyText"/>
      </w:pPr>
      <w:r>
        <w:rPr>
          <w:bCs/>
          <w:b/>
        </w:rPr>
        <w:t xml:space="preserve">Q26. — C) G35</w:t>
      </w:r>
      <w:r>
        <w:t xml:space="preserve"> </w:t>
      </w:r>
      <w:r>
        <w:t xml:space="preserve">Multiple sclerosis = G35. Spasticity is a symptom integral to MS and is generally not coded separately unless it is being specifically and independently treated.</w:t>
      </w:r>
    </w:p>
    <w:p>
      <w:pPr>
        <w:pStyle w:val="BodyText"/>
      </w:pPr>
      <w:r>
        <w:rPr>
          <w:bCs/>
          <w:b/>
        </w:rPr>
        <w:t xml:space="preserve">Q27. — B) I69.351, I69.391</w:t>
      </w:r>
      <w:r>
        <w:t xml:space="preserve"> </w:t>
      </w:r>
      <w:r>
        <w:t xml:space="preserve">Resolved stroke with residual hemiplegia = I69.351 (right-dominant side = dominant). Residual dysphagia = I69.391. The I69 sequela codes replace the acute stroke code.</w:t>
      </w:r>
    </w:p>
    <w:p>
      <w:pPr>
        <w:pStyle w:val="BodyText"/>
      </w:pPr>
      <w:r>
        <w:rPr>
          <w:bCs/>
          <w:b/>
        </w:rPr>
        <w:t xml:space="preserve">Q28. — A) G50.0</w:t>
      </w:r>
      <w:r>
        <w:t xml:space="preserve"> </w:t>
      </w:r>
      <w:r>
        <w:t xml:space="preserve">Trigeminal neuralgia = G50.0.</w:t>
      </w:r>
    </w:p>
    <w:p>
      <w:pPr>
        <w:pStyle w:val="BodyText"/>
      </w:pPr>
      <w:r>
        <w:rPr>
          <w:bCs/>
          <w:b/>
        </w:rPr>
        <w:t xml:space="preserve">Q29. — A) G40.909</w:t>
      </w:r>
      <w:r>
        <w:t xml:space="preserve"> </w:t>
      </w:r>
      <w:r>
        <w:t xml:space="preserve">New seizure disorder, etiology unknown = G40.909 (epilepsy, unspecified, not intractable, without status epilepticus). R56.9 is for a single isolated seizure, not an ongoing disorder.</w:t>
      </w:r>
    </w:p>
    <w:p>
      <w:pPr>
        <w:pStyle w:val="BodyText"/>
      </w:pPr>
      <w:r>
        <w:rPr>
          <w:bCs/>
          <w:b/>
        </w:rPr>
        <w:t xml:space="preserve">Q30. — A) G70.01</w:t>
      </w:r>
      <w:r>
        <w:t xml:space="preserve"> </w:t>
      </w:r>
      <w:r>
        <w:t xml:space="preserve">Myasthenia gravis with exacerbation = G70.01.</w:t>
      </w:r>
    </w:p>
    <w:p>
      <w:pPr>
        <w:pStyle w:val="BodyText"/>
      </w:pPr>
      <w:r>
        <w:rPr>
          <w:bCs/>
          <w:b/>
        </w:rPr>
        <w:t xml:space="preserve">Q31. — A) S14.106D, G82.51</w:t>
      </w:r>
      <w:r>
        <w:t xml:space="preserve"> </w:t>
      </w:r>
      <w:r>
        <w:t xml:space="preserve">Complete spinal cord injury at C6 = S14.106D (subsequent encounter). Quadriplegia, C5-C7 complete = G82.51.</w:t>
      </w:r>
    </w:p>
    <w:p>
      <w:pPr>
        <w:pStyle w:val="BodyText"/>
      </w:pPr>
      <w:r>
        <w:rPr>
          <w:bCs/>
          <w:b/>
        </w:rPr>
        <w:t xml:space="preserve">Q32. — A) G20</w:t>
      </w:r>
      <w:r>
        <w:t xml:space="preserve"> </w:t>
      </w:r>
      <w:r>
        <w:t xml:space="preserve">Parkinson’s disease = G20 as M1021. Freezing of gait and postural instability are integral symptoms and are not separately coded.</w:t>
      </w:r>
    </w:p>
    <w:p>
      <w:pPr>
        <w:pStyle w:val="BodyText"/>
      </w:pPr>
      <w:r>
        <w:rPr>
          <w:bCs/>
          <w:b/>
        </w:rPr>
        <w:t xml:space="preserve">Q33. — A) G12.21, R13.10, Z99.11</w:t>
      </w:r>
      <w:r>
        <w:t xml:space="preserve"> </w:t>
      </w:r>
      <w:r>
        <w:t xml:space="preserve">ALS = G12.21. Dysphagia = R13.10 (independently documented and relevant to care). Z99.11 = dependence on ventilator/BiPAP.</w:t>
      </w:r>
    </w:p>
    <w:p>
      <w:pPr>
        <w:pStyle w:val="BodyText"/>
      </w:pPr>
      <w:r>
        <w:rPr>
          <w:bCs/>
          <w:b/>
        </w:rPr>
        <w:t xml:space="preserve">Q34. — A) G62.0, C85.90</w:t>
      </w:r>
      <w:r>
        <w:t xml:space="preserve"> </w:t>
      </w:r>
      <w:r>
        <w:t xml:space="preserve">Chemotherapy-induced peripheral neuropathy = G62.0 (drug-induced polyneuropathy). If the lymphoma is still active/under treatment, C85.90 is used. If truly in remission, Z85.79 would replace it.</w:t>
      </w:r>
    </w:p>
    <w:p>
      <w:pPr>
        <w:pStyle w:val="BodyText"/>
      </w:pPr>
      <w:r>
        <w:rPr>
          <w:bCs/>
          <w:b/>
        </w:rPr>
        <w:t xml:space="preserve">Q35. — C)</w:t>
      </w:r>
      <w:r>
        <w:t xml:space="preserve"> </w:t>
      </w:r>
      <w:r>
        <w:t xml:space="preserve">Meningitis should be coded with the specific organism-based code when the organism is documented. G00.9 (unspecified bacterial) is used only when the organism is not specified.</w:t>
      </w:r>
    </w:p>
    <w:p>
      <w:pPr>
        <w:pStyle w:val="BodyText"/>
      </w:pPr>
      <w:r>
        <w:rPr>
          <w:bCs/>
          <w:b/>
        </w:rPr>
        <w:t xml:space="preserve">Q36. — D) O90.89</w:t>
      </w:r>
      <w:r>
        <w:t xml:space="preserve"> </w:t>
      </w:r>
      <w:r>
        <w:t xml:space="preserve">A postpartum patient within 6 weeks of delivery with routine surgical wound care = O90.89 (other complications of the puerperium). Chapter 15 obstetric codes apply during the postpartum period (up to 6 weeks).</w:t>
      </w:r>
    </w:p>
    <w:p>
      <w:pPr>
        <w:pStyle w:val="BodyText"/>
      </w:pPr>
      <w:r>
        <w:rPr>
          <w:bCs/>
          <w:b/>
        </w:rPr>
        <w:t xml:space="preserve">Q37. — B) O91.12</w:t>
      </w:r>
      <w:r>
        <w:t xml:space="preserve"> </w:t>
      </w:r>
      <w:r>
        <w:t xml:space="preserve">Mastitis during the puerperium (within 6 weeks postpartum) with breastfeeding = O91.12 (abscess associated with lactation). Chapter 15 codes take precedence during the postpartum period.</w:t>
      </w:r>
    </w:p>
    <w:p>
      <w:pPr>
        <w:pStyle w:val="BodyText"/>
      </w:pPr>
      <w:r>
        <w:rPr>
          <w:bCs/>
          <w:b/>
        </w:rPr>
        <w:t xml:space="preserve">Q38. — B) Z86.32</w:t>
      </w:r>
      <w:r>
        <w:t xml:space="preserve"> </w:t>
      </w:r>
      <w:r>
        <w:t xml:space="preserve">Resolved gestational diabetes postpartum = Z86.32 (personal history of gestational diabetes). Active GDM codes are not used after delivery when the condition has resolved.</w:t>
      </w:r>
    </w:p>
    <w:p>
      <w:pPr>
        <w:pStyle w:val="BodyText"/>
      </w:pPr>
      <w:r>
        <w:rPr>
          <w:bCs/>
          <w:b/>
        </w:rPr>
        <w:t xml:space="preserve">Q39. — A) Q90.9</w:t>
      </w:r>
      <w:r>
        <w:t xml:space="preserve"> </w:t>
      </w:r>
      <w:r>
        <w:t xml:space="preserve">Down syndrome (trisomy 21) = Q90.9 (unspecified) or Q90.0 (trisomy 21, nonmosaicism). Used regardless of the child’s current age.</w:t>
      </w:r>
    </w:p>
    <w:p>
      <w:pPr>
        <w:pStyle w:val="BodyText"/>
      </w:pPr>
      <w:r>
        <w:rPr>
          <w:bCs/>
          <w:b/>
        </w:rPr>
        <w:t xml:space="preserve">Q40. — A) Q-codes</w:t>
      </w:r>
      <w:r>
        <w:t xml:space="preserve"> </w:t>
      </w:r>
      <w:r>
        <w:t xml:space="preserve">Congenital malformations use Chapter 17 Q-codes. P-codes are for conditions originating in the perinatal period, not structural defects.</w:t>
      </w:r>
    </w:p>
    <w:p>
      <w:pPr>
        <w:pStyle w:val="BodyText"/>
      </w:pPr>
      <w:r>
        <w:rPr>
          <w:bCs/>
          <w:b/>
        </w:rPr>
        <w:t xml:space="preserve">Q41. — A) P07.31, P07.02</w:t>
      </w:r>
      <w:r>
        <w:t xml:space="preserve"> </w:t>
      </w:r>
      <w:r>
        <w:t xml:space="preserve">Prematurity-related conditions still being managed = P07.31 (28 completed weeks of gestation) and P07.02 (extremely low birth weight). Chapter 16 P-codes may be used regardless of age when the condition is still present.</w:t>
      </w:r>
    </w:p>
    <w:p>
      <w:pPr>
        <w:pStyle w:val="BodyText"/>
      </w:pPr>
      <w:r>
        <w:rPr>
          <w:bCs/>
          <w:b/>
        </w:rPr>
        <w:t xml:space="preserve">Q42. — A) W11.XXXD, Y93.E9, Y99.8, Y92.009</w:t>
      </w:r>
      <w:r>
        <w:t xml:space="preserve"> </w:t>
      </w:r>
      <w:r>
        <w:t xml:space="preserve">Fall from step stool = W11 (fall from ladder). Activity = Y93.E9 (other specified). External status = Y99.8 (other). Place = Y92.009 (unspecified place in home). All with 7th character D matching the injury.</w:t>
      </w:r>
    </w:p>
    <w:p>
      <w:pPr>
        <w:pStyle w:val="BodyText"/>
      </w:pPr>
      <w:r>
        <w:rPr>
          <w:bCs/>
          <w:b/>
        </w:rPr>
        <w:t xml:space="preserve">Q43. — B)</w:t>
      </w:r>
      <w:r>
        <w:t xml:space="preserve"> </w:t>
      </w:r>
      <w:r>
        <w:t xml:space="preserve">External cause codes are always sequenced after the injury/condition code and are never primary.</w:t>
      </w:r>
    </w:p>
    <w:p>
      <w:pPr>
        <w:pStyle w:val="BodyText"/>
      </w:pPr>
      <w:r>
        <w:rPr>
          <w:bCs/>
          <w:b/>
        </w:rPr>
        <w:t xml:space="preserve">Q44. — A) V43</w:t>
      </w:r>
      <w:r>
        <w:t xml:space="preserve"> </w:t>
      </w:r>
      <w:r>
        <w:t xml:space="preserve">Car occupant injured in collision with another car = V43 category.</w:t>
      </w:r>
    </w:p>
    <w:p>
      <w:pPr>
        <w:pStyle w:val="BodyText"/>
      </w:pPr>
      <w:r>
        <w:rPr>
          <w:bCs/>
          <w:b/>
        </w:rPr>
        <w:t xml:space="preserve">Q45. — A) W01.0XXD</w:t>
      </w:r>
      <w:r>
        <w:t xml:space="preserve"> </w:t>
      </w:r>
      <w:r>
        <w:t xml:space="preserve">Fall on same level from tripping (over an object/animal) = W01.0XXD. D for subsequent encounter during HH.</w:t>
      </w:r>
    </w:p>
    <w:p>
      <w:pPr>
        <w:pStyle w:val="BodyText"/>
      </w:pPr>
      <w:r>
        <w:rPr>
          <w:bCs/>
          <w:b/>
        </w:rPr>
        <w:t xml:space="preserve">Q46. — B)</w:t>
      </w:r>
      <w:r>
        <w:t xml:space="preserve"> </w:t>
      </w:r>
      <w:r>
        <w:t xml:space="preserve">External cause codes describe the cause/mechanism, place of occurrence, activity at the time, and external status of the injury event.</w:t>
      </w:r>
    </w:p>
    <w:p>
      <w:pPr>
        <w:pStyle w:val="BodyText"/>
      </w:pPr>
      <w:r>
        <w:rPr>
          <w:bCs/>
          <w:b/>
        </w:rPr>
        <w:t xml:space="preserve">Q47. — D) R29.6, Z91.81, W18.30XD</w:t>
      </w:r>
      <w:r>
        <w:t xml:space="preserve"> </w:t>
      </w:r>
      <w:r>
        <w:t xml:space="preserve">R29.6 (repeated falls, current finding), Z91.81 (history of falling, ongoing risk), plus the external cause code for the current fall event with D.</w:t>
      </w:r>
    </w:p>
    <w:p>
      <w:pPr>
        <w:pStyle w:val="BodyText"/>
      </w:pPr>
      <w:r>
        <w:rPr>
          <w:bCs/>
          <w:b/>
        </w:rPr>
        <w:t xml:space="preserve">Q48. — A) F33.2</w:t>
      </w:r>
      <w:r>
        <w:t xml:space="preserve"> </w:t>
      </w:r>
      <w:r>
        <w:t xml:space="preserve">Major depressive disorder, recurrent, severe, without psychotic features = F33.2. F32 is single episode; F33 is recurrent.</w:t>
      </w:r>
    </w:p>
    <w:p>
      <w:pPr>
        <w:pStyle w:val="BodyText"/>
      </w:pPr>
      <w:r>
        <w:rPr>
          <w:bCs/>
          <w:b/>
        </w:rPr>
        <w:t xml:space="preserve">Q49. — A) F31.2</w:t>
      </w:r>
      <w:r>
        <w:t xml:space="preserve"> </w:t>
      </w:r>
      <w:r>
        <w:t xml:space="preserve">Bipolar I, current episode manic, severe, with psychotic features = F31.2.</w:t>
      </w:r>
    </w:p>
    <w:p>
      <w:pPr>
        <w:pStyle w:val="BodyText"/>
      </w:pPr>
      <w:r>
        <w:rPr>
          <w:bCs/>
          <w:b/>
        </w:rPr>
        <w:t xml:space="preserve">Q50. — A) F43.10</w:t>
      </w:r>
      <w:r>
        <w:t xml:space="preserve"> </w:t>
      </w:r>
      <w:r>
        <w:t xml:space="preserve">PTSD = F43.10 (post-traumatic stress disorder, unspecified). F43.12 is chronic PTSD — only assigned when specifically documented as chronic.</w:t>
      </w:r>
    </w:p>
    <w:p>
      <w:pPr>
        <w:pStyle w:val="BodyText"/>
      </w:pPr>
      <w:r>
        <w:rPr>
          <w:bCs/>
          <w:b/>
        </w:rPr>
        <w:t xml:space="preserve">Q51. — A) F10.27</w:t>
      </w:r>
      <w:r>
        <w:t xml:space="preserve"> </w:t>
      </w:r>
      <w:r>
        <w:t xml:space="preserve">Alcohol use disorder with alcohol-induced persisting dementia = F10.27 (alcohol dependence with dementia). This combination code captures both conditions.</w:t>
      </w:r>
    </w:p>
    <w:p>
      <w:pPr>
        <w:pStyle w:val="BodyText"/>
      </w:pPr>
      <w:r>
        <w:rPr>
          <w:bCs/>
          <w:b/>
        </w:rPr>
        <w:t xml:space="preserve">Q52. — B) F11.21, Z79.891</w:t>
      </w:r>
      <w:r>
        <w:t xml:space="preserve"> </w:t>
      </w:r>
      <w:r>
        <w:t xml:space="preserve">Opioid dependence in remission = F11.21. Z79.891 = long-term use of opiate analgesic (buprenorphine is an opiate).</w:t>
      </w:r>
    </w:p>
    <w:p>
      <w:pPr>
        <w:pStyle w:val="BodyText"/>
      </w:pPr>
      <w:r>
        <w:rPr>
          <w:bCs/>
          <w:b/>
        </w:rPr>
        <w:t xml:space="preserve">Q53. — C) G89.4, M25.551, M54.50</w:t>
      </w:r>
      <w:r>
        <w:t xml:space="preserve"> </w:t>
      </w:r>
      <w:r>
        <w:t xml:space="preserve">Chronic pain syndrome = G89.4. This is a specific syndrome and is coded separately from G89.29 (other chronic pain). Site-specific pain codes follow.</w:t>
      </w:r>
    </w:p>
    <w:p>
      <w:pPr>
        <w:pStyle w:val="BodyText"/>
      </w:pPr>
      <w:r>
        <w:rPr>
          <w:bCs/>
          <w:b/>
        </w:rPr>
        <w:t xml:space="preserve">Q54. — A) G89.29, Z79.891</w:t>
      </w:r>
      <w:r>
        <w:t xml:space="preserve"> </w:t>
      </w:r>
      <w:r>
        <w:t xml:space="preserve">Chronic pain = G89.29 when relevant to the care plan. Z79.891 = long-term opioid use.</w:t>
      </w:r>
    </w:p>
    <w:p>
      <w:pPr>
        <w:pStyle w:val="BodyText"/>
      </w:pPr>
      <w:r>
        <w:rPr>
          <w:bCs/>
          <w:b/>
        </w:rPr>
        <w:t xml:space="preserve">Q55. — D) Z87.440, Z79.2</w:t>
      </w:r>
      <w:r>
        <w:t xml:space="preserve"> </w:t>
      </w:r>
      <w:r>
        <w:t xml:space="preserve">History of recurrent UTIs (no current UTI) = Z87.440. Long-term prophylactic antibiotics = Z79.2.</w:t>
      </w:r>
    </w:p>
    <w:p>
      <w:pPr>
        <w:pStyle w:val="BodyText"/>
      </w:pPr>
      <w:r>
        <w:rPr>
          <w:bCs/>
          <w:b/>
        </w:rPr>
        <w:t xml:space="preserve">Q56. — B) N18.4 — CKD first</w:t>
      </w:r>
      <w:r>
        <w:t xml:space="preserve"> </w:t>
      </w:r>
      <w:r>
        <w:t xml:space="preserve">D63.1 has a</w:t>
      </w:r>
      <w:r>
        <w:t xml:space="preserve"> </w:t>
      </w:r>
      <w:r>
        <w:t xml:space="preserve">“</w:t>
      </w:r>
      <w:r>
        <w:t xml:space="preserve">code first</w:t>
      </w:r>
      <w:r>
        <w:t xml:space="preserve">”</w:t>
      </w:r>
      <w:r>
        <w:t xml:space="preserve"> </w:t>
      </w:r>
      <w:r>
        <w:t xml:space="preserve">note directing the underlying CKD to be sequenced first.</w:t>
      </w:r>
    </w:p>
    <w:p>
      <w:pPr>
        <w:pStyle w:val="BodyText"/>
      </w:pPr>
      <w:r>
        <w:rPr>
          <w:bCs/>
          <w:b/>
        </w:rPr>
        <w:t xml:space="preserve">Q57. — A) D50.0, K64.8</w:t>
      </w:r>
      <w:r>
        <w:t xml:space="preserve"> </w:t>
      </w:r>
      <w:r>
        <w:t xml:space="preserve">Iron deficiency anemia due to chronic blood loss = D50.0. The source of blood loss (hemorrhoids K64.8) is coded additionally.</w:t>
      </w:r>
    </w:p>
    <w:p>
      <w:pPr>
        <w:pStyle w:val="BodyText"/>
      </w:pPr>
      <w:r>
        <w:rPr>
          <w:bCs/>
          <w:b/>
        </w:rPr>
        <w:t xml:space="preserve">Q58. — A) D57.00, M87.051</w:t>
      </w:r>
      <w:r>
        <w:t xml:space="preserve"> </w:t>
      </w:r>
      <w:r>
        <w:t xml:space="preserve">Sickle cell disease Hb SS without crisis (crisis resolved) = D57.00. Avascular necrosis of right hip = M87.051.</w:t>
      </w:r>
    </w:p>
    <w:p>
      <w:pPr>
        <w:pStyle w:val="BodyText"/>
      </w:pPr>
      <w:r>
        <w:rPr>
          <w:bCs/>
          <w:b/>
        </w:rPr>
        <w:t xml:space="preserve">Q59. — A) E11.311, Z79.84</w:t>
      </w:r>
      <w:r>
        <w:t xml:space="preserve"> </w:t>
      </w:r>
      <w:r>
        <w:t xml:space="preserve">Type 2 DM with diabetic macular edema, right eye = E11.311. Z79.84 = long-term oral hypoglycemic use (metformin).</w:t>
      </w:r>
    </w:p>
    <w:p>
      <w:pPr>
        <w:pStyle w:val="BodyText"/>
      </w:pPr>
      <w:r>
        <w:rPr>
          <w:bCs/>
          <w:b/>
        </w:rPr>
        <w:t xml:space="preserve">Q60. — B) N18.6</w:t>
      </w:r>
      <w:r>
        <w:t xml:space="preserve"> </w:t>
      </w:r>
      <w:r>
        <w:t xml:space="preserve">ESRD = N18.6 as M1021 (the underlying condition driving the need for dialysis management). Z99.2 is secondary.</w:t>
      </w:r>
    </w:p>
    <w:p>
      <w:pPr>
        <w:pStyle w:val="BodyText"/>
      </w:pPr>
      <w:r>
        <w:rPr>
          <w:bCs/>
          <w:b/>
        </w:rPr>
        <w:t xml:space="preserve">Q61. — B) I50.32</w:t>
      </w:r>
      <w:r>
        <w:t xml:space="preserve"> </w:t>
      </w:r>
      <w:r>
        <w:t xml:space="preserve">Chronic diastolic (preserved EF) heart failure = I50.32.</w:t>
      </w:r>
    </w:p>
    <w:p>
      <w:pPr>
        <w:pStyle w:val="BodyText"/>
      </w:pPr>
      <w:r>
        <w:rPr>
          <w:bCs/>
          <w:b/>
        </w:rPr>
        <w:t xml:space="preserve">Q62. — A) I50.42</w:t>
      </w:r>
      <w:r>
        <w:t xml:space="preserve"> </w:t>
      </w:r>
      <w:r>
        <w:t xml:space="preserve">Chronic combined systolic and diastolic heart failure = I50.42.</w:t>
      </w:r>
    </w:p>
    <w:p>
      <w:pPr>
        <w:pStyle w:val="BodyText"/>
      </w:pPr>
      <w:r>
        <w:rPr>
          <w:bCs/>
          <w:b/>
        </w:rPr>
        <w:t xml:space="preserve">Q63. — A) I16.0</w:t>
      </w:r>
      <w:r>
        <w:t xml:space="preserve"> </w:t>
      </w:r>
      <w:r>
        <w:t xml:space="preserve">Hypertensive urgency = I16.0. This is distinct from I10 (essential HTN).</w:t>
      </w:r>
    </w:p>
    <w:p>
      <w:pPr>
        <w:pStyle w:val="BodyText"/>
      </w:pPr>
      <w:r>
        <w:rPr>
          <w:bCs/>
          <w:b/>
        </w:rPr>
        <w:t xml:space="preserve">Q64. — B) I44.7, I48.92</w:t>
      </w:r>
      <w:r>
        <w:t xml:space="preserve"> </w:t>
      </w:r>
      <w:r>
        <w:t xml:space="preserve">Left bundle branch block = I44.7. Atrial flutter, unspecified = I48.92.</w:t>
      </w:r>
    </w:p>
    <w:p>
      <w:pPr>
        <w:pStyle w:val="BodyText"/>
      </w:pPr>
      <w:r>
        <w:rPr>
          <w:bCs/>
          <w:b/>
        </w:rPr>
        <w:t xml:space="preserve">Q65. — A) J81.0, I50.1</w:t>
      </w:r>
      <w:r>
        <w:t xml:space="preserve"> </w:t>
      </w:r>
      <w:r>
        <w:t xml:space="preserve">Acute pulmonary edema = J81.0. Left heart failure = I50.1. Both are coded per the</w:t>
      </w:r>
      <w:r>
        <w:t xml:space="preserve"> </w:t>
      </w:r>
      <w:r>
        <w:t xml:space="preserve">“</w:t>
      </w:r>
      <w:r>
        <w:t xml:space="preserve">code also</w:t>
      </w:r>
      <w:r>
        <w:t xml:space="preserve">”</w:t>
      </w:r>
      <w:r>
        <w:t xml:space="preserve"> </w:t>
      </w:r>
      <w:r>
        <w:t xml:space="preserve">instruction.</w:t>
      </w:r>
    </w:p>
    <w:p>
      <w:pPr>
        <w:pStyle w:val="BodyText"/>
      </w:pPr>
      <w:r>
        <w:rPr>
          <w:bCs/>
          <w:b/>
        </w:rPr>
        <w:t xml:space="preserve">Q66. — B) I82.711</w:t>
      </w:r>
      <w:r>
        <w:t xml:space="preserve"> </w:t>
      </w:r>
      <w:r>
        <w:t xml:space="preserve">Chronic DVT of right common iliac vein = I82.711. I82.211 is the acute form.</w:t>
      </w:r>
    </w:p>
    <w:p>
      <w:pPr>
        <w:pStyle w:val="BodyText"/>
      </w:pPr>
      <w:r>
        <w:rPr>
          <w:bCs/>
          <w:b/>
        </w:rPr>
        <w:t xml:space="preserve">Q67. — A) I26.02, Z79.01</w:t>
      </w:r>
      <w:r>
        <w:t xml:space="preserve"> </w:t>
      </w:r>
      <w:r>
        <w:t xml:space="preserve">PE with saddle embolus = I26.02. Z79.01 = long-term anticoagulant.</w:t>
      </w:r>
    </w:p>
    <w:p>
      <w:pPr>
        <w:pStyle w:val="BodyText"/>
      </w:pPr>
      <w:r>
        <w:rPr>
          <w:bCs/>
          <w:b/>
        </w:rPr>
        <w:t xml:space="preserve">Q68. — B) E10.3513</w:t>
      </w:r>
      <w:r>
        <w:t xml:space="preserve"> </w:t>
      </w:r>
      <w:r>
        <w:t xml:space="preserve">Type 1 DM with proliferative diabetic retinopathy, bilateral, with macular edema = E10.3513.</w:t>
      </w:r>
    </w:p>
    <w:p>
      <w:pPr>
        <w:pStyle w:val="BodyText"/>
      </w:pPr>
      <w:r>
        <w:rPr>
          <w:bCs/>
          <w:b/>
        </w:rPr>
        <w:t xml:space="preserve">Q69. — A) E03.9, E78.5, Z79.899</w:t>
      </w:r>
      <w:r>
        <w:t xml:space="preserve"> </w:t>
      </w:r>
      <w:r>
        <w:t xml:space="preserve">Hypothyroidism = E03.9. Hyperlipidemia = E78.5. Z79.899 = long-term drug therapy (levothyroxine).</w:t>
      </w:r>
    </w:p>
    <w:p>
      <w:pPr>
        <w:pStyle w:val="BodyText"/>
      </w:pPr>
      <w:r>
        <w:rPr>
          <w:bCs/>
          <w:b/>
        </w:rPr>
        <w:t xml:space="preserve">Q70. — B) E27.2</w:t>
      </w:r>
      <w:r>
        <w:t xml:space="preserve"> </w:t>
      </w:r>
      <w:r>
        <w:t xml:space="preserve">Addisonian crisis = E27.2.</w:t>
      </w:r>
    </w:p>
    <w:p>
      <w:pPr>
        <w:pStyle w:val="BodyText"/>
      </w:pPr>
      <w:r>
        <w:rPr>
          <w:bCs/>
          <w:b/>
        </w:rPr>
        <w:t xml:space="preserve">Q71. — A) E22.2, E87.1</w:t>
      </w:r>
      <w:r>
        <w:t xml:space="preserve"> </w:t>
      </w:r>
      <w:r>
        <w:t xml:space="preserve">SIADH = E22.2. Hyponatremia = E87.1 (coded additionally per</w:t>
      </w:r>
      <w:r>
        <w:t xml:space="preserve"> </w:t>
      </w:r>
      <w:r>
        <w:t xml:space="preserve">“</w:t>
      </w:r>
      <w:r>
        <w:t xml:space="preserve">code also</w:t>
      </w:r>
      <w:r>
        <w:t xml:space="preserve">”</w:t>
      </w:r>
      <w:r>
        <w:t xml:space="preserve"> </w:t>
      </w:r>
      <w:r>
        <w:t xml:space="preserve">note).</w:t>
      </w:r>
    </w:p>
    <w:p>
      <w:pPr>
        <w:pStyle w:val="BodyText"/>
      </w:pPr>
      <w:r>
        <w:rPr>
          <w:bCs/>
          <w:b/>
        </w:rPr>
        <w:t xml:space="preserve">Q72. — A) F20.0</w:t>
      </w:r>
      <w:r>
        <w:t xml:space="preserve"> </w:t>
      </w:r>
      <w:r>
        <w:t xml:space="preserve">Paranoid schizophrenia = F20.0.</w:t>
      </w:r>
    </w:p>
    <w:p>
      <w:pPr>
        <w:pStyle w:val="BodyText"/>
      </w:pPr>
      <w:r>
        <w:rPr>
          <w:bCs/>
          <w:b/>
        </w:rPr>
        <w:t xml:space="preserve">Q73. — A) G47.33, Z99.89</w:t>
      </w:r>
      <w:r>
        <w:t xml:space="preserve"> </w:t>
      </w:r>
      <w:r>
        <w:t xml:space="preserve">Obstructive sleep apnea = G47.33. CPAP dependence = Z99.89 (dependence on other enabling machines and devices).</w:t>
      </w:r>
    </w:p>
    <w:p>
      <w:pPr>
        <w:pStyle w:val="BodyText"/>
      </w:pPr>
      <w:r>
        <w:rPr>
          <w:bCs/>
          <w:b/>
        </w:rPr>
        <w:t xml:space="preserve">Q74. — A) I62.01</w:t>
      </w:r>
      <w:r>
        <w:t xml:space="preserve"> </w:t>
      </w:r>
      <w:r>
        <w:t xml:space="preserve">Non-traumatic chronic subdural hematoma = I62.01. Traumatic codes (S06) are for injury-caused hematomas.</w:t>
      </w:r>
    </w:p>
    <w:p>
      <w:pPr>
        <w:pStyle w:val="BodyText"/>
      </w:pPr>
      <w:r>
        <w:rPr>
          <w:bCs/>
          <w:b/>
        </w:rPr>
        <w:t xml:space="preserve">Q75. — B)</w:t>
      </w:r>
      <w:r>
        <w:t xml:space="preserve"> </w:t>
      </w:r>
      <w:r>
        <w:t xml:space="preserve">The hospitalization risk items assess clinical, functional, and behavioral risk factors.</w:t>
      </w:r>
    </w:p>
    <w:p>
      <w:pPr>
        <w:pStyle w:val="BodyText"/>
      </w:pPr>
      <w:r>
        <w:rPr>
          <w:bCs/>
          <w:b/>
        </w:rPr>
        <w:t xml:space="preserve">Q76. — B)</w:t>
      </w:r>
      <w:r>
        <w:t xml:space="preserve"> </w:t>
      </w:r>
      <w:r>
        <w:t xml:space="preserve">Discharge OASIS is required when the patient is formally discharged from home health agency services.</w:t>
      </w:r>
    </w:p>
    <w:p>
      <w:pPr>
        <w:pStyle w:val="BodyText"/>
      </w:pPr>
      <w:r>
        <w:rPr>
          <w:bCs/>
          <w:b/>
        </w:rPr>
        <w:t xml:space="preserve">Q77. — A)</w:t>
      </w:r>
      <w:r>
        <w:t xml:space="preserve"> </w:t>
      </w:r>
      <w:r>
        <w:t xml:space="preserve">M1021 remains the CHF unless the pneumonia becomes the primary reason for skilled services. Simply having a new diagnosis does not automatically change M1021.</w:t>
      </w:r>
    </w:p>
    <w:p>
      <w:pPr>
        <w:pStyle w:val="BodyText"/>
      </w:pPr>
      <w:r>
        <w:rPr>
          <w:bCs/>
          <w:b/>
        </w:rPr>
        <w:t xml:space="preserve">Q78. — B) 5</w:t>
      </w:r>
      <w:r>
        <w:t xml:space="preserve"> </w:t>
      </w:r>
      <w:r>
        <w:t xml:space="preserve">M1023 allows up to 5 secondary diagnoses (M1023a through M1023e) plus M1025 (optional payment diagnoses).</w:t>
      </w:r>
    </w:p>
    <w:p>
      <w:pPr>
        <w:pStyle w:val="BodyText"/>
      </w:pPr>
      <w:r>
        <w:rPr>
          <w:bCs/>
          <w:b/>
        </w:rPr>
        <w:t xml:space="preserve">Q79. — A)</w:t>
      </w:r>
      <w:r>
        <w:t xml:space="preserve"> </w:t>
      </w:r>
      <w:r>
        <w:t xml:space="preserve">External cause codes may be listed in M1023 secondary diagnosis fields when they add relevant clinical information.</w:t>
      </w:r>
    </w:p>
    <w:p>
      <w:pPr>
        <w:pStyle w:val="BodyText"/>
      </w:pPr>
      <w:r>
        <w:rPr>
          <w:bCs/>
          <w:b/>
        </w:rPr>
        <w:t xml:space="preserve">Q80. — B)</w:t>
      </w:r>
      <w:r>
        <w:t xml:space="preserve"> </w:t>
      </w:r>
      <w:r>
        <w:t xml:space="preserve">When the primary wound heals, M1021 should be updated to the next most clinically relevant condition driving the home health plan of care.</w:t>
      </w:r>
    </w:p>
    <w:p>
      <w:pPr>
        <w:pStyle w:val="BodyText"/>
      </w:pPr>
      <w:r>
        <w:rPr>
          <w:bCs/>
          <w:b/>
        </w:rPr>
        <w:t xml:space="preserve">Q81. — B)</w:t>
      </w:r>
      <w:r>
        <w:t xml:space="preserve"> </w:t>
      </w:r>
      <w:r>
        <w:t xml:space="preserve">All conditions that coexist at the time of assessment and could affect treatment response, recovery rate, or need for skilled services should be reported.</w:t>
      </w:r>
    </w:p>
    <w:p>
      <w:pPr>
        <w:pStyle w:val="BodyText"/>
      </w:pPr>
      <w:r>
        <w:rPr>
          <w:bCs/>
          <w:b/>
        </w:rPr>
        <w:t xml:space="preserve">Q82. — A) N39.46</w:t>
      </w:r>
      <w:r>
        <w:t xml:space="preserve"> </w:t>
      </w:r>
      <w:r>
        <w:t xml:space="preserve">Mixed incontinence (stress and urge) = N39.46. This combination code captures both types.</w:t>
      </w:r>
    </w:p>
    <w:p>
      <w:pPr>
        <w:pStyle w:val="BodyText"/>
      </w:pPr>
      <w:r>
        <w:rPr>
          <w:bCs/>
          <w:b/>
        </w:rPr>
        <w:t xml:space="preserve">Q83. — A) K59.2, G95.89</w:t>
      </w:r>
      <w:r>
        <w:t xml:space="preserve"> </w:t>
      </w:r>
      <w:r>
        <w:t xml:space="preserve">Neurogenic bowel = K59.2 (neurogenic bowel, not elsewhere classified). The underlying spinal cord condition provides the etiology.</w:t>
      </w:r>
    </w:p>
    <w:p>
      <w:pPr>
        <w:pStyle w:val="BodyText"/>
      </w:pPr>
      <w:r>
        <w:rPr>
          <w:bCs/>
          <w:b/>
        </w:rPr>
        <w:t xml:space="preserve">Q84. — B)</w:t>
      </w:r>
      <w:r>
        <w:t xml:space="preserve"> </w:t>
      </w:r>
      <w:r>
        <w:t xml:space="preserve">In home health, the DVT is coded as an active condition regardless of where it originated. There is no special</w:t>
      </w:r>
      <w:r>
        <w:t xml:space="preserve"> </w:t>
      </w:r>
      <w:r>
        <w:t xml:space="preserve">“</w:t>
      </w:r>
      <w:r>
        <w:t xml:space="preserve">hospital-acquired</w:t>
      </w:r>
      <w:r>
        <w:t xml:space="preserve">”</w:t>
      </w:r>
      <w:r>
        <w:t xml:space="preserve"> </w:t>
      </w:r>
      <w:r>
        <w:t xml:space="preserve">modifier in HH coding.</w:t>
      </w:r>
    </w:p>
    <w:p>
      <w:pPr>
        <w:pStyle w:val="BodyText"/>
      </w:pPr>
      <w:r>
        <w:rPr>
          <w:bCs/>
          <w:b/>
        </w:rPr>
        <w:t xml:space="preserve">Q85. — A) H25.13, H35.3113</w:t>
      </w:r>
      <w:r>
        <w:t xml:space="preserve"> </w:t>
      </w:r>
      <w:r>
        <w:t xml:space="preserve">Even if not the reason for HH, comorbidities affecting the patient should be coded. Bilateral cataracts = H25.13. Dry macular degeneration, bilateral = H35.3113.</w:t>
      </w:r>
    </w:p>
    <w:p>
      <w:pPr>
        <w:pStyle w:val="BodyText"/>
      </w:pPr>
      <w:r>
        <w:rPr>
          <w:bCs/>
          <w:b/>
        </w:rPr>
        <w:t xml:space="preserve">Q86. — B) Z22.322</w:t>
      </w:r>
      <w:r>
        <w:t xml:space="preserve"> </w:t>
      </w:r>
      <w:r>
        <w:t xml:space="preserve">MRSA colonization (carrier status) without active infection = Z22.322.</w:t>
      </w:r>
    </w:p>
    <w:p>
      <w:pPr>
        <w:pStyle w:val="BodyText"/>
      </w:pPr>
      <w:r>
        <w:rPr>
          <w:bCs/>
          <w:b/>
        </w:rPr>
        <w:t xml:space="preserve">Q87. — A) E11.43</w:t>
      </w:r>
      <w:r>
        <w:t xml:space="preserve"> </w:t>
      </w:r>
      <w:r>
        <w:t xml:space="preserve">Type 2 DM with diabetic gastroparesis = E11.43. The</w:t>
      </w:r>
      <w:r>
        <w:t xml:space="preserve"> </w:t>
      </w:r>
      <w:r>
        <w:t xml:space="preserve">“</w:t>
      </w:r>
      <w:r>
        <w:t xml:space="preserve">with</w:t>
      </w:r>
      <w:r>
        <w:t xml:space="preserve">”</w:t>
      </w:r>
      <w:r>
        <w:t xml:space="preserve"> </w:t>
      </w:r>
      <w:r>
        <w:t xml:space="preserve">convention presumes the link. This combination code includes both.</w:t>
      </w:r>
    </w:p>
    <w:p>
      <w:pPr>
        <w:pStyle w:val="BodyText"/>
      </w:pPr>
      <w:r>
        <w:rPr>
          <w:bCs/>
          <w:b/>
        </w:rPr>
        <w:t xml:space="preserve">Q88. — A) K86.0</w:t>
      </w:r>
      <w:r>
        <w:t xml:space="preserve"> </w:t>
      </w:r>
      <w:r>
        <w:t xml:space="preserve">Alcohol-induced chronic pancreatitis = K86.0. This combination code includes the alcoholic etiology.</w:t>
      </w:r>
    </w:p>
    <w:p>
      <w:pPr>
        <w:pStyle w:val="BodyText"/>
      </w:pPr>
      <w:r>
        <w:rPr>
          <w:bCs/>
          <w:b/>
        </w:rPr>
        <w:t xml:space="preserve">Q89. — B) I85.01, K70.31</w:t>
      </w:r>
      <w:r>
        <w:t xml:space="preserve"> </w:t>
      </w:r>
      <w:r>
        <w:t xml:space="preserve">Esophageal varices with bleeding in alcoholic cirrhosis: K70.31 (alcoholic cirrhosis with ascites, or K70.30 without) is coded per</w:t>
      </w:r>
      <w:r>
        <w:t xml:space="preserve"> </w:t>
      </w:r>
      <w:r>
        <w:t xml:space="preserve">“</w:t>
      </w:r>
      <w:r>
        <w:t xml:space="preserve">code first</w:t>
      </w:r>
      <w:r>
        <w:t xml:space="preserve">”</w:t>
      </w:r>
      <w:r>
        <w:t xml:space="preserve"> </w:t>
      </w:r>
      <w:r>
        <w:t xml:space="preserve">note under I85.01 (esophageal varices with bleeding in diseases classified elsewhere). Verify specific combination per code book.</w:t>
      </w:r>
    </w:p>
    <w:p>
      <w:pPr>
        <w:pStyle w:val="BodyText"/>
      </w:pPr>
      <w:r>
        <w:rPr>
          <w:bCs/>
          <w:b/>
        </w:rPr>
        <w:t xml:space="preserve">Q90. — A) K94.22</w:t>
      </w:r>
      <w:r>
        <w:t xml:space="preserve"> </w:t>
      </w:r>
      <w:r>
        <w:t xml:space="preserve">Infection of gastrostomy = K94.22 (gastrostomy infection). This specific complication code is used for G-tube site infections.</w:t>
      </w:r>
    </w:p>
    <w:p>
      <w:pPr>
        <w:pStyle w:val="BodyText"/>
      </w:pPr>
      <w:r>
        <w:rPr>
          <w:bCs/>
          <w:b/>
        </w:rPr>
        <w:t xml:space="preserve">Q91. — A) M02.861</w:t>
      </w:r>
      <w:r>
        <w:t xml:space="preserve"> </w:t>
      </w:r>
      <w:r>
        <w:t xml:space="preserve">Reactive arthritis of right knee = M02.861.</w:t>
      </w:r>
    </w:p>
    <w:p>
      <w:pPr>
        <w:pStyle w:val="BodyText"/>
      </w:pPr>
      <w:r>
        <w:rPr>
          <w:bCs/>
          <w:b/>
        </w:rPr>
        <w:t xml:space="preserve">Q92. — A) K41.30</w:t>
      </w:r>
      <w:r>
        <w:t xml:space="preserve"> </w:t>
      </w:r>
      <w:r>
        <w:t xml:space="preserve">Femoral hernia with obstruction without gangrene, unilateral = K41.30.</w:t>
      </w:r>
    </w:p>
    <w:p>
      <w:pPr>
        <w:pStyle w:val="BodyText"/>
      </w:pPr>
      <w:r>
        <w:rPr>
          <w:bCs/>
          <w:b/>
        </w:rPr>
        <w:t xml:space="preserve">Q93. — A) N11.1</w:t>
      </w:r>
      <w:r>
        <w:t xml:space="preserve"> </w:t>
      </w:r>
      <w:r>
        <w:t xml:space="preserve">Chronic obstructive pyelonephritis = N11.1.</w:t>
      </w:r>
    </w:p>
    <w:p>
      <w:pPr>
        <w:pStyle w:val="BodyText"/>
      </w:pPr>
      <w:r>
        <w:rPr>
          <w:bCs/>
          <w:b/>
        </w:rPr>
        <w:t xml:space="preserve">Q94. — D) Z48.89, Z96.0</w:t>
      </w:r>
      <w:r>
        <w:t xml:space="preserve"> </w:t>
      </w:r>
      <w:r>
        <w:t xml:space="preserve">Aftercare following lithotripsy = Z48.89 (other surgical aftercare). Z96.0 = presence of urogenital implant (ureteral stent). The stone was removed; N20.0 is no longer coded.</w:t>
      </w:r>
    </w:p>
    <w:p>
      <w:pPr>
        <w:pStyle w:val="BodyText"/>
      </w:pPr>
      <w:r>
        <w:rPr>
          <w:bCs/>
          <w:b/>
        </w:rPr>
        <w:t xml:space="preserve">Q95. — A) K70.41</w:t>
      </w:r>
      <w:r>
        <w:t xml:space="preserve"> </w:t>
      </w:r>
      <w:r>
        <w:t xml:space="preserve">Alcoholic hepatic failure with coma (hepatic encephalopathy) = K70.41. This combination code captures both.</w:t>
      </w:r>
    </w:p>
    <w:p>
      <w:pPr>
        <w:pStyle w:val="BodyText"/>
      </w:pPr>
      <w:r>
        <w:rPr>
          <w:bCs/>
          <w:b/>
        </w:rPr>
        <w:t xml:space="preserve">Q96. — A) I48.91</w:t>
      </w:r>
      <w:r>
        <w:t xml:space="preserve"> </w:t>
      </w:r>
      <w:r>
        <w:t xml:space="preserve">Atrial fibrillation, unspecified = I48.91. Rapid ventricular response is a clinical finding integral to the AF and is not separately coded. Specific AF type (paroxysmal, persistent) codes if documented.</w:t>
      </w:r>
    </w:p>
    <w:p>
      <w:pPr>
        <w:pStyle w:val="BodyText"/>
      </w:pPr>
      <w:r>
        <w:rPr>
          <w:bCs/>
          <w:b/>
        </w:rPr>
        <w:t xml:space="preserve">Q97. — C)</w:t>
      </w:r>
      <w:r>
        <w:t xml:space="preserve"> </w:t>
      </w:r>
      <w:r>
        <w:t xml:space="preserve">“</w:t>
      </w:r>
      <w:r>
        <w:t xml:space="preserve">Pre-sepsis</w:t>
      </w:r>
      <w:r>
        <w:t xml:space="preserve">”</w:t>
      </w:r>
      <w:r>
        <w:t xml:space="preserve"> </w:t>
      </w:r>
      <w:r>
        <w:t xml:space="preserve">is not a recognized ICD-10-CM term. Code the documented infection and query the physician for clarification on whether sepsis criteria are met.</w:t>
      </w:r>
    </w:p>
    <w:p>
      <w:pPr>
        <w:pStyle w:val="BodyText"/>
      </w:pPr>
      <w:r>
        <w:rPr>
          <w:bCs/>
          <w:b/>
        </w:rPr>
        <w:t xml:space="preserve">Q98. — B) C25.9</w:t>
      </w:r>
      <w:r>
        <w:t xml:space="preserve"> </w:t>
      </w:r>
      <w:r>
        <w:t xml:space="preserve">Active pancreatic cancer = C25.9 as M1021. G89.3 (neoplasm-related pain) may be added as secondary. The underlying malignancy is the primary condition.</w:t>
      </w:r>
    </w:p>
    <w:p>
      <w:pPr>
        <w:pStyle w:val="BodyText"/>
      </w:pPr>
      <w:r>
        <w:rPr>
          <w:bCs/>
          <w:b/>
        </w:rPr>
        <w:t xml:space="preserve">Q99. — B)</w:t>
      </w:r>
      <w:r>
        <w:t xml:space="preserve"> </w:t>
      </w:r>
      <w:r>
        <w:t xml:space="preserve">M1800 assesses grooming: combing/brushing hair, brushing teeth, shaving (males), and applying makeup (females).</w:t>
      </w:r>
    </w:p>
    <w:p>
      <w:pPr>
        <w:pStyle w:val="BodyText"/>
      </w:pPr>
      <w:r>
        <w:rPr>
          <w:bCs/>
          <w:b/>
        </w:rPr>
        <w:t xml:space="preserve">Q100. — A) R62.7</w:t>
      </w:r>
      <w:r>
        <w:t xml:space="preserve"> </w:t>
      </w:r>
      <w:r>
        <w:t xml:space="preserve">Adult failure to thrive = R62.7. R53.81 = other malaise; R63.6 = underweight; R64 = cachexia.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2026-07-03T19:56:02Z</dcterms:created>
  <dcterms:modified xsi:type="dcterms:W3CDTF">2026-07-03T19:56:02Z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