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Analisi funzionale: Trova posizione</w:t>
      </w:r>
    </w:p>
    <w:p>
      <w:pPr>
        <w:tabs>
          <w:tab w:val="left" w:pos="720"/>
        </w:tabs>
      </w:pPr>
      <w:r>
        <w:t xml:space="preserve">Il pulsante apre il drawer &amp; mostra il timbro.</w:t>
      </w:r>
    </w:p>
    <w:p>
      <w:r>
        <w:t xml:space="preserve">Default</w:t>
        <w:tab/>
        <w:t xml:space="preserve">x=0, y=0</w:t>
        <w:br/>
        <w:t xml:space="preserve">in alto a sinistra</w:t>
      </w:r>
    </w:p>
    <w:tbl>
      <w:tr>
        <w:tc>
          <w:p>
            <w:r>
              <w:t xml:space="preserve">Campo</w:t>
            </w:r>
          </w:p>
        </w:tc>
        <w:tc>
          <w:p>
            <w:r>
              <w:t xml:space="preserve">Valore</w:t>
            </w:r>
          </w:p>
        </w:tc>
      </w:tr>
    </w:tbl>
    <w:p>
      <w:r>
        <w:t xml:space="preserve">Città: é &lt;ok&gt;</w:t>
      </w:r>
    </w:p>
    <w:sectPr/>
  </w:body>
</w:document>
</file>