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2C" w:rsidRPr="00992571" w:rsidRDefault="00CC3C2C" w:rsidP="00CC3C2C">
      <w:pPr>
        <w:spacing w:after="0" w:line="240" w:lineRule="auto"/>
        <w:jc w:val="center"/>
        <w:rPr>
          <w:b/>
          <w:sz w:val="28"/>
          <w:szCs w:val="28"/>
        </w:rPr>
      </w:pPr>
      <w:r w:rsidRPr="00992571">
        <w:rPr>
          <w:b/>
          <w:sz w:val="28"/>
          <w:szCs w:val="28"/>
        </w:rPr>
        <w:t>Business Impact Analysis</w:t>
      </w:r>
    </w:p>
    <w:p w:rsidR="00CC3C2C" w:rsidRPr="00992571" w:rsidRDefault="003B61AB" w:rsidP="00CC3C2C">
      <w:pPr>
        <w:spacing w:after="0" w:line="240" w:lineRule="auto"/>
        <w:jc w:val="center"/>
        <w:rPr>
          <w:b/>
          <w:bCs/>
          <w:sz w:val="24"/>
          <w:szCs w:val="24"/>
        </w:rPr>
      </w:pPr>
      <w:r>
        <w:rPr>
          <w:b/>
          <w:bCs/>
          <w:sz w:val="24"/>
          <w:szCs w:val="24"/>
        </w:rPr>
        <w:t>VistA Adaptive Maintenance</w:t>
      </w:r>
      <w:r w:rsidR="001A0DCC">
        <w:rPr>
          <w:b/>
          <w:bCs/>
          <w:sz w:val="24"/>
          <w:szCs w:val="24"/>
        </w:rPr>
        <w:t xml:space="preserve"> </w:t>
      </w:r>
      <w:r w:rsidR="00280C16">
        <w:rPr>
          <w:b/>
          <w:bCs/>
          <w:sz w:val="24"/>
          <w:szCs w:val="24"/>
        </w:rPr>
        <w:t>(VAM): VA Enterprise Cloud Security</w:t>
      </w:r>
    </w:p>
    <w:p w:rsidR="00CC3C2C" w:rsidRPr="00992571" w:rsidRDefault="00CC3C2C" w:rsidP="00CC3C2C">
      <w:pPr>
        <w:spacing w:after="0" w:line="240" w:lineRule="auto"/>
        <w:jc w:val="center"/>
        <w:rPr>
          <w:bCs/>
        </w:rPr>
      </w:pPr>
      <w:r w:rsidRPr="00992571">
        <w:rPr>
          <w:bCs/>
        </w:rPr>
        <w:t xml:space="preserve">FIPS 199 Overall Impact Level = </w:t>
      </w:r>
      <w:r w:rsidRPr="00992571">
        <w:rPr>
          <w:bCs/>
          <w:u w:val="single"/>
        </w:rPr>
        <w:t>High</w:t>
      </w:r>
    </w:p>
    <w:p w:rsidR="00CC3C2C" w:rsidRPr="00992571" w:rsidRDefault="00CC3C2C" w:rsidP="00CC3C2C">
      <w:pPr>
        <w:spacing w:after="360" w:line="240" w:lineRule="auto"/>
        <w:jc w:val="center"/>
        <w:rPr>
          <w:b/>
        </w:rPr>
      </w:pPr>
      <w:r w:rsidRPr="00992571">
        <w:rPr>
          <w:bCs/>
        </w:rPr>
        <w:t xml:space="preserve">FIPS 199 Availability Security Categorization = </w:t>
      </w:r>
      <w:r w:rsidRPr="00992571">
        <w:rPr>
          <w:bCs/>
          <w:u w:val="single"/>
        </w:rPr>
        <w:t>High</w:t>
      </w:r>
    </w:p>
    <w:p w:rsidR="00CC3C2C" w:rsidRPr="003326D8" w:rsidRDefault="00CC3C2C" w:rsidP="00CC3C2C">
      <w:pPr>
        <w:spacing w:line="240" w:lineRule="auto"/>
      </w:pPr>
      <w:r w:rsidRPr="003326D8">
        <w:t>Th</w:t>
      </w:r>
      <w:r>
        <w:t>is</w:t>
      </w:r>
      <w:r w:rsidRPr="003326D8">
        <w:t xml:space="preserve"> </w:t>
      </w:r>
      <w:r>
        <w:t xml:space="preserve">Business Impact Analysis (BIA) Worksheet collects information </w:t>
      </w:r>
      <w:r w:rsidRPr="003326D8">
        <w:t xml:space="preserve">to assist </w:t>
      </w:r>
      <w:r>
        <w:t>with</w:t>
      </w:r>
      <w:r w:rsidRPr="003326D8">
        <w:t xml:space="preserve"> completion of a BIA</w:t>
      </w:r>
      <w:r>
        <w:t>.  BIA</w:t>
      </w:r>
      <w:r w:rsidRPr="003326D8">
        <w:t xml:space="preserve"> elements collected using this document serve as content </w:t>
      </w:r>
      <w:r>
        <w:t xml:space="preserve">and supporting documentation </w:t>
      </w:r>
      <w:r w:rsidRPr="003326D8">
        <w:t xml:space="preserve">for a final BIA document, </w:t>
      </w:r>
      <w:r>
        <w:t>Appendix N of the information system contingency plan (ISCP).</w:t>
      </w:r>
    </w:p>
    <w:p w:rsidR="00CC3C2C" w:rsidRPr="00E66ED9" w:rsidRDefault="00CC3C2C" w:rsidP="00CC3C2C">
      <w:pPr>
        <w:pStyle w:val="Heading1"/>
        <w:keepNext w:val="0"/>
        <w:keepLines w:val="0"/>
        <w:spacing w:before="0" w:after="120" w:line="240" w:lineRule="auto"/>
        <w:rPr>
          <w:rFonts w:ascii="Calibri" w:eastAsia="Times New Roman" w:hAnsi="Calibri" w:cs="Calibri"/>
          <w:color w:val="auto"/>
          <w:sz w:val="23"/>
          <w:szCs w:val="23"/>
        </w:rPr>
      </w:pPr>
      <w:r w:rsidRPr="00E66ED9">
        <w:rPr>
          <w:rFonts w:ascii="Calibri" w:eastAsia="Times New Roman" w:hAnsi="Calibri" w:cs="Calibri"/>
          <w:color w:val="auto"/>
          <w:sz w:val="23"/>
          <w:szCs w:val="23"/>
        </w:rPr>
        <w:t>Section 1</w:t>
      </w:r>
    </w:p>
    <w:p w:rsidR="00CC3C2C" w:rsidRPr="00E66ED9" w:rsidRDefault="00CC3C2C" w:rsidP="00CC3C2C">
      <w:pPr>
        <w:spacing w:after="240" w:line="240" w:lineRule="auto"/>
        <w:rPr>
          <w:rStyle w:val="Heading1Char"/>
          <w:rFonts w:ascii="Calibri" w:hAnsi="Calibri" w:cs="Calibri"/>
          <w:sz w:val="23"/>
          <w:szCs w:val="23"/>
        </w:rPr>
      </w:pPr>
      <w:r w:rsidRPr="00E66ED9">
        <w:rPr>
          <w:rStyle w:val="Heading1Char"/>
          <w:rFonts w:ascii="Calibri" w:hAnsi="Calibri" w:cs="Calibri"/>
          <w:sz w:val="23"/>
          <w:szCs w:val="23"/>
        </w:rPr>
        <w:t>Background</w:t>
      </w:r>
    </w:p>
    <w:p w:rsidR="00CC3C2C" w:rsidRPr="003326D8" w:rsidRDefault="00CC3C2C" w:rsidP="00CC3C2C">
      <w:pPr>
        <w:spacing w:before="120" w:after="120" w:line="240" w:lineRule="auto"/>
        <w:rPr>
          <w:rFonts w:eastAsia="Times New Roman" w:cs="Arial"/>
          <w:iCs/>
        </w:rPr>
      </w:pPr>
      <w:r w:rsidRPr="003326D8">
        <w:rPr>
          <w:rFonts w:eastAsia="Times New Roman" w:cs="Arial"/>
          <w:iCs/>
        </w:rPr>
        <w:t>The purpose of the BIA is to identify and prioritize system components by correlating them to the mission/business processes the system supports, and using this information to characterize the impact on the processes if the system were unavailable. The BIA is composed of the following three steps:</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 xml:space="preserve">Determine the mission/business processes and recovery criticality. Mission/business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rsidR="00CC3C2C" w:rsidRPr="003326D8" w:rsidRDefault="00CC3C2C" w:rsidP="00CC3C2C">
      <w:pPr>
        <w:numPr>
          <w:ilvl w:val="0"/>
          <w:numId w:val="4"/>
        </w:numPr>
        <w:autoSpaceDE w:val="0"/>
        <w:autoSpaceDN w:val="0"/>
        <w:adjustRightInd w:val="0"/>
        <w:spacing w:before="120" w:after="120" w:line="240" w:lineRule="auto"/>
        <w:rPr>
          <w:rFonts w:eastAsia="Times New Roman" w:cs="Arial"/>
          <w:iCs/>
        </w:rPr>
      </w:pPr>
      <w:r w:rsidRPr="003326D8">
        <w:rPr>
          <w:rFonts w:eastAsia="Times New Roman" w:cs="Arial"/>
          <w:iCs/>
        </w:rPr>
        <w:t>Identify resource requirements.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rsidR="00CC3C2C" w:rsidRPr="003326D8" w:rsidRDefault="00CC3C2C" w:rsidP="00CC3C2C">
      <w:pPr>
        <w:numPr>
          <w:ilvl w:val="0"/>
          <w:numId w:val="4"/>
        </w:numPr>
        <w:autoSpaceDE w:val="0"/>
        <w:autoSpaceDN w:val="0"/>
        <w:adjustRightInd w:val="0"/>
        <w:spacing w:before="60" w:after="240" w:line="240" w:lineRule="auto"/>
        <w:rPr>
          <w:rFonts w:eastAsia="Times New Roman" w:cs="Arial"/>
          <w:iCs/>
        </w:rPr>
      </w:pPr>
      <w:r w:rsidRPr="003326D8">
        <w:rPr>
          <w:rFonts w:eastAsia="Times New Roman" w:cs="Arial"/>
          <w:iCs/>
        </w:rPr>
        <w:t>Identify recovery priorities for system resources. Based upon the results from the previous activities, system resources can more clearly be linked to critical mission/business processes. Priority levels can be established for sequencing recovery activities and resources.</w:t>
      </w:r>
    </w:p>
    <w:p w:rsidR="00CC3C2C" w:rsidRPr="003326D8" w:rsidRDefault="00CC3C2C" w:rsidP="00CC3C2C">
      <w:pPr>
        <w:autoSpaceDE w:val="0"/>
        <w:autoSpaceDN w:val="0"/>
        <w:adjustRightInd w:val="0"/>
        <w:spacing w:before="120" w:after="360" w:line="240" w:lineRule="auto"/>
        <w:rPr>
          <w:rFonts w:eastAsia="Times New Roman" w:cs="Arial"/>
          <w:i/>
          <w:iCs/>
        </w:rPr>
      </w:pPr>
      <w:r w:rsidRPr="003326D8">
        <w:rPr>
          <w:rFonts w:eastAsia="Times New Roman" w:cs="Arial"/>
          <w:b/>
          <w:i/>
          <w:iCs/>
        </w:rPr>
        <w:t>NOTE:</w:t>
      </w:r>
      <w:r w:rsidRPr="003326D8">
        <w:rPr>
          <w:rFonts w:eastAsia="Times New Roman" w:cs="Arial"/>
          <w:i/>
          <w:iCs/>
        </w:rPr>
        <w:t xml:space="preserve">  The focus of this BIA document is on determining mission/business processes and recovery criticality. System resources/components are provided in Section 2.1.2 of the ISCP, Information System (IS) Inventory of Components.  Recovery priority for system components is specified in Appendix J of the ISCP, Detailed Recovery Procedures.</w:t>
      </w:r>
    </w:p>
    <w:p w:rsidR="00CC3C2C" w:rsidRPr="00992571"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92571">
        <w:rPr>
          <w:rFonts w:asciiTheme="minorHAnsi" w:eastAsia="Times New Roman" w:hAnsiTheme="minorHAnsi"/>
          <w:color w:val="auto"/>
          <w:sz w:val="23"/>
          <w:szCs w:val="23"/>
        </w:rPr>
        <w:t>Section 2</w:t>
      </w:r>
    </w:p>
    <w:p w:rsidR="00CC3C2C" w:rsidRPr="00992571" w:rsidRDefault="00CC3C2C" w:rsidP="00CC3C2C">
      <w:pPr>
        <w:pStyle w:val="Heading1"/>
        <w:keepNext w:val="0"/>
        <w:keepLines w:val="0"/>
        <w:spacing w:before="0" w:after="240" w:line="240" w:lineRule="auto"/>
        <w:rPr>
          <w:rFonts w:asciiTheme="minorHAnsi" w:eastAsia="Times New Roman" w:hAnsiTheme="minorHAnsi"/>
          <w:color w:val="auto"/>
          <w:sz w:val="22"/>
          <w:szCs w:val="22"/>
        </w:rPr>
      </w:pPr>
      <w:r w:rsidRPr="003326D8">
        <w:rPr>
          <w:rFonts w:asciiTheme="minorHAnsi" w:eastAsia="Times New Roman" w:hAnsiTheme="minorHAnsi"/>
          <w:color w:val="auto"/>
          <w:sz w:val="23"/>
          <w:szCs w:val="23"/>
        </w:rPr>
        <w:t>Identify Critical Business Processes</w:t>
      </w:r>
    </w:p>
    <w:p w:rsidR="00CC3C2C" w:rsidRPr="00AA488D" w:rsidRDefault="00CC3C2C" w:rsidP="00CC3C2C">
      <w:pPr>
        <w:pStyle w:val="ListParagraph"/>
        <w:numPr>
          <w:ilvl w:val="0"/>
          <w:numId w:val="2"/>
        </w:numPr>
        <w:spacing w:before="120" w:after="120" w:line="240" w:lineRule="auto"/>
        <w:ind w:left="720"/>
        <w:contextualSpacing w:val="0"/>
      </w:pPr>
      <w:r w:rsidRPr="00AA488D">
        <w:t>Enter the critical business processes (CBPs) that d</w:t>
      </w:r>
      <w:r>
        <w:t>epend on the IS.</w:t>
      </w:r>
    </w:p>
    <w:p w:rsidR="00CC3C2C" w:rsidRPr="00E66ED9" w:rsidRDefault="00CC3C2C" w:rsidP="00CC3C2C">
      <w:pPr>
        <w:autoSpaceDE w:val="0"/>
        <w:autoSpaceDN w:val="0"/>
        <w:adjustRightInd w:val="0"/>
        <w:spacing w:before="240" w:after="240" w:line="240" w:lineRule="auto"/>
        <w:rPr>
          <w:rFonts w:eastAsia="Times New Roman" w:cs="Arial"/>
          <w:i/>
          <w:iCs/>
        </w:rPr>
      </w:pPr>
      <w:r w:rsidRPr="00E66ED9">
        <w:rPr>
          <w:rFonts w:eastAsia="Times New Roman" w:cs="Arial"/>
          <w:b/>
          <w:i/>
          <w:iCs/>
        </w:rPr>
        <w:t>NOTE:</w:t>
      </w:r>
      <w:r w:rsidRPr="00E66ED9">
        <w:rPr>
          <w:rFonts w:eastAsia="Times New Roman" w:cs="Arial"/>
          <w:i/>
          <w:iCs/>
        </w:rPr>
        <w:t xml:space="preserve"> A CBP is an operational and/or business support function that cannot be interrupted for more than a mandated or predetermined timeframe without significantly jeopardizing the organization/mission.</w:t>
      </w:r>
    </w:p>
    <w:p w:rsidR="00CC3C2C" w:rsidRDefault="00CC3C2C" w:rsidP="00CC3C2C">
      <w:pPr>
        <w:pStyle w:val="ListParagraph"/>
        <w:numPr>
          <w:ilvl w:val="0"/>
          <w:numId w:val="2"/>
        </w:numPr>
        <w:spacing w:before="120" w:after="120" w:line="240" w:lineRule="auto"/>
        <w:ind w:left="720"/>
        <w:contextualSpacing w:val="0"/>
      </w:pPr>
      <w:r w:rsidRPr="00AA488D">
        <w:t>Create additional rows as n</w:t>
      </w:r>
      <w:r>
        <w:t>eeded to accommodate all CBPs that depend on the IS.</w:t>
      </w:r>
    </w:p>
    <w:p w:rsidR="00CC3C2C" w:rsidRDefault="00CC3C2C" w:rsidP="00CC3C2C">
      <w:r>
        <w:br w:type="page"/>
      </w:r>
    </w:p>
    <w:p w:rsidR="00CC3C2C" w:rsidRDefault="00CC3C2C" w:rsidP="00CC3C2C">
      <w:pPr>
        <w:spacing w:before="120" w:after="120" w:line="240" w:lineRule="auto"/>
        <w:ind w:left="360"/>
      </w:pPr>
    </w:p>
    <w:tbl>
      <w:tblPr>
        <w:tblW w:w="470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8800"/>
      </w:tblGrid>
      <w:tr w:rsidR="00CC3C2C" w:rsidRPr="00EE293A" w:rsidTr="009D102F">
        <w:trPr>
          <w:cantSplit/>
          <w:trHeight w:val="355"/>
          <w:tblHeader/>
          <w:jc w:val="center"/>
        </w:trPr>
        <w:tc>
          <w:tcPr>
            <w:tcW w:w="9009" w:type="dxa"/>
            <w:tcBorders>
              <w:bottom w:val="single" w:sz="18" w:space="0" w:color="1F497D" w:themeColor="text2"/>
            </w:tcBorders>
            <w:shd w:val="clear" w:color="auto" w:fill="auto"/>
          </w:tcPr>
          <w:p w:rsidR="00CC3C2C" w:rsidRPr="00D47856" w:rsidRDefault="003B61AB" w:rsidP="009D102F">
            <w:pPr>
              <w:pStyle w:val="TableTextHeader"/>
              <w:spacing w:before="120" w:after="120"/>
              <w:jc w:val="center"/>
              <w:rPr>
                <w:bCs w:val="0"/>
                <w:color w:val="000000"/>
              </w:rPr>
            </w:pPr>
            <w:r>
              <w:t>VAM</w:t>
            </w:r>
            <w:r w:rsidR="00CC3C2C">
              <w:t xml:space="preserve"> Critical </w:t>
            </w:r>
            <w:r w:rsidR="00CC3C2C" w:rsidRPr="005640E8">
              <w:t>Business</w:t>
            </w:r>
            <w:r w:rsidR="00CC3C2C">
              <w:t xml:space="preserve"> Processes</w:t>
            </w:r>
          </w:p>
        </w:tc>
      </w:tr>
      <w:tr w:rsidR="00CC3C2C" w:rsidRPr="00EE293A" w:rsidTr="009D102F">
        <w:trPr>
          <w:cantSplit/>
          <w:trHeight w:val="432"/>
          <w:jc w:val="center"/>
        </w:trPr>
        <w:tc>
          <w:tcPr>
            <w:tcW w:w="9009" w:type="dxa"/>
            <w:tcBorders>
              <w:top w:val="single" w:sz="18" w:space="0" w:color="1F497D" w:themeColor="text2"/>
              <w:bottom w:val="single" w:sz="18" w:space="0" w:color="1F497D" w:themeColor="text2"/>
            </w:tcBorders>
            <w:shd w:val="clear" w:color="auto" w:fill="DAEEF3"/>
          </w:tcPr>
          <w:p w:rsidR="00CC3C2C" w:rsidRPr="009C5028" w:rsidRDefault="00CC3C2C" w:rsidP="009D102F">
            <w:pPr>
              <w:pStyle w:val="TableTextContent"/>
              <w:spacing w:before="120" w:after="120"/>
              <w:rPr>
                <w:bCs/>
                <w:sz w:val="20"/>
                <w:szCs w:val="20"/>
              </w:rPr>
            </w:pPr>
            <w:r>
              <w:rPr>
                <w:color w:val="000000" w:themeColor="text1"/>
              </w:rPr>
              <w:t>Health</w:t>
            </w:r>
            <w:r w:rsidRPr="0000194D">
              <w:rPr>
                <w:color w:val="000000" w:themeColor="text1"/>
              </w:rPr>
              <w:t xml:space="preserve"> Care</w:t>
            </w:r>
            <w:r w:rsidR="00280C16">
              <w:rPr>
                <w:color w:val="000000" w:themeColor="text1"/>
              </w:rPr>
              <w:t xml:space="preserve"> and Benefits</w:t>
            </w:r>
            <w:r w:rsidRPr="0000194D">
              <w:rPr>
                <w:color w:val="000000" w:themeColor="text1"/>
              </w:rPr>
              <w:t xml:space="preserve"> Operations</w:t>
            </w:r>
            <w:r>
              <w:rPr>
                <w:color w:val="000000" w:themeColor="text1"/>
              </w:rPr>
              <w:t xml:space="preserve">:  </w:t>
            </w:r>
            <w:r w:rsidR="00280C16">
              <w:rPr>
                <w:color w:val="000000" w:themeColor="text1"/>
              </w:rPr>
              <w:t>VAM provides</w:t>
            </w:r>
            <w:r w:rsidR="003936F4">
              <w:rPr>
                <w:color w:val="000000" w:themeColor="text1"/>
              </w:rPr>
              <w:t xml:space="preserve"> security monitoring </w:t>
            </w:r>
            <w:r w:rsidR="00280C16">
              <w:rPr>
                <w:color w:val="000000" w:themeColor="text1"/>
              </w:rPr>
              <w:t xml:space="preserve">for all </w:t>
            </w:r>
            <w:r w:rsidR="003936F4">
              <w:rPr>
                <w:color w:val="000000" w:themeColor="text1"/>
              </w:rPr>
              <w:t xml:space="preserve">remote access </w:t>
            </w:r>
            <w:r w:rsidR="00280C16">
              <w:rPr>
                <w:color w:val="000000" w:themeColor="text1"/>
              </w:rPr>
              <w:t>clients (CPRS, JLV, CAPRI, …) of</w:t>
            </w:r>
            <w:r w:rsidR="003936F4">
              <w:rPr>
                <w:color w:val="000000" w:themeColor="text1"/>
              </w:rPr>
              <w:t xml:space="preserve"> all veterans health </w:t>
            </w:r>
            <w:r w:rsidR="00280C16">
              <w:rPr>
                <w:color w:val="000000" w:themeColor="text1"/>
              </w:rPr>
              <w:t xml:space="preserve">and benefits </w:t>
            </w:r>
            <w:r w:rsidR="003936F4">
              <w:rPr>
                <w:color w:val="000000" w:themeColor="text1"/>
              </w:rPr>
              <w:t xml:space="preserve">information in the </w:t>
            </w:r>
            <w:r w:rsidR="00B52D82">
              <w:rPr>
                <w:color w:val="000000" w:themeColor="text1"/>
              </w:rPr>
              <w:t>Veterans Information System and Technology Architecture (VISTA)</w:t>
            </w:r>
            <w:r w:rsidR="003936F4">
              <w:rPr>
                <w:color w:val="000000" w:themeColor="text1"/>
              </w:rPr>
              <w:t xml:space="preserve"> systems.</w:t>
            </w:r>
          </w:p>
        </w:tc>
      </w:tr>
    </w:tbl>
    <w:p w:rsidR="00CC3C2C" w:rsidRDefault="00CC3C2C" w:rsidP="00CC3C2C">
      <w:pPr>
        <w:pStyle w:val="Caption"/>
        <w:keepNext w:val="0"/>
        <w:spacing w:before="60" w:after="360" w:line="240" w:lineRule="auto"/>
        <w:ind w:left="180"/>
      </w:pPr>
      <w:r w:rsidRPr="009222AD">
        <w:t xml:space="preserve">Table </w:t>
      </w:r>
      <w:r>
        <w:t>A</w:t>
      </w:r>
      <w:r w:rsidRPr="009222AD">
        <w:t xml:space="preserve">: </w:t>
      </w:r>
      <w:r>
        <w:t xml:space="preserve"> </w:t>
      </w:r>
      <w:r w:rsidR="000A4BB2">
        <w:t>VAM</w:t>
      </w:r>
      <w:r>
        <w:t xml:space="preserve"> Critical Business Processes</w:t>
      </w:r>
    </w:p>
    <w:p w:rsidR="00CC3C2C" w:rsidRPr="009F4097"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Section 3</w:t>
      </w:r>
    </w:p>
    <w:p w:rsidR="00CC3C2C" w:rsidRPr="009F4097"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9F4097">
        <w:rPr>
          <w:rFonts w:asciiTheme="minorHAnsi" w:eastAsia="Times New Roman" w:hAnsiTheme="minorHAnsi"/>
          <w:color w:val="auto"/>
          <w:sz w:val="23"/>
          <w:szCs w:val="23"/>
        </w:rPr>
        <w:t>Identify Service/Business Lines and Determine Maximum Tolerable Downtime (MTD)</w:t>
      </w:r>
    </w:p>
    <w:p w:rsidR="00CC3C2C" w:rsidRPr="009F7503" w:rsidRDefault="00CC3C2C" w:rsidP="00CC3C2C">
      <w:pPr>
        <w:spacing w:before="120" w:after="120" w:line="240" w:lineRule="auto"/>
        <w:rPr>
          <w:sz w:val="23"/>
          <w:szCs w:val="23"/>
        </w:rPr>
      </w:pPr>
      <w:r w:rsidRPr="009F7503">
        <w:rPr>
          <w:rFonts w:eastAsia="Times New Roman" w:cstheme="majorBidi"/>
          <w:b/>
          <w:bCs/>
          <w:sz w:val="23"/>
          <w:szCs w:val="23"/>
        </w:rPr>
        <w:t>Service/Business Lines</w:t>
      </w:r>
    </w:p>
    <w:p w:rsidR="00CC3C2C" w:rsidRDefault="00CC3C2C" w:rsidP="00CC3C2C">
      <w:pPr>
        <w:pStyle w:val="ListParagraph"/>
        <w:numPr>
          <w:ilvl w:val="0"/>
          <w:numId w:val="1"/>
        </w:numPr>
        <w:spacing w:before="120" w:after="120" w:line="240" w:lineRule="auto"/>
        <w:contextualSpacing w:val="0"/>
      </w:pPr>
      <w:r>
        <w:t>Health Care Operations</w:t>
      </w:r>
    </w:p>
    <w:p w:rsidR="00F42703" w:rsidRDefault="00F42703" w:rsidP="00CC3C2C">
      <w:pPr>
        <w:pStyle w:val="ListParagraph"/>
        <w:numPr>
          <w:ilvl w:val="0"/>
          <w:numId w:val="1"/>
        </w:numPr>
        <w:spacing w:before="120" w:after="120" w:line="240" w:lineRule="auto"/>
        <w:contextualSpacing w:val="0"/>
      </w:pPr>
      <w:r>
        <w:t>Benefits Operations</w:t>
      </w:r>
    </w:p>
    <w:p w:rsidR="00CC3C2C" w:rsidRPr="009F4097" w:rsidRDefault="00CC3C2C" w:rsidP="00CC3C2C">
      <w:pPr>
        <w:spacing w:before="120" w:after="120" w:line="240" w:lineRule="auto"/>
        <w:rPr>
          <w:rFonts w:eastAsia="Times New Roman" w:cstheme="majorBidi"/>
          <w:b/>
          <w:bCs/>
          <w:sz w:val="23"/>
          <w:szCs w:val="23"/>
        </w:rPr>
      </w:pPr>
      <w:r>
        <w:rPr>
          <w:rFonts w:eastAsia="Times New Roman" w:cstheme="majorBidi"/>
          <w:b/>
          <w:bCs/>
          <w:sz w:val="23"/>
          <w:szCs w:val="23"/>
        </w:rPr>
        <w:t>Maximum Tolerable Downtime</w:t>
      </w:r>
    </w:p>
    <w:p w:rsidR="00CC3C2C"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Determine the MTD for each Service/Business Line. Table B below presents </w:t>
      </w:r>
      <w:r w:rsidR="005C5729">
        <w:rPr>
          <w:rFonts w:eastAsia="Times New Roman" w:cs="Calibri"/>
        </w:rPr>
        <w:t>the MTD</w:t>
      </w:r>
      <w:r>
        <w:rPr>
          <w:rFonts w:eastAsia="Times New Roman" w:cs="Calibri"/>
        </w:rPr>
        <w:t xml:space="preserve"> determined for each Service/Business Line.</w:t>
      </w:r>
    </w:p>
    <w:p w:rsidR="00CC3C2C" w:rsidRPr="005B3B19" w:rsidRDefault="00CC3C2C" w:rsidP="00CC3C2C">
      <w:pPr>
        <w:pStyle w:val="ListParagraph"/>
        <w:numPr>
          <w:ilvl w:val="0"/>
          <w:numId w:val="3"/>
        </w:numPr>
        <w:spacing w:before="120" w:after="120" w:line="240" w:lineRule="auto"/>
        <w:ind w:left="720"/>
        <w:contextualSpacing w:val="0"/>
        <w:rPr>
          <w:rFonts w:eastAsia="Times New Roman" w:cs="Calibri"/>
        </w:rPr>
      </w:pPr>
      <w:r>
        <w:rPr>
          <w:rFonts w:eastAsia="Times New Roman" w:cs="Calibri"/>
        </w:rPr>
        <w:t xml:space="preserve">The FIPS 199 availability security categorization serves as a basis of the BIA and is considered in the calculation of the MTD. </w:t>
      </w:r>
      <w:r w:rsidRPr="005B3B19">
        <w:rPr>
          <w:rFonts w:eastAsia="Times New Roman" w:cs="Calibri"/>
        </w:rPr>
        <w:t>The FIPS 199 availability rating and overall impact level can be found in the System Security Plan.</w:t>
      </w:r>
    </w:p>
    <w:p w:rsidR="00CC3C2C" w:rsidRDefault="00CC3C2C" w:rsidP="00CC3C2C">
      <w:pPr>
        <w:spacing w:line="240" w:lineRule="auto"/>
        <w:rPr>
          <w:rFonts w:eastAsia="Times New Roman" w:cs="Calibri"/>
        </w:rPr>
      </w:pPr>
    </w:p>
    <w:p w:rsidR="00CC3C2C" w:rsidRDefault="00CC3C2C" w:rsidP="00CC3C2C">
      <w:pPr>
        <w:pStyle w:val="TableTextHeader"/>
        <w:tabs>
          <w:tab w:val="center" w:pos="705"/>
        </w:tabs>
        <w:sectPr w:rsidR="00CC3C2C" w:rsidSect="00CB7E3D">
          <w:headerReference w:type="default" r:id="rId7"/>
          <w:footerReference w:type="default" r:id="rId8"/>
          <w:pgSz w:w="12240" w:h="15840"/>
          <w:pgMar w:top="576" w:right="1440" w:bottom="576" w:left="1440" w:header="720" w:footer="720" w:gutter="0"/>
          <w:cols w:space="720"/>
          <w:docGrid w:linePitch="360"/>
        </w:sectPr>
      </w:pPr>
    </w:p>
    <w:p w:rsidR="00CC3C2C" w:rsidRPr="007F0D2C" w:rsidRDefault="00CC3C2C" w:rsidP="00CC3C2C">
      <w:pPr>
        <w:pStyle w:val="TableTextHeader"/>
        <w:tabs>
          <w:tab w:val="center" w:pos="705"/>
        </w:tabs>
        <w:rPr>
          <w:b w:val="0"/>
        </w:rPr>
      </w:pPr>
    </w:p>
    <w:tbl>
      <w:tblPr>
        <w:tblStyle w:val="TableGrid"/>
        <w:tblW w:w="14730" w:type="dxa"/>
        <w:jc w:val="center"/>
        <w:tblLook w:val="04A0" w:firstRow="1" w:lastRow="0" w:firstColumn="1" w:lastColumn="0" w:noHBand="0" w:noVBand="1"/>
      </w:tblPr>
      <w:tblGrid>
        <w:gridCol w:w="1173"/>
        <w:gridCol w:w="6441"/>
        <w:gridCol w:w="593"/>
        <w:gridCol w:w="593"/>
        <w:gridCol w:w="593"/>
        <w:gridCol w:w="593"/>
        <w:gridCol w:w="593"/>
        <w:gridCol w:w="593"/>
        <w:gridCol w:w="593"/>
        <w:gridCol w:w="593"/>
        <w:gridCol w:w="593"/>
        <w:gridCol w:w="593"/>
        <w:gridCol w:w="593"/>
        <w:gridCol w:w="593"/>
      </w:tblGrid>
      <w:tr w:rsidR="00CC3C2C" w:rsidRPr="007F0D2C" w:rsidTr="009D102F">
        <w:trPr>
          <w:cantSplit/>
          <w:trHeight w:val="360"/>
          <w:jc w:val="center"/>
        </w:trPr>
        <w:tc>
          <w:tcPr>
            <w:tcW w:w="14730" w:type="dxa"/>
            <w:gridSpan w:val="14"/>
            <w:shd w:val="clear" w:color="auto" w:fill="DAEEF3" w:themeFill="accent5" w:themeFillTint="33"/>
          </w:tcPr>
          <w:p w:rsidR="00CC3C2C" w:rsidRPr="005A5F1A" w:rsidRDefault="00CC3C2C" w:rsidP="009D102F">
            <w:pPr>
              <w:spacing w:before="60" w:after="60"/>
              <w:jc w:val="center"/>
              <w:rPr>
                <w:rFonts w:asciiTheme="minorHAnsi" w:hAnsiTheme="minorHAnsi" w:cstheme="minorHAnsi"/>
                <w:b/>
                <w:sz w:val="22"/>
                <w:szCs w:val="22"/>
              </w:rPr>
            </w:pPr>
            <w:r w:rsidRPr="005A5F1A">
              <w:rPr>
                <w:rFonts w:asciiTheme="minorHAnsi" w:hAnsiTheme="minorHAnsi" w:cstheme="minorHAnsi"/>
                <w:b/>
                <w:sz w:val="22"/>
                <w:szCs w:val="22"/>
              </w:rPr>
              <w:t>Service/Business Line 1 = Primary Care Operations</w:t>
            </w:r>
            <w:r w:rsidRPr="005A5F1A">
              <w:rPr>
                <w:rFonts w:asciiTheme="minorHAnsi" w:hAnsiTheme="minorHAnsi" w:cstheme="minorHAnsi"/>
                <w:b/>
                <w:sz w:val="22"/>
                <w:szCs w:val="22"/>
              </w:rPr>
              <w:tab/>
            </w:r>
            <w:r w:rsidRPr="005A5F1A">
              <w:rPr>
                <w:rFonts w:asciiTheme="minorHAnsi" w:hAnsiTheme="minorHAnsi" w:cstheme="minorHAnsi"/>
                <w:b/>
                <w:sz w:val="22"/>
                <w:szCs w:val="22"/>
              </w:rPr>
              <w:tab/>
              <w:t>MTD for Service/Business Line 1 = 14Hours</w:t>
            </w:r>
          </w:p>
        </w:tc>
      </w:tr>
      <w:tr w:rsidR="00CC3C2C" w:rsidRPr="007F0D2C" w:rsidTr="007C2ABD">
        <w:trPr>
          <w:cantSplit/>
          <w:trHeight w:val="395"/>
          <w:jc w:val="center"/>
        </w:trPr>
        <w:tc>
          <w:tcPr>
            <w:tcW w:w="1173"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Availability Impact Rating</w:t>
            </w:r>
          </w:p>
        </w:tc>
        <w:tc>
          <w:tcPr>
            <w:tcW w:w="6441" w:type="dxa"/>
            <w:vMerge w:val="restart"/>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FIPS 199 Potential Impact Definitions/Disruption of access to or use of IS could be expected to have:</w:t>
            </w:r>
          </w:p>
        </w:tc>
        <w:tc>
          <w:tcPr>
            <w:tcW w:w="7116" w:type="dxa"/>
            <w:gridSpan w:val="12"/>
            <w:shd w:val="clear" w:color="auto" w:fill="D9D9D9" w:themeFill="background1" w:themeFillShade="D9"/>
          </w:tcPr>
          <w:p w:rsidR="00CC3C2C" w:rsidRPr="002A4267" w:rsidRDefault="00CC3C2C" w:rsidP="009D102F">
            <w:pPr>
              <w:spacing w:before="60" w:after="60"/>
              <w:rPr>
                <w:rFonts w:cs="Calibri"/>
                <w:b/>
              </w:rPr>
            </w:pPr>
            <w:r w:rsidRPr="002A4267">
              <w:rPr>
                <w:rFonts w:cs="Calibri"/>
                <w:b/>
              </w:rPr>
              <w:t>Point at which adverse effect initially occurs</w:t>
            </w:r>
          </w:p>
        </w:tc>
      </w:tr>
      <w:tr w:rsidR="00CC3C2C" w:rsidRPr="007F0D2C" w:rsidTr="007C2ABD">
        <w:trPr>
          <w:cantSplit/>
          <w:trHeight w:val="1160"/>
          <w:jc w:val="center"/>
        </w:trPr>
        <w:tc>
          <w:tcPr>
            <w:tcW w:w="1173" w:type="dxa"/>
            <w:vMerge/>
            <w:shd w:val="clear" w:color="auto" w:fill="D9D9D9" w:themeFill="background1" w:themeFillShade="D9"/>
          </w:tcPr>
          <w:p w:rsidR="00CC3C2C" w:rsidRPr="002A4267" w:rsidRDefault="00CC3C2C" w:rsidP="009D102F">
            <w:pPr>
              <w:spacing w:before="60" w:after="60"/>
              <w:rPr>
                <w:rFonts w:cs="Calibri"/>
                <w:b/>
              </w:rPr>
            </w:pPr>
          </w:p>
        </w:tc>
        <w:tc>
          <w:tcPr>
            <w:tcW w:w="6441" w:type="dxa"/>
            <w:vMerge/>
            <w:shd w:val="clear" w:color="auto" w:fill="D9D9D9" w:themeFill="background1" w:themeFillShade="D9"/>
          </w:tcPr>
          <w:p w:rsidR="00CC3C2C" w:rsidRPr="002A4267" w:rsidRDefault="00CC3C2C" w:rsidP="009D102F">
            <w:pPr>
              <w:spacing w:before="60" w:after="60"/>
              <w:rPr>
                <w:rFonts w:cs="Calibri"/>
                <w:b/>
              </w:rPr>
            </w:pP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Immediate</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24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48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72 Hours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7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14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21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30 Days</w:t>
            </w:r>
          </w:p>
        </w:tc>
        <w:tc>
          <w:tcPr>
            <w:tcW w:w="593" w:type="dxa"/>
            <w:shd w:val="clear" w:color="auto" w:fill="D9D9D9" w:themeFill="background1" w:themeFillShade="D9"/>
            <w:textDirection w:val="btLr"/>
          </w:tcPr>
          <w:p w:rsidR="00CC3C2C" w:rsidRPr="002A4267" w:rsidRDefault="00CC3C2C" w:rsidP="009D102F">
            <w:pPr>
              <w:spacing w:before="60" w:after="60"/>
              <w:ind w:left="113" w:right="113"/>
              <w:rPr>
                <w:rFonts w:cs="Calibri"/>
                <w:b/>
              </w:rPr>
            </w:pPr>
            <w:r w:rsidRPr="002A4267">
              <w:rPr>
                <w:rFonts w:cs="Calibri"/>
                <w:b/>
              </w:rPr>
              <w:t>&gt; 30 Days</w:t>
            </w: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color w:val="000000" w:themeColor="dark1"/>
                <w:kern w:val="24"/>
                <w:sz w:val="20"/>
                <w:szCs w:val="20"/>
              </w:rPr>
            </w:pPr>
            <w:r w:rsidRPr="002A4267">
              <w:rPr>
                <w:rFonts w:ascii="Calibri" w:hAnsi="Calibri" w:cs="Calibri"/>
                <w:color w:val="000000" w:themeColor="dark1"/>
                <w:kern w:val="24"/>
                <w:sz w:val="20"/>
                <w:szCs w:val="20"/>
              </w:rPr>
              <w:t>Low-impact</w:t>
            </w:r>
          </w:p>
        </w:tc>
        <w:tc>
          <w:tcPr>
            <w:tcW w:w="6441" w:type="dxa"/>
          </w:tcPr>
          <w:p w:rsidR="00CC3C2C" w:rsidRPr="002A4267" w:rsidRDefault="00CC3C2C" w:rsidP="009D102F">
            <w:pPr>
              <w:pStyle w:val="NormalWeb"/>
              <w:spacing w:before="60" w:beforeAutospacing="0" w:after="60" w:afterAutospacing="0"/>
              <w:rPr>
                <w:rFonts w:ascii="Calibri" w:eastAsiaTheme="minorEastAsia" w:hAnsi="Calibri" w:cs="Calibri"/>
                <w:color w:val="000000" w:themeColor="dark1"/>
                <w:kern w:val="24"/>
                <w:sz w:val="20"/>
                <w:szCs w:val="20"/>
              </w:rPr>
            </w:pPr>
            <w:r w:rsidRPr="002A4267">
              <w:rPr>
                <w:rFonts w:ascii="Calibri" w:eastAsiaTheme="minorEastAsia" w:hAnsi="Calibri" w:cs="Calibri"/>
                <w:bCs/>
                <w:color w:val="000000" w:themeColor="dark1"/>
                <w:kern w:val="24"/>
                <w:sz w:val="20"/>
                <w:szCs w:val="20"/>
              </w:rPr>
              <w:t>limited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Moderate-impact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serious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r w:rsidR="00CC3C2C" w:rsidRPr="007F0D2C" w:rsidTr="007C2ABD">
        <w:trPr>
          <w:jc w:val="center"/>
        </w:trPr>
        <w:tc>
          <w:tcPr>
            <w:tcW w:w="1173"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hAnsi="Calibri" w:cs="Calibri"/>
                <w:color w:val="000000" w:themeColor="dark1"/>
                <w:kern w:val="24"/>
                <w:sz w:val="20"/>
                <w:szCs w:val="20"/>
              </w:rPr>
              <w:t>High-impact</w:t>
            </w:r>
          </w:p>
        </w:tc>
        <w:tc>
          <w:tcPr>
            <w:tcW w:w="6441" w:type="dxa"/>
          </w:tcPr>
          <w:p w:rsidR="00CC3C2C" w:rsidRPr="002A4267" w:rsidRDefault="00CC3C2C" w:rsidP="009D102F">
            <w:pPr>
              <w:pStyle w:val="NormalWeb"/>
              <w:spacing w:before="60" w:beforeAutospacing="0" w:after="60" w:afterAutospacing="0"/>
              <w:rPr>
                <w:rFonts w:ascii="Calibri" w:hAnsi="Calibri" w:cs="Calibri"/>
                <w:sz w:val="20"/>
                <w:szCs w:val="20"/>
              </w:rPr>
            </w:pPr>
            <w:r w:rsidRPr="002A4267">
              <w:rPr>
                <w:rFonts w:ascii="Calibri" w:eastAsiaTheme="minorEastAsia" w:hAnsi="Calibri" w:cs="Calibri"/>
                <w:color w:val="000000" w:themeColor="dark1"/>
                <w:kern w:val="24"/>
                <w:sz w:val="20"/>
                <w:szCs w:val="20"/>
              </w:rPr>
              <w:t>severe or catastrophic adverse effect on organizational operations, organizational assets, or individuals</w:t>
            </w:r>
          </w:p>
        </w:tc>
        <w:tc>
          <w:tcPr>
            <w:tcW w:w="593" w:type="dxa"/>
            <w:shd w:val="clear" w:color="auto" w:fill="DAEEF3" w:themeFill="accent5" w:themeFillTint="33"/>
          </w:tcPr>
          <w:p w:rsidR="00CC3C2C" w:rsidRPr="002A4267" w:rsidRDefault="00CC3C2C" w:rsidP="009D102F">
            <w:pPr>
              <w:spacing w:before="60" w:after="60"/>
              <w:rPr>
                <w:rFonts w:cs="Calibri"/>
                <w:b/>
              </w:rPr>
            </w:pPr>
            <w:r w:rsidRPr="002A4267">
              <w:rPr>
                <w:rFonts w:cs="Calibri"/>
                <w:b/>
              </w:rPr>
              <w:t>X</w:t>
            </w: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c>
          <w:tcPr>
            <w:tcW w:w="593" w:type="dxa"/>
            <w:shd w:val="clear" w:color="auto" w:fill="DAEEF3" w:themeFill="accent5" w:themeFillTint="33"/>
          </w:tcPr>
          <w:p w:rsidR="00CC3C2C" w:rsidRPr="002A4267" w:rsidRDefault="00CC3C2C" w:rsidP="009D102F">
            <w:pPr>
              <w:spacing w:before="60" w:after="60"/>
              <w:rPr>
                <w:rFonts w:cs="Calibri"/>
              </w:rPr>
            </w:pPr>
          </w:p>
        </w:tc>
      </w:tr>
    </w:tbl>
    <w:p w:rsidR="00CC3C2C" w:rsidRDefault="00CC3C2C" w:rsidP="00CC3C2C">
      <w:pPr>
        <w:pStyle w:val="Caption"/>
        <w:keepNext w:val="0"/>
        <w:spacing w:before="60" w:after="360" w:line="240" w:lineRule="auto"/>
      </w:pPr>
      <w:r w:rsidRPr="009222AD">
        <w:t xml:space="preserve">Table </w:t>
      </w:r>
      <w:r>
        <w:t>B</w:t>
      </w:r>
      <w:r w:rsidRPr="009222AD">
        <w:t xml:space="preserve">: </w:t>
      </w:r>
      <w:r>
        <w:t>MTD Worksheet</w:t>
      </w:r>
    </w:p>
    <w:p w:rsidR="00CC3C2C" w:rsidRPr="007F0D2C" w:rsidRDefault="00CC3C2C" w:rsidP="00CC3C2C"/>
    <w:p w:rsidR="00CC3C2C" w:rsidRDefault="00CC3C2C" w:rsidP="00CC3C2C">
      <w:pPr>
        <w:pStyle w:val="Heading1"/>
        <w:spacing w:before="0" w:line="240" w:lineRule="auto"/>
        <w:rPr>
          <w:rFonts w:eastAsia="Times New Roman"/>
          <w:color w:val="0000FF"/>
          <w:sz w:val="23"/>
          <w:szCs w:val="23"/>
        </w:rPr>
        <w:sectPr w:rsidR="00CC3C2C" w:rsidSect="00915C5E">
          <w:footerReference w:type="default" r:id="rId9"/>
          <w:pgSz w:w="15840" w:h="12240" w:orient="landscape"/>
          <w:pgMar w:top="720" w:right="720" w:bottom="720" w:left="720" w:header="720" w:footer="720" w:gutter="0"/>
          <w:cols w:space="720"/>
          <w:docGrid w:linePitch="360"/>
        </w:sectPr>
      </w:pPr>
    </w:p>
    <w:p w:rsidR="00CC3C2C" w:rsidRPr="005A5F1A"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5A5F1A">
        <w:rPr>
          <w:rFonts w:ascii="Calibri" w:eastAsia="Times New Roman" w:hAnsi="Calibri" w:cs="Calibri"/>
          <w:b w:val="0"/>
          <w:color w:val="auto"/>
          <w:sz w:val="23"/>
          <w:szCs w:val="23"/>
        </w:rPr>
        <w:lastRenderedPageBreak/>
        <w:t>Table C presents the MTD summary for each V</w:t>
      </w:r>
      <w:r w:rsidR="003B61AB">
        <w:rPr>
          <w:rFonts w:ascii="Calibri" w:eastAsia="Times New Roman" w:hAnsi="Calibri" w:cs="Calibri"/>
          <w:b w:val="0"/>
          <w:color w:val="auto"/>
          <w:sz w:val="23"/>
          <w:szCs w:val="23"/>
        </w:rPr>
        <w:t>AM</w:t>
      </w:r>
      <w:r w:rsidRPr="005A5F1A">
        <w:rPr>
          <w:rFonts w:ascii="Calibri" w:eastAsia="Times New Roman" w:hAnsi="Calibri" w:cs="Calibri"/>
          <w:b w:val="0"/>
          <w:color w:val="auto"/>
          <w:sz w:val="23"/>
          <w:szCs w:val="23"/>
        </w:rPr>
        <w:t xml:space="preserve"> Service/Business line.</w:t>
      </w:r>
    </w:p>
    <w:tbl>
      <w:tblPr>
        <w:tblW w:w="359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5009"/>
        <w:gridCol w:w="1718"/>
      </w:tblGrid>
      <w:tr w:rsidR="00CC3C2C" w:rsidRPr="007F0D2C" w:rsidTr="009D102F">
        <w:trPr>
          <w:cantSplit/>
          <w:trHeight w:val="355"/>
          <w:tblHeader/>
          <w:jc w:val="center"/>
        </w:trPr>
        <w:tc>
          <w:tcPr>
            <w:tcW w:w="5132" w:type="dxa"/>
            <w:tcBorders>
              <w:bottom w:val="single" w:sz="18" w:space="0" w:color="1F497D" w:themeColor="text2"/>
              <w:right w:val="single" w:sz="4" w:space="0" w:color="auto"/>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Service/Business Line</w:t>
            </w:r>
          </w:p>
        </w:tc>
        <w:tc>
          <w:tcPr>
            <w:tcW w:w="1756" w:type="dxa"/>
            <w:tcBorders>
              <w:left w:val="single" w:sz="4" w:space="0" w:color="auto"/>
              <w:bottom w:val="single" w:sz="18" w:space="0" w:color="1F497D" w:themeColor="text2"/>
            </w:tcBorders>
            <w:shd w:val="clear" w:color="auto" w:fill="auto"/>
          </w:tcPr>
          <w:p w:rsidR="00CC3C2C" w:rsidRPr="007F0D2C" w:rsidRDefault="00CC3C2C" w:rsidP="009D102F">
            <w:pPr>
              <w:pStyle w:val="TableTextHeader"/>
              <w:spacing w:before="120" w:after="120"/>
              <w:rPr>
                <w:bCs w:val="0"/>
                <w:color w:val="000000"/>
              </w:rPr>
            </w:pPr>
            <w:r w:rsidRPr="007F0D2C">
              <w:rPr>
                <w:bCs w:val="0"/>
                <w:color w:val="000000"/>
              </w:rPr>
              <w:t>MTD Summary</w:t>
            </w:r>
          </w:p>
        </w:tc>
      </w:tr>
      <w:tr w:rsidR="00CC3C2C" w:rsidRPr="007F0D2C" w:rsidTr="009D102F">
        <w:trPr>
          <w:cantSplit/>
          <w:trHeight w:val="432"/>
          <w:jc w:val="center"/>
        </w:trPr>
        <w:tc>
          <w:tcPr>
            <w:tcW w:w="5132" w:type="dxa"/>
            <w:tcBorders>
              <w:top w:val="single" w:sz="18" w:space="0" w:color="1F497D" w:themeColor="text2"/>
              <w:bottom w:val="single" w:sz="18" w:space="0" w:color="1F497D" w:themeColor="text2"/>
              <w:right w:val="single" w:sz="4" w:space="0" w:color="auto"/>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Primary Care Operations</w:t>
            </w:r>
          </w:p>
        </w:tc>
        <w:tc>
          <w:tcPr>
            <w:tcW w:w="1756" w:type="dxa"/>
            <w:tcBorders>
              <w:top w:val="single" w:sz="18" w:space="0" w:color="1F497D" w:themeColor="text2"/>
              <w:left w:val="single" w:sz="4" w:space="0" w:color="auto"/>
              <w:bottom w:val="single" w:sz="18" w:space="0" w:color="1F497D" w:themeColor="text2"/>
            </w:tcBorders>
            <w:shd w:val="clear" w:color="auto" w:fill="DAEEF3"/>
          </w:tcPr>
          <w:p w:rsidR="00CC3C2C" w:rsidRPr="007F0D2C" w:rsidRDefault="00CC3C2C" w:rsidP="009D102F">
            <w:pPr>
              <w:pStyle w:val="TableText"/>
              <w:spacing w:before="120" w:after="120"/>
              <w:rPr>
                <w:rFonts w:ascii="Calibri" w:hAnsi="Calibri" w:cs="Calibri"/>
              </w:rPr>
            </w:pPr>
            <w:r w:rsidRPr="007F0D2C">
              <w:rPr>
                <w:rFonts w:ascii="Calibri" w:hAnsi="Calibri" w:cs="Calibri"/>
              </w:rPr>
              <w:t>1</w:t>
            </w:r>
            <w:r w:rsidR="00105CC0">
              <w:rPr>
                <w:rFonts w:ascii="Calibri" w:hAnsi="Calibri" w:cs="Calibri"/>
              </w:rPr>
              <w:t>2</w:t>
            </w:r>
            <w:r w:rsidRPr="007F0D2C">
              <w:rPr>
                <w:rFonts w:ascii="Calibri" w:hAnsi="Calibri" w:cs="Calibri"/>
              </w:rPr>
              <w:t xml:space="preserve"> Hours</w:t>
            </w:r>
          </w:p>
        </w:tc>
      </w:tr>
    </w:tbl>
    <w:p w:rsidR="00CC3C2C" w:rsidRDefault="00CC3C2C" w:rsidP="00CC3C2C">
      <w:pPr>
        <w:pStyle w:val="Caption"/>
        <w:keepNext w:val="0"/>
        <w:spacing w:before="60" w:after="360" w:line="240" w:lineRule="auto"/>
        <w:ind w:left="1267"/>
      </w:pPr>
      <w:r w:rsidRPr="009222AD">
        <w:t xml:space="preserve">Table </w:t>
      </w:r>
      <w:r>
        <w:t>C</w:t>
      </w:r>
      <w:r w:rsidRPr="009222AD">
        <w:t xml:space="preserve">: </w:t>
      </w:r>
      <w:r>
        <w:t>Service/Business Line and MTD Summary</w:t>
      </w:r>
    </w:p>
    <w:p w:rsidR="00CC3C2C" w:rsidRPr="007F0D2C"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Section 4</w:t>
      </w:r>
    </w:p>
    <w:p w:rsidR="00CC3C2C" w:rsidRPr="007F0D2C"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7F0D2C">
        <w:rPr>
          <w:rFonts w:asciiTheme="minorHAnsi" w:eastAsia="Times New Roman" w:hAnsiTheme="minorHAnsi"/>
          <w:color w:val="auto"/>
          <w:sz w:val="23"/>
          <w:szCs w:val="23"/>
        </w:rPr>
        <w:t>Determine Recovery Time Objective (RTO) and Recovery Point Objective (RPO)</w:t>
      </w:r>
    </w:p>
    <w:p w:rsidR="00CC3C2C" w:rsidRDefault="00CC3C2C" w:rsidP="00CC3C2C">
      <w:pPr>
        <w:pStyle w:val="ListParagraph"/>
        <w:numPr>
          <w:ilvl w:val="0"/>
          <w:numId w:val="1"/>
        </w:numPr>
        <w:spacing w:before="120" w:after="120" w:line="240" w:lineRule="auto"/>
        <w:contextualSpacing w:val="0"/>
      </w:pPr>
      <w:r>
        <w:t xml:space="preserve">The RTO for </w:t>
      </w:r>
      <w:r w:rsidR="00955E97">
        <w:t>VAM</w:t>
      </w:r>
      <w:r>
        <w:t xml:space="preserve"> is 1</w:t>
      </w:r>
      <w:r w:rsidR="00955E97">
        <w:t>0</w:t>
      </w:r>
      <w:r>
        <w:t xml:space="preserve"> hours</w:t>
      </w:r>
    </w:p>
    <w:p w:rsidR="00CC3C2C" w:rsidRDefault="00CC3C2C" w:rsidP="00CC3C2C">
      <w:pPr>
        <w:pStyle w:val="ListParagraph"/>
        <w:numPr>
          <w:ilvl w:val="0"/>
          <w:numId w:val="1"/>
        </w:numPr>
        <w:spacing w:before="120" w:after="120" w:line="240" w:lineRule="auto"/>
        <w:contextualSpacing w:val="0"/>
      </w:pPr>
      <w:r>
        <w:t xml:space="preserve">The RPO for </w:t>
      </w:r>
      <w:r w:rsidR="00955E97">
        <w:t>VAM</w:t>
      </w:r>
      <w:r>
        <w:t xml:space="preserve"> is 2 hours</w:t>
      </w:r>
    </w:p>
    <w:p w:rsidR="00CC3C2C" w:rsidRDefault="00CC3C2C" w:rsidP="00CC3C2C">
      <w:pPr>
        <w:pStyle w:val="ListParagraph"/>
        <w:numPr>
          <w:ilvl w:val="0"/>
          <w:numId w:val="1"/>
        </w:numPr>
        <w:spacing w:after="240" w:line="240" w:lineRule="auto"/>
        <w:contextualSpacing w:val="0"/>
      </w:pPr>
      <w:r>
        <w:t>EO offers three possible DR levels and associated RTOs and RPOs</w:t>
      </w:r>
    </w:p>
    <w:tbl>
      <w:tblPr>
        <w:tblStyle w:val="TableGrid"/>
        <w:tblW w:w="0" w:type="auto"/>
        <w:jc w:val="center"/>
        <w:tblLook w:val="04A0" w:firstRow="1" w:lastRow="0" w:firstColumn="1" w:lastColumn="0" w:noHBand="0" w:noVBand="1"/>
      </w:tblPr>
      <w:tblGrid>
        <w:gridCol w:w="2974"/>
        <w:gridCol w:w="2264"/>
        <w:gridCol w:w="1800"/>
      </w:tblGrid>
      <w:tr w:rsidR="00CC3C2C" w:rsidRPr="007F0D2C" w:rsidTr="009D102F">
        <w:trPr>
          <w:jc w:val="center"/>
        </w:trPr>
        <w:tc>
          <w:tcPr>
            <w:tcW w:w="297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DR Level</w:t>
            </w:r>
          </w:p>
        </w:tc>
        <w:tc>
          <w:tcPr>
            <w:tcW w:w="2264"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RTO</w:t>
            </w:r>
          </w:p>
        </w:tc>
        <w:tc>
          <w:tcPr>
            <w:tcW w:w="1800" w:type="dxa"/>
            <w:shd w:val="clear" w:color="auto" w:fill="F2F2F2" w:themeFill="background1" w:themeFillShade="F2"/>
          </w:tcPr>
          <w:p w:rsidR="00CC3C2C" w:rsidRPr="008762AF" w:rsidRDefault="00CC3C2C" w:rsidP="009D102F">
            <w:pPr>
              <w:pStyle w:val="ListParagraph"/>
              <w:spacing w:before="120" w:after="120"/>
              <w:ind w:left="0"/>
              <w:contextualSpacing w:val="0"/>
              <w:jc w:val="center"/>
              <w:rPr>
                <w:b/>
                <w:sz w:val="22"/>
                <w:szCs w:val="22"/>
              </w:rPr>
            </w:pPr>
            <w:r w:rsidRPr="008762AF">
              <w:rPr>
                <w:b/>
                <w:sz w:val="22"/>
                <w:szCs w:val="22"/>
              </w:rPr>
              <w:t>RPO</w:t>
            </w:r>
          </w:p>
        </w:tc>
      </w:tr>
      <w:tr w:rsidR="00CC3C2C" w:rsidTr="009D102F">
        <w:trPr>
          <w:jc w:val="center"/>
        </w:trPr>
        <w:tc>
          <w:tcPr>
            <w:tcW w:w="2974" w:type="dxa"/>
          </w:tcPr>
          <w:p w:rsidR="00CC3C2C" w:rsidRDefault="00CC3C2C" w:rsidP="009D102F">
            <w:pPr>
              <w:pStyle w:val="ListParagraph"/>
              <w:spacing w:before="120" w:after="120"/>
              <w:ind w:left="0"/>
              <w:contextualSpacing w:val="0"/>
            </w:pPr>
            <w:r>
              <w:t>Mission Critical</w:t>
            </w:r>
          </w:p>
        </w:tc>
        <w:tc>
          <w:tcPr>
            <w:tcW w:w="2264" w:type="dxa"/>
          </w:tcPr>
          <w:p w:rsidR="00CC3C2C" w:rsidRDefault="00CC3C2C" w:rsidP="009D102F">
            <w:pPr>
              <w:pStyle w:val="ListParagraph"/>
              <w:spacing w:before="120" w:after="120"/>
              <w:ind w:left="0"/>
              <w:contextualSpacing w:val="0"/>
            </w:pPr>
            <w:r>
              <w:t>12 hrs.</w:t>
            </w:r>
          </w:p>
        </w:tc>
        <w:tc>
          <w:tcPr>
            <w:tcW w:w="1800" w:type="dxa"/>
          </w:tcPr>
          <w:p w:rsidR="00CC3C2C" w:rsidRPr="007C7430" w:rsidRDefault="00CC3C2C" w:rsidP="009D102F">
            <w:pPr>
              <w:pStyle w:val="ListParagraph"/>
              <w:spacing w:before="120" w:after="120"/>
              <w:ind w:left="0"/>
              <w:contextualSpacing w:val="0"/>
            </w:pPr>
            <w:r w:rsidRPr="007C7430">
              <w:t>2 hrs.</w:t>
            </w:r>
          </w:p>
        </w:tc>
      </w:tr>
      <w:tr w:rsidR="00CC3C2C" w:rsidTr="009D102F">
        <w:trPr>
          <w:jc w:val="center"/>
        </w:trPr>
        <w:tc>
          <w:tcPr>
            <w:tcW w:w="2974" w:type="dxa"/>
            <w:shd w:val="clear" w:color="auto" w:fill="auto"/>
          </w:tcPr>
          <w:p w:rsidR="00CC3C2C" w:rsidRDefault="00CC3C2C" w:rsidP="009D102F">
            <w:pPr>
              <w:pStyle w:val="ListParagraph"/>
              <w:spacing w:before="120" w:after="120"/>
              <w:ind w:left="0"/>
              <w:contextualSpacing w:val="0"/>
            </w:pPr>
            <w:r>
              <w:t>Essential Support</w:t>
            </w:r>
          </w:p>
        </w:tc>
        <w:tc>
          <w:tcPr>
            <w:tcW w:w="2264" w:type="dxa"/>
            <w:shd w:val="clear" w:color="auto" w:fill="auto"/>
          </w:tcPr>
          <w:p w:rsidR="00CC3C2C" w:rsidRDefault="00CC3C2C" w:rsidP="009D102F">
            <w:pPr>
              <w:pStyle w:val="ListParagraph"/>
              <w:spacing w:before="120" w:after="120"/>
              <w:ind w:left="0"/>
              <w:contextualSpacing w:val="0"/>
            </w:pPr>
            <w:r>
              <w:t>72 hrs.</w:t>
            </w:r>
          </w:p>
        </w:tc>
        <w:tc>
          <w:tcPr>
            <w:tcW w:w="1800" w:type="dxa"/>
          </w:tcPr>
          <w:p w:rsidR="00CC3C2C" w:rsidRPr="007C7430" w:rsidRDefault="00CC3C2C" w:rsidP="009D102F">
            <w:pPr>
              <w:pStyle w:val="ListParagraph"/>
              <w:spacing w:before="120" w:after="120"/>
              <w:ind w:left="0"/>
              <w:contextualSpacing w:val="0"/>
            </w:pPr>
            <w:r w:rsidRPr="007C7430">
              <w:t>24 hrs.</w:t>
            </w:r>
          </w:p>
        </w:tc>
      </w:tr>
      <w:tr w:rsidR="00CC3C2C" w:rsidTr="009D102F">
        <w:trPr>
          <w:jc w:val="center"/>
        </w:trPr>
        <w:tc>
          <w:tcPr>
            <w:tcW w:w="2974" w:type="dxa"/>
          </w:tcPr>
          <w:p w:rsidR="00CC3C2C" w:rsidRDefault="00CC3C2C" w:rsidP="009D102F">
            <w:pPr>
              <w:pStyle w:val="ListParagraph"/>
              <w:spacing w:before="120" w:after="120"/>
              <w:ind w:left="0"/>
              <w:contextualSpacing w:val="0"/>
            </w:pPr>
            <w:r>
              <w:t>Routine</w:t>
            </w:r>
          </w:p>
        </w:tc>
        <w:tc>
          <w:tcPr>
            <w:tcW w:w="2264" w:type="dxa"/>
          </w:tcPr>
          <w:p w:rsidR="00CC3C2C" w:rsidRDefault="00CC3C2C" w:rsidP="009D102F">
            <w:pPr>
              <w:pStyle w:val="ListParagraph"/>
              <w:spacing w:before="120" w:after="120"/>
              <w:ind w:left="0"/>
              <w:contextualSpacing w:val="0"/>
            </w:pPr>
            <w:r>
              <w:t>30 days</w:t>
            </w:r>
          </w:p>
        </w:tc>
        <w:tc>
          <w:tcPr>
            <w:tcW w:w="1800" w:type="dxa"/>
          </w:tcPr>
          <w:p w:rsidR="00CC3C2C" w:rsidRPr="007C7430" w:rsidRDefault="00CC3C2C" w:rsidP="009D102F">
            <w:pPr>
              <w:pStyle w:val="ListParagraph"/>
              <w:spacing w:before="120" w:after="120"/>
              <w:ind w:left="0"/>
              <w:contextualSpacing w:val="0"/>
            </w:pPr>
            <w:r w:rsidRPr="007C7430">
              <w:t>24 hrs.</w:t>
            </w:r>
          </w:p>
        </w:tc>
      </w:tr>
    </w:tbl>
    <w:p w:rsidR="00CC3C2C" w:rsidRPr="008762AF" w:rsidRDefault="00CC3C2C" w:rsidP="00CC3C2C">
      <w:pPr>
        <w:pStyle w:val="Caption"/>
        <w:keepNext w:val="0"/>
        <w:spacing w:before="60" w:after="360" w:line="240" w:lineRule="auto"/>
        <w:ind w:left="1267"/>
      </w:pPr>
      <w:r>
        <w:t xml:space="preserve">Table D: Possible EO DR Levels, RTOs and </w:t>
      </w:r>
      <w:r w:rsidRPr="007C7430">
        <w:t>RPOs</w:t>
      </w:r>
    </w:p>
    <w:p w:rsidR="00CC3C2C" w:rsidRDefault="00CC3C2C" w:rsidP="00CC3C2C">
      <w:pPr>
        <w:pStyle w:val="ListParagraph"/>
        <w:numPr>
          <w:ilvl w:val="0"/>
          <w:numId w:val="1"/>
        </w:numPr>
        <w:spacing w:before="120" w:after="120" w:line="240" w:lineRule="auto"/>
        <w:contextualSpacing w:val="0"/>
      </w:pPr>
      <w:r>
        <w:t xml:space="preserve">The </w:t>
      </w:r>
      <w:r w:rsidR="003B61AB">
        <w:t>VAM</w:t>
      </w:r>
      <w:r>
        <w:t xml:space="preserve"> RTO and RPO presented in Table E can also be found in the ISCP and service level agreement (SLA).</w:t>
      </w:r>
    </w:p>
    <w:p w:rsidR="00CC3C2C" w:rsidRDefault="00CC3C2C" w:rsidP="00CC3C2C">
      <w:pPr>
        <w:pStyle w:val="NormalWeb"/>
        <w:spacing w:before="0" w:beforeAutospacing="0" w:after="240" w:afterAutospacing="0"/>
        <w:ind w:left="720"/>
        <w:rPr>
          <w:rFonts w:asciiTheme="minorHAnsi" w:eastAsiaTheme="minorEastAsia" w:hAnsiTheme="minorHAnsi" w:cstheme="minorBidi"/>
          <w:b/>
          <w:iCs/>
          <w:color w:val="000000" w:themeColor="text1"/>
          <w:kern w:val="24"/>
          <w:sz w:val="22"/>
          <w:szCs w:val="22"/>
        </w:rPr>
      </w:pPr>
      <w:r w:rsidRPr="00E83AB6">
        <w:rPr>
          <w:rFonts w:asciiTheme="minorHAnsi" w:eastAsiaTheme="minorEastAsia" w:hAnsiTheme="minorHAnsi" w:cstheme="minorBidi"/>
          <w:b/>
          <w:iCs/>
          <w:color w:val="000000" w:themeColor="text1"/>
          <w:kern w:val="24"/>
          <w:sz w:val="22"/>
          <w:szCs w:val="22"/>
        </w:rPr>
        <w:t xml:space="preserve">If </w:t>
      </w:r>
      <w:r>
        <w:rPr>
          <w:rFonts w:asciiTheme="minorHAnsi" w:eastAsiaTheme="minorEastAsia" w:hAnsiTheme="minorHAnsi" w:cstheme="minorBidi"/>
          <w:b/>
          <w:iCs/>
          <w:color w:val="000000" w:themeColor="text1"/>
          <w:kern w:val="24"/>
          <w:sz w:val="22"/>
          <w:szCs w:val="22"/>
        </w:rPr>
        <w:t xml:space="preserve">a </w:t>
      </w:r>
      <w:r w:rsidRPr="00053597">
        <w:rPr>
          <w:rFonts w:asciiTheme="minorHAnsi" w:eastAsiaTheme="minorEastAsia" w:hAnsiTheme="minorHAnsi" w:cstheme="minorBidi"/>
          <w:b/>
          <w:i/>
          <w:iCs/>
          <w:color w:val="000000" w:themeColor="text1"/>
          <w:kern w:val="24"/>
          <w:sz w:val="22"/>
          <w:szCs w:val="22"/>
        </w:rPr>
        <w:t>primary</w:t>
      </w:r>
      <w:r>
        <w:rPr>
          <w:rFonts w:asciiTheme="minorHAnsi" w:eastAsiaTheme="minorEastAsia" w:hAnsiTheme="minorHAnsi" w:cstheme="minorBidi"/>
          <w:b/>
          <w:iCs/>
          <w:color w:val="000000" w:themeColor="text1"/>
          <w:kern w:val="24"/>
          <w:sz w:val="22"/>
          <w:szCs w:val="22"/>
        </w:rPr>
        <w:t xml:space="preserve"> </w:t>
      </w:r>
      <w:r w:rsidRPr="003F79A9">
        <w:rPr>
          <w:rFonts w:asciiTheme="minorHAnsi" w:eastAsiaTheme="minorEastAsia" w:hAnsiTheme="minorHAnsi" w:cstheme="minorBidi"/>
          <w:b/>
          <w:i/>
          <w:iCs/>
          <w:color w:val="000000" w:themeColor="text1"/>
          <w:kern w:val="24"/>
          <w:sz w:val="22"/>
          <w:szCs w:val="22"/>
        </w:rPr>
        <w:t>essential function</w:t>
      </w:r>
      <w:r>
        <w:rPr>
          <w:rFonts w:asciiTheme="minorHAnsi" w:eastAsiaTheme="minorEastAsia" w:hAnsiTheme="minorHAnsi" w:cstheme="minorBidi"/>
          <w:b/>
          <w:i/>
          <w:iCs/>
          <w:color w:val="000000" w:themeColor="text1"/>
          <w:kern w:val="24"/>
          <w:sz w:val="22"/>
          <w:szCs w:val="22"/>
        </w:rPr>
        <w:t xml:space="preserve"> </w:t>
      </w:r>
      <w:r w:rsidRPr="00053597">
        <w:rPr>
          <w:rFonts w:asciiTheme="minorHAnsi" w:eastAsiaTheme="minorEastAsia" w:hAnsiTheme="minorHAnsi" w:cstheme="minorBidi"/>
          <w:b/>
          <w:iCs/>
          <w:color w:val="000000" w:themeColor="text1"/>
          <w:kern w:val="24"/>
          <w:sz w:val="22"/>
          <w:szCs w:val="22"/>
        </w:rPr>
        <w:t>(PMEF)</w:t>
      </w:r>
      <w:r>
        <w:rPr>
          <w:rFonts w:asciiTheme="minorHAnsi" w:eastAsiaTheme="minorEastAsia" w:hAnsiTheme="minorHAnsi" w:cstheme="minorBidi"/>
          <w:b/>
          <w:iCs/>
          <w:color w:val="000000" w:themeColor="text1"/>
          <w:kern w:val="24"/>
          <w:sz w:val="22"/>
          <w:szCs w:val="22"/>
        </w:rPr>
        <w:t xml:space="preserve"> is dependent on the information system, </w:t>
      </w:r>
      <w:r w:rsidRPr="00E83AB6">
        <w:rPr>
          <w:rFonts w:asciiTheme="minorHAnsi" w:eastAsiaTheme="minorEastAsia" w:hAnsiTheme="minorHAnsi" w:cstheme="minorBidi"/>
          <w:b/>
          <w:iCs/>
          <w:color w:val="000000" w:themeColor="text1"/>
          <w:kern w:val="24"/>
          <w:sz w:val="22"/>
          <w:szCs w:val="22"/>
        </w:rPr>
        <w:t>the RTO must be 1</w:t>
      </w:r>
      <w:r w:rsidR="00955E97">
        <w:rPr>
          <w:rFonts w:asciiTheme="minorHAnsi" w:eastAsiaTheme="minorEastAsia" w:hAnsiTheme="minorHAnsi" w:cstheme="minorBidi"/>
          <w:b/>
          <w:iCs/>
          <w:color w:val="000000" w:themeColor="text1"/>
          <w:kern w:val="24"/>
          <w:sz w:val="22"/>
          <w:szCs w:val="22"/>
        </w:rPr>
        <w:t>2</w:t>
      </w:r>
      <w:r w:rsidRPr="00E83AB6">
        <w:rPr>
          <w:rFonts w:asciiTheme="minorHAnsi" w:eastAsiaTheme="minorEastAsia" w:hAnsiTheme="minorHAnsi" w:cstheme="minorBidi"/>
          <w:b/>
          <w:iCs/>
          <w:color w:val="000000" w:themeColor="text1"/>
          <w:kern w:val="24"/>
          <w:sz w:val="22"/>
          <w:szCs w:val="22"/>
        </w:rPr>
        <w:t xml:space="preserve"> hours or shorter.</w:t>
      </w:r>
      <w:r>
        <w:rPr>
          <w:rFonts w:asciiTheme="minorHAnsi" w:eastAsia="Times New Roman" w:hAnsiTheme="minorHAnsi"/>
          <w:sz w:val="22"/>
          <w:szCs w:val="22"/>
        </w:rPr>
        <w:t xml:space="preserve"> The PMEF of Healthcare to Veterans is dependent </w:t>
      </w:r>
      <w:r w:rsidR="00546837">
        <w:rPr>
          <w:rFonts w:asciiTheme="minorHAnsi" w:eastAsia="Times New Roman" w:hAnsiTheme="minorHAnsi"/>
          <w:sz w:val="22"/>
          <w:szCs w:val="22"/>
        </w:rPr>
        <w:t>upon VAM</w:t>
      </w:r>
      <w:r>
        <w:rPr>
          <w:rFonts w:asciiTheme="minorHAnsi" w:eastAsia="Times New Roman" w:hAnsiTheme="minorHAnsi"/>
          <w:sz w:val="22"/>
          <w:szCs w:val="22"/>
        </w:rPr>
        <w:t xml:space="preserve"> operations. Essential functions are a subset of government functions that are determined by each individual department/agency to be critical activities that cannot be deferred during a catastrophic emergency or other continuity event</w:t>
      </w:r>
      <w:r>
        <w:rPr>
          <w:rFonts w:asciiTheme="minorHAnsi" w:eastAsiaTheme="minorEastAsia" w:hAnsiTheme="minorHAnsi" w:cstheme="minorBidi"/>
          <w:iCs/>
          <w:color w:val="000000" w:themeColor="text1"/>
          <w:kern w:val="24"/>
          <w:sz w:val="22"/>
          <w:szCs w:val="22"/>
        </w:rPr>
        <w:t>.  An organization’s essential functions should be documented in its Continuity of Operations Plan. See Attachment 1 for a list of VA essential function</w:t>
      </w:r>
    </w:p>
    <w:tbl>
      <w:tblPr>
        <w:tblW w:w="3393"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3617"/>
        <w:gridCol w:w="1321"/>
        <w:gridCol w:w="1408"/>
      </w:tblGrid>
      <w:tr w:rsidR="00CC3C2C" w:rsidRPr="008762AF" w:rsidTr="009D102F">
        <w:trPr>
          <w:cantSplit/>
          <w:trHeight w:val="355"/>
          <w:tblHeader/>
          <w:jc w:val="center"/>
        </w:trPr>
        <w:tc>
          <w:tcPr>
            <w:tcW w:w="3708" w:type="dxa"/>
            <w:tcBorders>
              <w:bottom w:val="single" w:sz="18" w:space="0" w:color="1F497D" w:themeColor="text2"/>
            </w:tcBorders>
          </w:tcPr>
          <w:p w:rsidR="00CC3C2C" w:rsidRPr="008762AF" w:rsidRDefault="00CC3C2C" w:rsidP="009D102F">
            <w:pPr>
              <w:pStyle w:val="TableTextHeader"/>
              <w:tabs>
                <w:tab w:val="center" w:pos="705"/>
              </w:tabs>
              <w:spacing w:before="120" w:after="120"/>
              <w:rPr>
                <w:bCs w:val="0"/>
                <w:color w:val="000000"/>
              </w:rPr>
            </w:pPr>
            <w:r w:rsidRPr="008762AF">
              <w:t>Information System/Application</w:t>
            </w:r>
          </w:p>
        </w:tc>
        <w:tc>
          <w:tcPr>
            <w:tcW w:w="1350" w:type="dxa"/>
            <w:tcBorders>
              <w:bottom w:val="single" w:sz="18" w:space="0" w:color="1F497D" w:themeColor="text2"/>
              <w:right w:val="single" w:sz="4" w:space="0" w:color="auto"/>
            </w:tcBorders>
            <w:shd w:val="clear" w:color="auto" w:fill="auto"/>
          </w:tcPr>
          <w:p w:rsidR="00CC3C2C" w:rsidRPr="008762AF" w:rsidRDefault="00CC3C2C" w:rsidP="009D102F">
            <w:pPr>
              <w:pStyle w:val="TableTextHeader"/>
              <w:tabs>
                <w:tab w:val="center" w:pos="705"/>
              </w:tabs>
              <w:spacing w:before="120" w:after="120"/>
              <w:rPr>
                <w:bCs w:val="0"/>
                <w:color w:val="000000"/>
              </w:rPr>
            </w:pPr>
            <w:r w:rsidRPr="008762AF">
              <w:rPr>
                <w:bCs w:val="0"/>
                <w:color w:val="000000"/>
              </w:rPr>
              <w:t>RTO</w:t>
            </w:r>
          </w:p>
        </w:tc>
        <w:tc>
          <w:tcPr>
            <w:tcW w:w="1440" w:type="dxa"/>
            <w:tcBorders>
              <w:bottom w:val="single" w:sz="18" w:space="0" w:color="1F497D" w:themeColor="text2"/>
              <w:right w:val="single" w:sz="4" w:space="0" w:color="auto"/>
            </w:tcBorders>
          </w:tcPr>
          <w:p w:rsidR="00CC3C2C" w:rsidRPr="008762AF" w:rsidRDefault="00CC3C2C" w:rsidP="009D102F">
            <w:pPr>
              <w:pStyle w:val="TableTextHeader"/>
              <w:tabs>
                <w:tab w:val="center" w:pos="705"/>
              </w:tabs>
              <w:spacing w:before="120" w:after="120"/>
              <w:rPr>
                <w:bCs w:val="0"/>
                <w:color w:val="000000"/>
                <w:highlight w:val="yellow"/>
              </w:rPr>
            </w:pPr>
            <w:r w:rsidRPr="008762AF">
              <w:rPr>
                <w:bCs w:val="0"/>
                <w:color w:val="000000"/>
              </w:rPr>
              <w:t>RPO</w:t>
            </w:r>
          </w:p>
        </w:tc>
      </w:tr>
      <w:tr w:rsidR="00CC3C2C" w:rsidRPr="008762AF" w:rsidTr="009D102F">
        <w:trPr>
          <w:cantSplit/>
          <w:trHeight w:val="189"/>
          <w:jc w:val="center"/>
        </w:trPr>
        <w:tc>
          <w:tcPr>
            <w:tcW w:w="3708" w:type="dxa"/>
            <w:tcBorders>
              <w:top w:val="single" w:sz="18" w:space="0" w:color="1F497D" w:themeColor="text2"/>
            </w:tcBorders>
            <w:shd w:val="clear" w:color="auto" w:fill="DAEEF3"/>
          </w:tcPr>
          <w:p w:rsidR="00CC3C2C" w:rsidRPr="008762AF" w:rsidRDefault="00CC3C2C" w:rsidP="009D102F">
            <w:pPr>
              <w:pStyle w:val="TableTextContent"/>
              <w:tabs>
                <w:tab w:val="center" w:pos="1716"/>
              </w:tabs>
              <w:spacing w:before="120" w:after="120"/>
              <w:rPr>
                <w:bCs/>
                <w:sz w:val="20"/>
                <w:szCs w:val="20"/>
              </w:rPr>
            </w:pPr>
            <w:r>
              <w:rPr>
                <w:bCs/>
                <w:sz w:val="20"/>
                <w:szCs w:val="20"/>
              </w:rPr>
              <w:t>VAM</w:t>
            </w:r>
          </w:p>
        </w:tc>
        <w:tc>
          <w:tcPr>
            <w:tcW w:w="135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rPr>
            </w:pPr>
            <w:r w:rsidRPr="008762AF">
              <w:rPr>
                <w:bCs/>
                <w:sz w:val="20"/>
                <w:szCs w:val="20"/>
              </w:rPr>
              <w:t>1</w:t>
            </w:r>
            <w:r w:rsidR="00FC1B77">
              <w:rPr>
                <w:bCs/>
                <w:sz w:val="20"/>
                <w:szCs w:val="20"/>
              </w:rPr>
              <w:t>0</w:t>
            </w:r>
            <w:r w:rsidRPr="008762AF">
              <w:rPr>
                <w:bCs/>
                <w:sz w:val="20"/>
                <w:szCs w:val="20"/>
              </w:rPr>
              <w:t xml:space="preserve"> hours</w:t>
            </w:r>
          </w:p>
        </w:tc>
        <w:tc>
          <w:tcPr>
            <w:tcW w:w="1440" w:type="dxa"/>
            <w:tcBorders>
              <w:top w:val="single" w:sz="18" w:space="0" w:color="1F497D" w:themeColor="text2"/>
              <w:right w:val="single" w:sz="4" w:space="0" w:color="auto"/>
            </w:tcBorders>
            <w:shd w:val="clear" w:color="auto" w:fill="DAEEF3"/>
          </w:tcPr>
          <w:p w:rsidR="00CC3C2C" w:rsidRPr="008762AF" w:rsidRDefault="00CC3C2C" w:rsidP="009D102F">
            <w:pPr>
              <w:pStyle w:val="TableTextContent"/>
              <w:spacing w:before="120" w:after="120"/>
              <w:rPr>
                <w:bCs/>
                <w:sz w:val="20"/>
                <w:szCs w:val="20"/>
                <w:highlight w:val="yellow"/>
              </w:rPr>
            </w:pPr>
            <w:r w:rsidRPr="008762AF">
              <w:rPr>
                <w:bCs/>
                <w:sz w:val="20"/>
                <w:szCs w:val="20"/>
              </w:rPr>
              <w:t>2 hours</w:t>
            </w:r>
          </w:p>
        </w:tc>
      </w:tr>
    </w:tbl>
    <w:p w:rsidR="00CC3C2C" w:rsidRPr="008762AF" w:rsidRDefault="00CC3C2C" w:rsidP="00CC3C2C">
      <w:pPr>
        <w:pStyle w:val="Caption"/>
        <w:keepNext w:val="0"/>
        <w:spacing w:before="60" w:after="360" w:line="240" w:lineRule="auto"/>
        <w:ind w:left="1440"/>
      </w:pPr>
      <w:r w:rsidRPr="0095598B">
        <w:t>Table E</w:t>
      </w:r>
      <w:r w:rsidRPr="008762AF">
        <w:t xml:space="preserve">:  </w:t>
      </w:r>
      <w:r>
        <w:t xml:space="preserve">VAM RTO </w:t>
      </w:r>
      <w:r w:rsidRPr="007C7430">
        <w:t>and RPO</w:t>
      </w:r>
    </w:p>
    <w:p w:rsidR="00CC3C2C" w:rsidRPr="008762AF" w:rsidRDefault="00CC3C2C" w:rsidP="00CC3C2C">
      <w:pPr>
        <w:pStyle w:val="Heading1"/>
        <w:keepNext w:val="0"/>
        <w:keepLines w:val="0"/>
        <w:pageBreakBefore/>
        <w:spacing w:before="0" w:after="12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lastRenderedPageBreak/>
        <w:t>Section 5</w:t>
      </w:r>
    </w:p>
    <w:p w:rsidR="00CC3C2C" w:rsidRPr="008762AF"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762AF">
        <w:rPr>
          <w:rFonts w:asciiTheme="minorHAnsi" w:eastAsia="Times New Roman" w:hAnsiTheme="minorHAnsi"/>
          <w:color w:val="auto"/>
          <w:sz w:val="23"/>
          <w:szCs w:val="23"/>
        </w:rPr>
        <w:t>Determine MTD Gap (MTD – RTO)</w:t>
      </w:r>
    </w:p>
    <w:p w:rsidR="00CC3C2C" w:rsidRPr="008762AF" w:rsidRDefault="00CC3C2C" w:rsidP="00CC3C2C">
      <w:pPr>
        <w:pStyle w:val="Heading1"/>
        <w:keepNext w:val="0"/>
        <w:keepLines w:val="0"/>
        <w:spacing w:before="0" w:after="240" w:line="240" w:lineRule="auto"/>
        <w:rPr>
          <w:rFonts w:ascii="Calibri" w:eastAsia="Times New Roman" w:hAnsi="Calibri" w:cs="Calibri"/>
          <w:b w:val="0"/>
          <w:color w:val="auto"/>
          <w:sz w:val="23"/>
          <w:szCs w:val="23"/>
        </w:rPr>
      </w:pPr>
      <w:r w:rsidRPr="008762AF">
        <w:rPr>
          <w:rFonts w:ascii="Calibri" w:eastAsia="Times New Roman" w:hAnsi="Calibri" w:cs="Calibri"/>
          <w:b w:val="0"/>
          <w:color w:val="auto"/>
          <w:sz w:val="23"/>
          <w:szCs w:val="23"/>
        </w:rPr>
        <w:t>Table F lists the Service/Business Lines and MTDs from Table C and RTO from Table E.</w:t>
      </w:r>
    </w:p>
    <w:tbl>
      <w:tblPr>
        <w:tblW w:w="386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735"/>
        <w:gridCol w:w="1408"/>
        <w:gridCol w:w="1233"/>
        <w:gridCol w:w="1860"/>
      </w:tblGrid>
      <w:tr w:rsidR="00CC3C2C" w:rsidRPr="008A478D" w:rsidTr="009D102F">
        <w:trPr>
          <w:cantSplit/>
          <w:trHeight w:val="355"/>
          <w:tblHeader/>
          <w:jc w:val="center"/>
        </w:trPr>
        <w:tc>
          <w:tcPr>
            <w:tcW w:w="280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Service/Business Line</w:t>
            </w:r>
          </w:p>
        </w:tc>
        <w:tc>
          <w:tcPr>
            <w:tcW w:w="1440" w:type="dxa"/>
            <w:tcBorders>
              <w:left w:val="single" w:sz="4" w:space="0" w:color="auto"/>
              <w:bottom w:val="single" w:sz="18" w:space="0" w:color="1F497D" w:themeColor="text2"/>
            </w:tcBorders>
            <w:shd w:val="clear" w:color="auto" w:fill="auto"/>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MTD</w:t>
            </w:r>
          </w:p>
        </w:tc>
        <w:tc>
          <w:tcPr>
            <w:tcW w:w="1260"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RTO</w:t>
            </w:r>
          </w:p>
        </w:tc>
        <w:tc>
          <w:tcPr>
            <w:tcW w:w="1904" w:type="dxa"/>
            <w:tcBorders>
              <w:left w:val="single" w:sz="4" w:space="0" w:color="auto"/>
              <w:bottom w:val="single" w:sz="18" w:space="0" w:color="1F497D" w:themeColor="text2"/>
            </w:tcBorders>
          </w:tcPr>
          <w:p w:rsidR="00CC3C2C" w:rsidRPr="008A478D" w:rsidRDefault="00CC3C2C" w:rsidP="009D102F">
            <w:pPr>
              <w:pStyle w:val="TableTextHeader"/>
              <w:tabs>
                <w:tab w:val="center" w:pos="705"/>
              </w:tabs>
              <w:spacing w:before="120" w:after="120"/>
              <w:rPr>
                <w:rFonts w:asciiTheme="minorHAnsi" w:hAnsiTheme="minorHAnsi" w:cstheme="minorHAnsi"/>
                <w:bCs w:val="0"/>
                <w:color w:val="000000"/>
              </w:rPr>
            </w:pPr>
            <w:r w:rsidRPr="008A478D">
              <w:rPr>
                <w:rFonts w:asciiTheme="minorHAnsi" w:hAnsiTheme="minorHAnsi" w:cstheme="minorHAnsi"/>
                <w:bCs w:val="0"/>
                <w:color w:val="000000"/>
              </w:rPr>
              <w:t>GAP (MTD – RTO)</w:t>
            </w:r>
          </w:p>
        </w:tc>
      </w:tr>
      <w:tr w:rsidR="00CC3C2C" w:rsidRPr="008A478D" w:rsidTr="009D102F">
        <w:trPr>
          <w:cantSplit/>
          <w:trHeight w:val="432"/>
          <w:jc w:val="center"/>
        </w:trPr>
        <w:tc>
          <w:tcPr>
            <w:tcW w:w="2804" w:type="dxa"/>
            <w:tcBorders>
              <w:top w:val="single" w:sz="18" w:space="0" w:color="1F497D" w:themeColor="text2"/>
              <w:bottom w:val="single" w:sz="18" w:space="0" w:color="1F497D" w:themeColor="text2"/>
              <w:right w:val="single" w:sz="4" w:space="0" w:color="auto"/>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Primary Care Operations</w:t>
            </w:r>
          </w:p>
        </w:tc>
        <w:tc>
          <w:tcPr>
            <w:tcW w:w="144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226AF">
              <w:rPr>
                <w:rFonts w:asciiTheme="minorHAnsi" w:hAnsiTheme="minorHAnsi" w:cstheme="minorHAnsi"/>
                <w:sz w:val="20"/>
              </w:rPr>
              <w:t>2</w:t>
            </w:r>
            <w:r w:rsidRPr="008A478D">
              <w:rPr>
                <w:rFonts w:asciiTheme="minorHAnsi" w:hAnsiTheme="minorHAnsi" w:cstheme="minorHAnsi"/>
                <w:sz w:val="20"/>
              </w:rPr>
              <w:t xml:space="preserve"> hours</w:t>
            </w:r>
          </w:p>
        </w:tc>
        <w:tc>
          <w:tcPr>
            <w:tcW w:w="1260"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1</w:t>
            </w:r>
            <w:r w:rsidR="00F31745">
              <w:rPr>
                <w:rFonts w:asciiTheme="minorHAnsi" w:hAnsiTheme="minorHAnsi" w:cstheme="minorHAnsi"/>
                <w:sz w:val="20"/>
              </w:rPr>
              <w:t>0</w:t>
            </w:r>
            <w:r w:rsidRPr="008A478D">
              <w:rPr>
                <w:rFonts w:asciiTheme="minorHAnsi" w:hAnsiTheme="minorHAnsi" w:cstheme="minorHAnsi"/>
                <w:sz w:val="20"/>
              </w:rPr>
              <w:t xml:space="preserve"> hours</w:t>
            </w:r>
          </w:p>
        </w:tc>
        <w:tc>
          <w:tcPr>
            <w:tcW w:w="1904" w:type="dxa"/>
            <w:tcBorders>
              <w:top w:val="single" w:sz="18" w:space="0" w:color="1F497D" w:themeColor="text2"/>
              <w:left w:val="single" w:sz="4" w:space="0" w:color="auto"/>
              <w:bottom w:val="single" w:sz="18" w:space="0" w:color="1F497D" w:themeColor="text2"/>
            </w:tcBorders>
            <w:shd w:val="clear" w:color="auto" w:fill="DAEEF3"/>
          </w:tcPr>
          <w:p w:rsidR="00CC3C2C" w:rsidRPr="008A478D" w:rsidRDefault="00CC3C2C" w:rsidP="009D102F">
            <w:pPr>
              <w:pStyle w:val="TableText"/>
              <w:spacing w:before="120" w:after="120"/>
              <w:rPr>
                <w:rFonts w:asciiTheme="minorHAnsi" w:hAnsiTheme="minorHAnsi" w:cstheme="minorHAnsi"/>
                <w:sz w:val="20"/>
              </w:rPr>
            </w:pPr>
            <w:r w:rsidRPr="008A478D">
              <w:rPr>
                <w:rFonts w:asciiTheme="minorHAnsi" w:hAnsiTheme="minorHAnsi" w:cstheme="minorHAnsi"/>
                <w:sz w:val="20"/>
              </w:rPr>
              <w:t>2 hours</w:t>
            </w:r>
          </w:p>
        </w:tc>
      </w:tr>
    </w:tbl>
    <w:p w:rsidR="00CC3C2C" w:rsidRPr="008A478D" w:rsidRDefault="00CC3C2C" w:rsidP="00CC3C2C">
      <w:pPr>
        <w:pStyle w:val="Caption"/>
        <w:keepNext w:val="0"/>
        <w:spacing w:before="60" w:after="360" w:line="240" w:lineRule="auto"/>
        <w:ind w:left="1080"/>
      </w:pPr>
      <w:r>
        <w:t>Table F:</w:t>
      </w:r>
      <w:r w:rsidRPr="008A478D">
        <w:t xml:space="preserve"> </w:t>
      </w:r>
      <w:r>
        <w:t xml:space="preserve"> MTD Gap</w:t>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Section 6</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Alternate Processing Procedures</w:t>
      </w:r>
    </w:p>
    <w:p w:rsidR="00CC3C2C" w:rsidRPr="008A478D" w:rsidRDefault="00CC3C2C" w:rsidP="00CC3C2C">
      <w:pPr>
        <w:pStyle w:val="ListParagraph"/>
        <w:numPr>
          <w:ilvl w:val="0"/>
          <w:numId w:val="1"/>
        </w:numPr>
        <w:spacing w:before="120" w:after="120" w:line="240" w:lineRule="auto"/>
        <w:contextualSpacing w:val="0"/>
      </w:pPr>
      <w:r w:rsidRPr="008A478D">
        <w:t>Describe substitute manual processing procedures available that allow the business unit to continue some processing of information that would normally be done by the impacted IS.</w:t>
      </w:r>
    </w:p>
    <w:p w:rsidR="00CC3C2C" w:rsidRPr="008A478D" w:rsidRDefault="00CC3C2C" w:rsidP="00AE1B36">
      <w:pPr>
        <w:spacing w:before="120" w:after="120" w:line="240" w:lineRule="auto"/>
        <w:ind w:left="360"/>
      </w:pPr>
    </w:p>
    <w:tbl>
      <w:tblPr>
        <w:tblW w:w="363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6791"/>
      </w:tblGrid>
      <w:tr w:rsidR="00CC3C2C" w:rsidRPr="008A478D" w:rsidTr="009D102F">
        <w:trPr>
          <w:cantSplit/>
          <w:trHeight w:val="355"/>
          <w:tblHeader/>
          <w:jc w:val="center"/>
        </w:trPr>
        <w:tc>
          <w:tcPr>
            <w:tcW w:w="6954" w:type="dxa"/>
            <w:tcBorders>
              <w:bottom w:val="single" w:sz="18" w:space="0" w:color="1F497D" w:themeColor="text2"/>
              <w:right w:val="single" w:sz="4" w:space="0" w:color="auto"/>
            </w:tcBorders>
            <w:shd w:val="clear" w:color="auto" w:fill="auto"/>
          </w:tcPr>
          <w:p w:rsidR="00CC3C2C" w:rsidRPr="008A478D" w:rsidRDefault="00CC3C2C" w:rsidP="009D102F">
            <w:pPr>
              <w:pStyle w:val="TableTextHeader"/>
              <w:tabs>
                <w:tab w:val="center" w:pos="705"/>
              </w:tabs>
              <w:spacing w:before="120" w:after="120"/>
              <w:jc w:val="center"/>
              <w:rPr>
                <w:bCs w:val="0"/>
                <w:sz w:val="20"/>
                <w:szCs w:val="20"/>
              </w:rPr>
            </w:pPr>
            <w:r w:rsidRPr="008A478D">
              <w:rPr>
                <w:bCs w:val="0"/>
                <w:sz w:val="20"/>
                <w:szCs w:val="20"/>
              </w:rPr>
              <w:t>Alternate Processing Procedures</w:t>
            </w:r>
            <w:r>
              <w:rPr>
                <w:bCs w:val="0"/>
                <w:sz w:val="20"/>
                <w:szCs w:val="20"/>
              </w:rPr>
              <w:br/>
            </w:r>
            <w:r w:rsidRPr="008A478D">
              <w:rPr>
                <w:bCs w:val="0"/>
                <w:sz w:val="20"/>
                <w:szCs w:val="20"/>
              </w:rPr>
              <w:t>(</w:t>
            </w:r>
            <w:r>
              <w:rPr>
                <w:bCs w:val="0"/>
                <w:sz w:val="20"/>
                <w:szCs w:val="20"/>
              </w:rPr>
              <w:t>or an explanation of why there are</w:t>
            </w:r>
            <w:r w:rsidRPr="008A478D">
              <w:rPr>
                <w:bCs w:val="0"/>
                <w:sz w:val="20"/>
                <w:szCs w:val="20"/>
              </w:rPr>
              <w:t xml:space="preserve"> no alternate processing procedures)</w:t>
            </w:r>
          </w:p>
        </w:tc>
      </w:tr>
      <w:tr w:rsidR="00CC3C2C" w:rsidRPr="008A478D" w:rsidTr="009D102F">
        <w:trPr>
          <w:cantSplit/>
          <w:trHeight w:val="774"/>
          <w:jc w:val="center"/>
        </w:trPr>
        <w:tc>
          <w:tcPr>
            <w:tcW w:w="6954" w:type="dxa"/>
            <w:tcBorders>
              <w:top w:val="single" w:sz="18" w:space="0" w:color="1F497D" w:themeColor="text2"/>
              <w:right w:val="single" w:sz="4" w:space="0" w:color="auto"/>
            </w:tcBorders>
            <w:shd w:val="clear" w:color="auto" w:fill="DAEEF3"/>
          </w:tcPr>
          <w:p w:rsidR="00CC3C2C" w:rsidRPr="008A478D" w:rsidRDefault="00F42703" w:rsidP="003B61AB">
            <w:pPr>
              <w:pStyle w:val="TableTextContent"/>
              <w:spacing w:before="120" w:after="120"/>
              <w:rPr>
                <w:bCs/>
                <w:sz w:val="20"/>
                <w:szCs w:val="20"/>
              </w:rPr>
            </w:pPr>
            <w:r>
              <w:rPr>
                <w:bCs/>
                <w:sz w:val="20"/>
                <w:szCs w:val="20"/>
              </w:rPr>
              <w:t>VAM has no impact on business or clinical processing of information if it is disabled or inactive. VAM is a passive monitoring solution that provides near-real-time intelligence, advisories, and alarms on potential misuses of information by VistA clients.  Th</w:t>
            </w:r>
            <w:bookmarkStart w:id="0" w:name="_GoBack"/>
            <w:bookmarkEnd w:id="0"/>
            <w:r>
              <w:rPr>
                <w:bCs/>
                <w:sz w:val="20"/>
                <w:szCs w:val="20"/>
              </w:rPr>
              <w:t>ere is no manual substitute replacement.</w:t>
            </w:r>
          </w:p>
        </w:tc>
      </w:tr>
    </w:tbl>
    <w:p w:rsidR="00CC3C2C" w:rsidRPr="008A478D" w:rsidRDefault="00CC3C2C" w:rsidP="00CC3C2C">
      <w:pPr>
        <w:pStyle w:val="Caption"/>
        <w:keepNext w:val="0"/>
        <w:spacing w:before="60" w:after="360" w:line="240" w:lineRule="auto"/>
        <w:ind w:left="1260"/>
      </w:pPr>
      <w:r>
        <w:t>Table G:</w:t>
      </w:r>
      <w:r w:rsidRPr="008A478D">
        <w:t xml:space="preserve"> </w:t>
      </w:r>
      <w:r>
        <w:t xml:space="preserve"> Alternate Processing Procedures</w:t>
      </w:r>
    </w:p>
    <w:p w:rsidR="00CC3C2C" w:rsidRPr="008A478D" w:rsidRDefault="00CC3C2C" w:rsidP="00CC3C2C">
      <w:pPr>
        <w:spacing w:line="240" w:lineRule="auto"/>
        <w:rPr>
          <w:rFonts w:eastAsia="Times New Roman" w:cs="Calibri"/>
          <w:sz w:val="23"/>
          <w:szCs w:val="23"/>
        </w:rPr>
      </w:pPr>
      <w:r>
        <w:rPr>
          <w:rFonts w:eastAsia="Times New Roman" w:cs="Calibri"/>
          <w:b/>
          <w:sz w:val="23"/>
          <w:szCs w:val="23"/>
        </w:rPr>
        <w:br w:type="page"/>
      </w:r>
    </w:p>
    <w:p w:rsidR="00CC3C2C" w:rsidRPr="008A478D" w:rsidRDefault="00CC3C2C" w:rsidP="00CC3C2C">
      <w:pPr>
        <w:pStyle w:val="Heading1"/>
        <w:keepNext w:val="0"/>
        <w:keepLines w:val="0"/>
        <w:spacing w:before="0" w:after="12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lastRenderedPageBreak/>
        <w:t>Section 7</w:t>
      </w:r>
    </w:p>
    <w:p w:rsidR="00CC3C2C" w:rsidRPr="008A478D" w:rsidRDefault="00CC3C2C" w:rsidP="00CC3C2C">
      <w:pPr>
        <w:pStyle w:val="Heading1"/>
        <w:keepNext w:val="0"/>
        <w:keepLines w:val="0"/>
        <w:spacing w:before="0" w:after="240" w:line="240" w:lineRule="auto"/>
        <w:rPr>
          <w:rFonts w:asciiTheme="minorHAnsi" w:eastAsia="Times New Roman" w:hAnsiTheme="minorHAnsi"/>
          <w:color w:val="auto"/>
          <w:sz w:val="23"/>
          <w:szCs w:val="23"/>
        </w:rPr>
      </w:pPr>
      <w:r w:rsidRPr="008A478D">
        <w:rPr>
          <w:rFonts w:asciiTheme="minorHAnsi" w:eastAsia="Times New Roman" w:hAnsiTheme="minorHAnsi"/>
          <w:color w:val="auto"/>
          <w:sz w:val="23"/>
          <w:szCs w:val="23"/>
        </w:rPr>
        <w:t>System Data/Information Owner POC</w:t>
      </w:r>
    </w:p>
    <w:tbl>
      <w:tblPr>
        <w:tblW w:w="4834"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4258"/>
        <w:gridCol w:w="4785"/>
      </w:tblGrid>
      <w:tr w:rsidR="00CC3C2C" w:rsidRPr="00EE293A" w:rsidTr="009D102F">
        <w:trPr>
          <w:cantSplit/>
          <w:trHeight w:val="355"/>
          <w:tblHeader/>
          <w:jc w:val="center"/>
        </w:trPr>
        <w:tc>
          <w:tcPr>
            <w:tcW w:w="4359" w:type="dxa"/>
            <w:tcBorders>
              <w:bottom w:val="single" w:sz="18" w:space="0" w:color="1F497D" w:themeColor="text2"/>
              <w:right w:val="single" w:sz="4" w:space="0" w:color="auto"/>
            </w:tcBorders>
            <w:shd w:val="clear" w:color="auto" w:fill="auto"/>
          </w:tcPr>
          <w:p w:rsidR="00CC3C2C" w:rsidRPr="00D47856" w:rsidRDefault="00CC3C2C" w:rsidP="009D102F">
            <w:pPr>
              <w:pStyle w:val="TableTextHeader"/>
              <w:tabs>
                <w:tab w:val="center" w:pos="705"/>
              </w:tabs>
              <w:rPr>
                <w:bCs w:val="0"/>
                <w:color w:val="000000"/>
              </w:rPr>
            </w:pPr>
            <w:r>
              <w:rPr>
                <w:bCs w:val="0"/>
                <w:color w:val="000000"/>
              </w:rPr>
              <w:t>BIA Completed by:</w:t>
            </w:r>
          </w:p>
        </w:tc>
        <w:tc>
          <w:tcPr>
            <w:tcW w:w="4899" w:type="dxa"/>
            <w:tcBorders>
              <w:left w:val="single" w:sz="4" w:space="0" w:color="auto"/>
              <w:bottom w:val="single" w:sz="18" w:space="0" w:color="1F497D" w:themeColor="text2"/>
            </w:tcBorders>
            <w:shd w:val="clear" w:color="auto" w:fill="auto"/>
          </w:tcPr>
          <w:p w:rsidR="00CC3C2C" w:rsidRPr="00D47856" w:rsidRDefault="00CC3C2C" w:rsidP="009D102F">
            <w:pPr>
              <w:pStyle w:val="TableTextHeader"/>
              <w:tabs>
                <w:tab w:val="center" w:pos="705"/>
              </w:tabs>
              <w:rPr>
                <w:bCs w:val="0"/>
                <w:color w:val="000000"/>
              </w:rPr>
            </w:pPr>
            <w:r w:rsidRPr="00B63CB4">
              <w:rPr>
                <w:rFonts w:asciiTheme="minorHAnsi" w:eastAsiaTheme="minorEastAsia" w:hAnsiTheme="minorHAnsi"/>
                <w:noProof/>
                <w:color w:val="000000"/>
              </w:rPr>
              <w:t xml:space="preserve">On behalf of </w:t>
            </w:r>
            <w:r w:rsidRPr="00B63CB4">
              <w:rPr>
                <w:rFonts w:asciiTheme="minorHAnsi" w:hAnsiTheme="minorHAnsi" w:cs="Arial"/>
              </w:rPr>
              <w:t>System Manager of Record/Data Owner</w:t>
            </w:r>
            <w:r>
              <w:rPr>
                <w:rFonts w:asciiTheme="minorHAnsi" w:hAnsiTheme="minorHAnsi" w:cs="Arial"/>
              </w:rPr>
              <w:t xml:space="preserve"> (if applicable)</w:t>
            </w:r>
            <w:r w:rsidRPr="00B63CB4">
              <w:rPr>
                <w:rFonts w:asciiTheme="minorHAnsi" w:hAnsiTheme="minorHAnsi" w:cs="Arial"/>
              </w:rPr>
              <w:t>:</w:t>
            </w:r>
          </w:p>
        </w:tc>
      </w:tr>
      <w:tr w:rsidR="00CC3C2C" w:rsidRPr="00EE293A" w:rsidTr="009D102F">
        <w:trPr>
          <w:cantSplit/>
          <w:trHeight w:val="909"/>
          <w:jc w:val="center"/>
        </w:trPr>
        <w:tc>
          <w:tcPr>
            <w:tcW w:w="4359" w:type="dxa"/>
            <w:tcBorders>
              <w:top w:val="single" w:sz="18" w:space="0" w:color="1F497D" w:themeColor="text2"/>
              <w:bottom w:val="single" w:sz="18" w:space="0" w:color="1F497D" w:themeColor="text2"/>
              <w:right w:val="single" w:sz="4" w:space="0" w:color="auto"/>
            </w:tcBorders>
            <w:shd w:val="clear" w:color="auto" w:fill="DAEEF3"/>
          </w:tcPr>
          <w:p w:rsidR="00A70CBC" w:rsidRDefault="002656C0" w:rsidP="00A70CBC">
            <w:pPr>
              <w:spacing w:after="0" w:line="240" w:lineRule="auto"/>
              <w:rPr>
                <w:rFonts w:eastAsiaTheme="minorEastAsia" w:cstheme="minorHAnsi"/>
                <w:noProof/>
              </w:rPr>
            </w:pPr>
            <w:r>
              <w:rPr>
                <w:rFonts w:eastAsiaTheme="minorEastAsia" w:cstheme="minorHAnsi"/>
                <w:noProof/>
              </w:rPr>
              <w:t>Cheryl Owsley</w:t>
            </w:r>
          </w:p>
          <w:p w:rsidR="002656C0" w:rsidRDefault="003936F4" w:rsidP="00A70CBC">
            <w:pPr>
              <w:spacing w:after="0" w:line="240" w:lineRule="auto"/>
              <w:rPr>
                <w:rFonts w:eastAsiaTheme="minorEastAsia" w:cstheme="minorHAnsi"/>
                <w:noProof/>
              </w:rPr>
            </w:pPr>
            <w:r>
              <w:rPr>
                <w:rFonts w:eastAsiaTheme="minorEastAsia" w:cstheme="minorHAnsi"/>
                <w:noProof/>
              </w:rPr>
              <w:t>Project Manager, VAM</w:t>
            </w:r>
          </w:p>
          <w:p w:rsidR="00A70CBC" w:rsidRPr="00A70CBC" w:rsidRDefault="003936F4" w:rsidP="00A70CBC">
            <w:pPr>
              <w:spacing w:after="0" w:line="240" w:lineRule="auto"/>
              <w:rPr>
                <w:rFonts w:eastAsiaTheme="minorEastAsia" w:cstheme="minorHAnsi"/>
                <w:noProof/>
              </w:rPr>
            </w:pPr>
            <w:r>
              <w:rPr>
                <w:rFonts w:eastAsiaTheme="minorEastAsia" w:cstheme="minorHAnsi"/>
                <w:noProof/>
              </w:rPr>
              <w:t>U.S. Department of Veterans</w:t>
            </w:r>
            <w:r w:rsidR="00A70CBC" w:rsidRPr="00A70CBC">
              <w:rPr>
                <w:rFonts w:eastAsiaTheme="minorEastAsia" w:cstheme="minorHAnsi"/>
                <w:noProof/>
              </w:rPr>
              <w:t xml:space="preserve"> Affairs </w:t>
            </w:r>
          </w:p>
          <w:p w:rsidR="00A70CBC" w:rsidRPr="008A478D" w:rsidRDefault="002656C0" w:rsidP="002656C0">
            <w:pPr>
              <w:spacing w:after="0" w:line="240" w:lineRule="auto"/>
              <w:rPr>
                <w:rFonts w:ascii="Arial" w:eastAsiaTheme="minorEastAsia" w:hAnsi="Arial" w:cs="Arial"/>
                <w:noProof/>
              </w:rPr>
            </w:pPr>
            <w:r>
              <w:rPr>
                <w:color w:val="000000"/>
              </w:rPr>
              <w:t>317-537-2006</w:t>
            </w:r>
          </w:p>
        </w:tc>
        <w:tc>
          <w:tcPr>
            <w:tcW w:w="4899" w:type="dxa"/>
            <w:tcBorders>
              <w:top w:val="single" w:sz="18" w:space="0" w:color="1F497D" w:themeColor="text2"/>
              <w:left w:val="single" w:sz="4" w:space="0" w:color="auto"/>
              <w:bottom w:val="single" w:sz="18" w:space="0" w:color="1F497D" w:themeColor="text2"/>
            </w:tcBorders>
            <w:shd w:val="clear" w:color="auto" w:fill="DAEEF3"/>
          </w:tcPr>
          <w:p w:rsidR="00CC3C2C" w:rsidRDefault="007459D1" w:rsidP="009D102F">
            <w:pPr>
              <w:spacing w:after="0" w:line="240" w:lineRule="auto"/>
              <w:rPr>
                <w:rFonts w:eastAsiaTheme="minorEastAsia" w:cs="Arial"/>
                <w:noProof/>
              </w:rPr>
            </w:pPr>
            <w:r>
              <w:rPr>
                <w:rFonts w:eastAsiaTheme="minorEastAsia" w:cs="Arial"/>
                <w:noProof/>
              </w:rPr>
              <w:t>Christopher Brown</w:t>
            </w:r>
          </w:p>
          <w:p w:rsidR="001E5066" w:rsidRDefault="007459D1" w:rsidP="009D102F">
            <w:pPr>
              <w:spacing w:after="0" w:line="240" w:lineRule="auto"/>
              <w:rPr>
                <w:rFonts w:eastAsiaTheme="minorEastAsia" w:cs="Arial"/>
                <w:noProof/>
              </w:rPr>
            </w:pPr>
            <w:r>
              <w:rPr>
                <w:rFonts w:eastAsiaTheme="minorEastAsia" w:cs="Arial"/>
                <w:noProof/>
              </w:rPr>
              <w:t>System Owner</w:t>
            </w:r>
            <w:r w:rsidR="003936F4">
              <w:rPr>
                <w:rFonts w:eastAsiaTheme="minorEastAsia" w:cs="Arial"/>
                <w:noProof/>
              </w:rPr>
              <w:t>, VAM</w:t>
            </w:r>
          </w:p>
          <w:p w:rsidR="001E5066" w:rsidRDefault="003936F4" w:rsidP="009D102F">
            <w:pPr>
              <w:spacing w:after="0" w:line="240" w:lineRule="auto"/>
              <w:rPr>
                <w:rFonts w:eastAsiaTheme="minorEastAsia" w:cs="Arial"/>
                <w:noProof/>
              </w:rPr>
            </w:pPr>
            <w:r>
              <w:rPr>
                <w:rFonts w:eastAsiaTheme="minorEastAsia" w:cs="Arial"/>
                <w:noProof/>
              </w:rPr>
              <w:t>U.S. Department of Veterans Affairs</w:t>
            </w:r>
          </w:p>
          <w:p w:rsidR="001E5066" w:rsidRPr="008A478D" w:rsidRDefault="007459D1" w:rsidP="009D102F">
            <w:pPr>
              <w:spacing w:after="0" w:line="240" w:lineRule="auto"/>
              <w:rPr>
                <w:rFonts w:eastAsiaTheme="minorEastAsia" w:cs="Arial"/>
                <w:noProof/>
              </w:rPr>
            </w:pPr>
            <w:r w:rsidRPr="007459D1">
              <w:rPr>
                <w:rFonts w:eastAsiaTheme="minorEastAsia" w:cs="Arial"/>
                <w:noProof/>
              </w:rPr>
              <w:t>202-270-1432</w:t>
            </w:r>
          </w:p>
          <w:p w:rsidR="00CC3C2C" w:rsidRPr="008A478D" w:rsidRDefault="00CC3C2C" w:rsidP="00CC3C2C">
            <w:pPr>
              <w:spacing w:after="0" w:line="240" w:lineRule="auto"/>
              <w:rPr>
                <w:rFonts w:eastAsiaTheme="minorEastAsia" w:cs="Arial"/>
                <w:noProof/>
              </w:rPr>
            </w:pPr>
          </w:p>
        </w:tc>
      </w:tr>
      <w:tr w:rsidR="00CC3C2C" w:rsidRPr="00EE293A" w:rsidTr="009D102F">
        <w:trPr>
          <w:cantSplit/>
          <w:trHeight w:val="2205"/>
          <w:jc w:val="center"/>
        </w:trPr>
        <w:tc>
          <w:tcPr>
            <w:tcW w:w="4359" w:type="dxa"/>
            <w:tcBorders>
              <w:top w:val="single" w:sz="18" w:space="0" w:color="1F497D" w:themeColor="text2"/>
              <w:right w:val="single" w:sz="4" w:space="0" w:color="auto"/>
            </w:tcBorders>
            <w:shd w:val="clear" w:color="auto" w:fill="DAEEF3"/>
          </w:tcPr>
          <w:p w:rsidR="00CC3C2C" w:rsidRDefault="00280C16"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473CE93-2A61-4ABB-A1D0-8CCD57530C7B}" provid="{00000000-0000-0000-0000-000000000000}" issignatureline="t"/>
                </v:shape>
              </w:pict>
            </w:r>
          </w:p>
        </w:tc>
        <w:tc>
          <w:tcPr>
            <w:tcW w:w="4899" w:type="dxa"/>
            <w:tcBorders>
              <w:top w:val="single" w:sz="18" w:space="0" w:color="1F497D" w:themeColor="text2"/>
              <w:left w:val="single" w:sz="4" w:space="0" w:color="auto"/>
            </w:tcBorders>
            <w:shd w:val="clear" w:color="auto" w:fill="DAEEF3"/>
          </w:tcPr>
          <w:p w:rsidR="00CC3C2C" w:rsidRDefault="00280C16" w:rsidP="009D102F">
            <w:pPr>
              <w:spacing w:after="0" w:line="240" w:lineRule="auto"/>
              <w:rPr>
                <w:rFonts w:eastAsiaTheme="minorEastAsia" w:cs="Arial"/>
                <w:noProof/>
                <w:color w:val="4F81BD" w:themeColor="accent1"/>
              </w:rPr>
            </w:pPr>
            <w:r>
              <w:rPr>
                <w:rFonts w:eastAsiaTheme="minorEastAsia" w:cs="Arial"/>
                <w:noProof/>
                <w:color w:val="4F81BD" w:themeColor="accent1"/>
              </w:rPr>
              <w:pict>
                <v:shape id="_x0000_i1026" type="#_x0000_t75" alt="Microsoft Office Signature Line..." style="width:192pt;height:96pt">
                  <v:imagedata r:id="rId11" o:title=""/>
                  <o:lock v:ext="edit" ungrouping="t" rotation="t" cropping="t" verticies="t" text="t" grouping="t"/>
                  <o:signatureline v:ext="edit" id="{850EFAE9-2416-4BDB-B878-BBB67445FF0A}" provid="{00000000-0000-0000-0000-000000000000}" issignatureline="t"/>
                </v:shape>
              </w:pict>
            </w:r>
          </w:p>
        </w:tc>
      </w:tr>
    </w:tbl>
    <w:p w:rsidR="00CC3C2C" w:rsidRDefault="00CC3C2C" w:rsidP="00CC3C2C">
      <w:pPr>
        <w:spacing w:before="360" w:after="240" w:line="240" w:lineRule="auto"/>
        <w:rPr>
          <w:rFonts w:eastAsia="Times New Roman" w:cs="Calibri"/>
          <w:sz w:val="23"/>
          <w:szCs w:val="23"/>
        </w:rPr>
      </w:pPr>
      <w:r w:rsidRPr="000300A5">
        <w:rPr>
          <w:rFonts w:eastAsia="Times New Roman" w:cs="Calibri"/>
          <w:sz w:val="23"/>
          <w:szCs w:val="23"/>
        </w:rPr>
        <w:t xml:space="preserve">Sign the signature line in Word. Do not PDF the BIA. To sign the document in Word, right-click the signature line and select </w:t>
      </w:r>
      <w:r w:rsidRPr="000300A5">
        <w:rPr>
          <w:rFonts w:eastAsia="Times New Roman" w:cs="Calibri"/>
          <w:b/>
          <w:sz w:val="23"/>
          <w:szCs w:val="23"/>
        </w:rPr>
        <w:t>Sign</w:t>
      </w:r>
      <w:r w:rsidRPr="000300A5">
        <w:rPr>
          <w:rFonts w:eastAsia="Times New Roman" w:cs="Calibri"/>
          <w:sz w:val="23"/>
          <w:szCs w:val="23"/>
        </w:rPr>
        <w:t xml:space="preserve">. Type your name in the box next to the </w:t>
      </w:r>
      <w:r w:rsidRPr="000300A5">
        <w:rPr>
          <w:rFonts w:eastAsia="Times New Roman" w:cs="Calibri"/>
          <w:b/>
          <w:sz w:val="23"/>
          <w:szCs w:val="23"/>
        </w:rPr>
        <w:t>X</w:t>
      </w:r>
      <w:r w:rsidRPr="000300A5">
        <w:rPr>
          <w:rFonts w:eastAsia="Times New Roman" w:cs="Calibri"/>
          <w:sz w:val="23"/>
          <w:szCs w:val="23"/>
        </w:rPr>
        <w:t xml:space="preserve"> or select an image of your written signature.</w:t>
      </w:r>
    </w:p>
    <w:p w:rsidR="00CC3C2C" w:rsidRPr="000300A5" w:rsidRDefault="00CC3C2C" w:rsidP="00CC3C2C">
      <w:pPr>
        <w:spacing w:line="240" w:lineRule="auto"/>
        <w:rPr>
          <w:rFonts w:eastAsia="Times New Roman" w:cs="Calibri"/>
          <w:sz w:val="23"/>
          <w:szCs w:val="23"/>
        </w:rPr>
      </w:pPr>
      <w:r w:rsidRPr="000300A5">
        <w:rPr>
          <w:rFonts w:eastAsia="Times New Roman" w:cs="Calibri"/>
          <w:sz w:val="23"/>
          <w:szCs w:val="23"/>
        </w:rPr>
        <w:br w:type="page"/>
      </w:r>
    </w:p>
    <w:p w:rsidR="00CC3C2C" w:rsidRPr="008A478D" w:rsidRDefault="00CC3C2C" w:rsidP="00CC3C2C">
      <w:pPr>
        <w:pStyle w:val="NormalWeb"/>
        <w:spacing w:before="240" w:beforeAutospacing="0" w:after="240" w:afterAutospacing="0"/>
        <w:jc w:val="center"/>
        <w:rPr>
          <w:rFonts w:asciiTheme="minorHAnsi" w:eastAsiaTheme="minorEastAsia" w:hAnsiTheme="minorHAnsi" w:cstheme="minorBidi"/>
          <w:b/>
          <w:iCs/>
          <w:color w:val="000000" w:themeColor="text1"/>
          <w:kern w:val="24"/>
          <w:sz w:val="22"/>
          <w:szCs w:val="22"/>
        </w:rPr>
      </w:pPr>
      <w:r w:rsidRPr="008A478D">
        <w:rPr>
          <w:rFonts w:asciiTheme="minorHAnsi" w:eastAsiaTheme="minorEastAsia" w:hAnsiTheme="minorHAnsi" w:cstheme="minorBidi"/>
          <w:b/>
          <w:iCs/>
          <w:color w:val="000000" w:themeColor="text1"/>
          <w:kern w:val="24"/>
          <w:sz w:val="22"/>
          <w:szCs w:val="22"/>
        </w:rPr>
        <w:lastRenderedPageBreak/>
        <w:t>Attachment 1 – VA Essential Functions</w:t>
      </w:r>
    </w:p>
    <w:p w:rsidR="00CC3C2C" w:rsidRPr="008A478D" w:rsidRDefault="00CC3C2C" w:rsidP="00CC3C2C">
      <w:pPr>
        <w:pStyle w:val="NormalWeb"/>
        <w:spacing w:before="240" w:beforeAutospacing="0" w:after="360" w:afterAutospacing="0"/>
        <w:rPr>
          <w:rFonts w:asciiTheme="minorHAnsi" w:eastAsia="Times New Roman" w:hAnsiTheme="minorHAnsi"/>
          <w:sz w:val="22"/>
          <w:szCs w:val="22"/>
        </w:rPr>
      </w:pPr>
      <w:r>
        <w:rPr>
          <w:rFonts w:asciiTheme="minorHAnsi" w:eastAsiaTheme="minorEastAsia" w:hAnsiTheme="minorHAnsi" w:cstheme="minorBidi"/>
          <w:iCs/>
          <w:color w:val="000000" w:themeColor="text1"/>
          <w:kern w:val="24"/>
          <w:sz w:val="22"/>
          <w:szCs w:val="22"/>
        </w:rPr>
        <w:t xml:space="preserve">Per VA Handbook 0322, VA’s one primary essential function (PMEF) is to, </w:t>
      </w:r>
      <w:r w:rsidRPr="00445C4F">
        <w:rPr>
          <w:rFonts w:asciiTheme="minorHAnsi" w:eastAsiaTheme="minorEastAsia" w:hAnsiTheme="minorHAnsi" w:cstheme="minorBidi"/>
          <w:b/>
          <w:i/>
          <w:iCs/>
          <w:color w:val="000000" w:themeColor="text1"/>
          <w:kern w:val="24"/>
          <w:sz w:val="22"/>
          <w:szCs w:val="22"/>
        </w:rPr>
        <w:t>“Provide medical and hospital services for Veterans, and during a disaster or emergency, for civilian victims as appropriate.”</w:t>
      </w:r>
      <w:r w:rsidRPr="00554187">
        <w:rPr>
          <w:rFonts w:asciiTheme="minorHAnsi" w:eastAsiaTheme="minorEastAsia" w:hAnsiTheme="minorHAnsi" w:cstheme="minorBidi"/>
          <w:i/>
          <w:iCs/>
          <w:color w:val="000000" w:themeColor="text1"/>
          <w:kern w:val="24"/>
          <w:sz w:val="22"/>
          <w:szCs w:val="22"/>
        </w:rPr>
        <w:t xml:space="preserve"> </w:t>
      </w:r>
      <w:r>
        <w:rPr>
          <w:rFonts w:asciiTheme="minorHAnsi" w:eastAsiaTheme="minorEastAsia" w:hAnsiTheme="minorHAnsi" w:cstheme="minorBidi"/>
          <w:iCs/>
          <w:color w:val="000000" w:themeColor="text1"/>
          <w:kern w:val="24"/>
          <w:sz w:val="22"/>
          <w:szCs w:val="22"/>
        </w:rPr>
        <w:t>PMEFs are the set of essential functions that organizations must perform to support or implement the performance of the national essential functions before, during, and in the aftermath of an emergency. Organizations need to continuously perform PMEFs during a continuity event or resume PMEFs within 12 hours of an event. VA’s mission essential functions (MEFs) are shown in the table below. MEFs are a broader set of essential functions that organizations must continue throughout or resume rapidly after a disruption of normal activities, but are not identified as PMEFs.</w:t>
      </w:r>
    </w:p>
    <w:tbl>
      <w:tblPr>
        <w:tblStyle w:val="TableGrid"/>
        <w:tblW w:w="9630" w:type="dxa"/>
        <w:tblInd w:w="198" w:type="dxa"/>
        <w:tblLook w:val="04A0" w:firstRow="1" w:lastRow="0" w:firstColumn="1" w:lastColumn="0" w:noHBand="0" w:noVBand="1"/>
      </w:tblPr>
      <w:tblGrid>
        <w:gridCol w:w="5130"/>
        <w:gridCol w:w="4500"/>
      </w:tblGrid>
      <w:tr w:rsidR="00CC3C2C" w:rsidRPr="008A478D" w:rsidTr="009D102F">
        <w:trPr>
          <w:trHeight w:val="488"/>
        </w:trPr>
        <w:tc>
          <w:tcPr>
            <w:tcW w:w="513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Mission Essential Function</w:t>
            </w:r>
          </w:p>
        </w:tc>
        <w:tc>
          <w:tcPr>
            <w:tcW w:w="4500" w:type="dxa"/>
            <w:shd w:val="clear" w:color="auto" w:fill="F2F2F2" w:themeFill="background1" w:themeFillShade="F2"/>
          </w:tcPr>
          <w:p w:rsidR="00CC3C2C" w:rsidRPr="008A478D" w:rsidRDefault="00CC3C2C" w:rsidP="009D102F">
            <w:pPr>
              <w:pStyle w:val="ListParagraph"/>
              <w:spacing w:before="60" w:after="60"/>
              <w:ind w:left="0"/>
              <w:contextualSpacing w:val="0"/>
              <w:rPr>
                <w:rFonts w:asciiTheme="minorHAnsi" w:hAnsiTheme="minorHAnsi" w:cstheme="minorHAnsi"/>
                <w:b/>
                <w:sz w:val="22"/>
                <w:szCs w:val="22"/>
              </w:rPr>
            </w:pPr>
            <w:r w:rsidRPr="008A478D">
              <w:rPr>
                <w:rFonts w:asciiTheme="minorHAnsi" w:hAnsiTheme="minorHAnsi" w:cstheme="minorHAnsi"/>
                <w:b/>
                <w:sz w:val="22"/>
                <w:szCs w:val="22"/>
              </w:rPr>
              <w:t>Administration or Staff Office Responsible</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Healthcare to Veterans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VA/DoD Contingency System</w:t>
            </w:r>
          </w:p>
        </w:tc>
        <w:tc>
          <w:tcPr>
            <w:tcW w:w="4500" w:type="dxa"/>
            <w:shd w:val="clear" w:color="auto" w:fill="auto"/>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Furnish VA hospital care to responders and victims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Disaster Medical Center</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Health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Process insurance</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Pay veterans and beneficiaries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Veterans Benefits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Veteran burial services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National Cemetery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Support to National Response Framework</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Operations, Security and Preparedness</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Account for employees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Human Resources &amp; Administration</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Maintain communication capabilities related to MEFs/PMEF</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Information Technology</w:t>
            </w:r>
          </w:p>
        </w:tc>
      </w:tr>
      <w:tr w:rsidR="00CC3C2C" w:rsidRPr="008A478D" w:rsidTr="009D102F">
        <w:trPr>
          <w:trHeight w:val="488"/>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Ensure payment capabilities</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Management</w:t>
            </w:r>
          </w:p>
        </w:tc>
      </w:tr>
      <w:tr w:rsidR="00CC3C2C" w:rsidRPr="008A478D" w:rsidTr="009D102F">
        <w:trPr>
          <w:trHeight w:val="489"/>
        </w:trPr>
        <w:tc>
          <w:tcPr>
            <w:tcW w:w="513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Acquisition support</w:t>
            </w:r>
          </w:p>
        </w:tc>
        <w:tc>
          <w:tcPr>
            <w:tcW w:w="4500" w:type="dxa"/>
          </w:tcPr>
          <w:p w:rsidR="00CC3C2C" w:rsidRPr="008A478D" w:rsidRDefault="00CC3C2C" w:rsidP="009D102F">
            <w:pPr>
              <w:pStyle w:val="ListParagraph"/>
              <w:spacing w:before="60" w:after="60"/>
              <w:ind w:left="0"/>
              <w:contextualSpacing w:val="0"/>
              <w:rPr>
                <w:rFonts w:asciiTheme="minorHAnsi" w:hAnsiTheme="minorHAnsi" w:cstheme="minorHAnsi"/>
              </w:rPr>
            </w:pPr>
            <w:r w:rsidRPr="008A478D">
              <w:rPr>
                <w:rFonts w:asciiTheme="minorHAnsi" w:hAnsiTheme="minorHAnsi" w:cstheme="minorHAnsi"/>
              </w:rPr>
              <w:t>Office of Logistics &amp; Construction</w:t>
            </w:r>
          </w:p>
        </w:tc>
      </w:tr>
    </w:tbl>
    <w:p w:rsidR="00CC3C2C" w:rsidRPr="0095598B" w:rsidRDefault="00CC3C2C" w:rsidP="00CC3C2C">
      <w:pPr>
        <w:spacing w:before="60" w:after="360" w:line="240" w:lineRule="auto"/>
        <w:ind w:left="274"/>
        <w:rPr>
          <w:i/>
        </w:rPr>
      </w:pPr>
      <w:r>
        <w:rPr>
          <w:i/>
        </w:rPr>
        <w:t>Table H: VA Mission Essential Functions</w:t>
      </w:r>
    </w:p>
    <w:p w:rsidR="00244902" w:rsidRPr="00CC3C2C" w:rsidRDefault="00244902" w:rsidP="00CC3C2C">
      <w:pPr>
        <w:pStyle w:val="Subtitle"/>
      </w:pPr>
    </w:p>
    <w:sectPr w:rsidR="00244902" w:rsidRPr="00CC3C2C" w:rsidSect="007D4A52">
      <w:footerReference w:type="default" r:id="rId12"/>
      <w:pgSz w:w="12240" w:h="15840"/>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BFC" w:rsidRDefault="00CD6BFC">
      <w:pPr>
        <w:spacing w:after="0" w:line="240" w:lineRule="auto"/>
      </w:pPr>
      <w:r>
        <w:separator/>
      </w:r>
    </w:p>
  </w:endnote>
  <w:endnote w:type="continuationSeparator" w:id="0">
    <w:p w:rsidR="00CD6BFC" w:rsidRDefault="00CD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pPr>
      <w:pStyle w:val="Footer"/>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2</w:t>
    </w:r>
    <w:r w:rsidRPr="00F54BC9">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tabs>
        <w:tab w:val="clear" w:pos="9360"/>
        <w:tab w:val="right" w:pos="13680"/>
      </w:tabs>
      <w:rPr>
        <w:sz w:val="20"/>
        <w:szCs w:val="20"/>
      </w:rPr>
    </w:pPr>
    <w:r w:rsidRPr="00F54BC9">
      <w:rPr>
        <w:sz w:val="20"/>
        <w:szCs w:val="20"/>
      </w:rPr>
      <w:tab/>
    </w:r>
    <w:r w:rsidRPr="00F54BC9">
      <w:rPr>
        <w:sz w:val="20"/>
        <w:szCs w:val="20"/>
      </w:rPr>
      <w:tab/>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3</w:t>
    </w:r>
    <w:r w:rsidRPr="00F54BC9">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BC9" w:rsidRPr="00F54BC9" w:rsidRDefault="003B61AB" w:rsidP="00F54BC9">
    <w:pPr>
      <w:pStyle w:val="Footer"/>
      <w:rPr>
        <w:sz w:val="20"/>
        <w:szCs w:val="20"/>
      </w:rPr>
    </w:pPr>
    <w:r w:rsidRPr="00F54BC9">
      <w:rPr>
        <w:sz w:val="20"/>
        <w:szCs w:val="20"/>
      </w:rPr>
      <w:tab/>
    </w:r>
    <w:r>
      <w:rPr>
        <w:sz w:val="20"/>
        <w:szCs w:val="20"/>
      </w:rPr>
      <w:tab/>
    </w:r>
    <w:r w:rsidRPr="00F54BC9">
      <w:rPr>
        <w:sz w:val="20"/>
        <w:szCs w:val="20"/>
      </w:rPr>
      <w:t xml:space="preserve">Page </w:t>
    </w:r>
    <w:r w:rsidRPr="00F54BC9">
      <w:rPr>
        <w:sz w:val="20"/>
        <w:szCs w:val="20"/>
      </w:rPr>
      <w:fldChar w:fldCharType="begin"/>
    </w:r>
    <w:r w:rsidRPr="00F54BC9">
      <w:rPr>
        <w:sz w:val="20"/>
        <w:szCs w:val="20"/>
      </w:rPr>
      <w:instrText xml:space="preserve"> PAGE   \* MERGEFORMAT </w:instrText>
    </w:r>
    <w:r w:rsidRPr="00F54BC9">
      <w:rPr>
        <w:sz w:val="20"/>
        <w:szCs w:val="20"/>
      </w:rPr>
      <w:fldChar w:fldCharType="separate"/>
    </w:r>
    <w:r w:rsidR="00574992">
      <w:rPr>
        <w:noProof/>
        <w:sz w:val="20"/>
        <w:szCs w:val="20"/>
      </w:rPr>
      <w:t>6</w:t>
    </w:r>
    <w:r w:rsidRPr="00F54BC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BFC" w:rsidRDefault="00CD6BFC">
      <w:pPr>
        <w:spacing w:after="0" w:line="240" w:lineRule="auto"/>
      </w:pPr>
      <w:r>
        <w:separator/>
      </w:r>
    </w:p>
  </w:footnote>
  <w:footnote w:type="continuationSeparator" w:id="0">
    <w:p w:rsidR="00CD6BFC" w:rsidRDefault="00CD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F0" w:rsidRPr="00F54BC9" w:rsidRDefault="0034747C" w:rsidP="00CC7D7C">
    <w:pPr>
      <w:pStyle w:val="Header"/>
      <w:jc w:val="right"/>
      <w:rPr>
        <w:sz w:val="20"/>
        <w:szCs w:val="20"/>
      </w:rPr>
    </w:pPr>
    <w:r>
      <w:rPr>
        <w:sz w:val="20"/>
        <w:szCs w:val="20"/>
      </w:rPr>
      <w:t>VistA Adaptive Maint</w:t>
    </w:r>
    <w:r w:rsidR="00B60480">
      <w:rPr>
        <w:sz w:val="20"/>
        <w:szCs w:val="20"/>
      </w:rPr>
      <w:t>en</w:t>
    </w:r>
    <w:r>
      <w:rPr>
        <w:sz w:val="20"/>
        <w:szCs w:val="20"/>
      </w:rPr>
      <w:t>a</w:t>
    </w:r>
    <w:r w:rsidR="00B60480">
      <w:rPr>
        <w:sz w:val="20"/>
        <w:szCs w:val="20"/>
      </w:rPr>
      <w:t>n</w:t>
    </w:r>
    <w:r>
      <w:rPr>
        <w:sz w:val="20"/>
        <w:szCs w:val="20"/>
      </w:rPr>
      <w:t>ce</w:t>
    </w:r>
    <w:r w:rsidR="00280C16">
      <w:rPr>
        <w:sz w:val="20"/>
        <w:szCs w:val="20"/>
      </w:rPr>
      <w:t xml:space="preserve"> (VAM):  </w:t>
    </w:r>
    <w:r w:rsidR="007459D1">
      <w:rPr>
        <w:sz w:val="20"/>
        <w:szCs w:val="20"/>
      </w:rPr>
      <w:t>VA</w:t>
    </w:r>
    <w:r w:rsidR="00280C16">
      <w:rPr>
        <w:sz w:val="20"/>
        <w:szCs w:val="20"/>
      </w:rPr>
      <w:t xml:space="preserve"> Enterprise Cloud </w:t>
    </w:r>
    <w:r w:rsidR="002656C0">
      <w:rPr>
        <w:sz w:val="20"/>
        <w:szCs w:val="20"/>
      </w:rPr>
      <w:t>Security</w:t>
    </w:r>
  </w:p>
  <w:p w:rsidR="00720DF0" w:rsidRPr="00F54BC9" w:rsidRDefault="007459D1" w:rsidP="00992571">
    <w:pPr>
      <w:pStyle w:val="Header"/>
      <w:spacing w:after="240"/>
      <w:jc w:val="right"/>
      <w:rPr>
        <w:sz w:val="20"/>
        <w:szCs w:val="20"/>
      </w:rPr>
    </w:pPr>
    <w:r>
      <w:rPr>
        <w:sz w:val="20"/>
        <w:szCs w:val="20"/>
      </w:rPr>
      <w:t>April</w:t>
    </w:r>
    <w:r w:rsidR="003B61AB" w:rsidRPr="00F54BC9">
      <w:rPr>
        <w:sz w:val="20"/>
        <w:szCs w:val="20"/>
      </w:rPr>
      <w:t xml:space="preserve"> </w:t>
    </w:r>
    <w:r>
      <w:rPr>
        <w:sz w:val="20"/>
        <w:szCs w:val="20"/>
      </w:rPr>
      <w:t>04</w:t>
    </w:r>
    <w:r w:rsidR="003B61AB" w:rsidRPr="00F54BC9">
      <w:rPr>
        <w:sz w:val="20"/>
        <w:szCs w:val="20"/>
      </w:rPr>
      <w:t>, 201</w:t>
    </w:r>
    <w:r>
      <w:rPr>
        <w:sz w:val="20"/>
        <w:szCs w:val="2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7C85"/>
    <w:multiLevelType w:val="hybridMultilevel"/>
    <w:tmpl w:val="918AF6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C0F6B"/>
    <w:multiLevelType w:val="hybridMultilevel"/>
    <w:tmpl w:val="15885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BF4B62"/>
    <w:multiLevelType w:val="hybridMultilevel"/>
    <w:tmpl w:val="248A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54D6A"/>
    <w:multiLevelType w:val="hybridMultilevel"/>
    <w:tmpl w:val="1DD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2C"/>
    <w:rsid w:val="00050DE0"/>
    <w:rsid w:val="000A4BB2"/>
    <w:rsid w:val="00105CC0"/>
    <w:rsid w:val="001A0DCC"/>
    <w:rsid w:val="001E5066"/>
    <w:rsid w:val="00244902"/>
    <w:rsid w:val="002656C0"/>
    <w:rsid w:val="00280C16"/>
    <w:rsid w:val="0034747C"/>
    <w:rsid w:val="0037224F"/>
    <w:rsid w:val="003936F4"/>
    <w:rsid w:val="003B61AB"/>
    <w:rsid w:val="00467E77"/>
    <w:rsid w:val="00546837"/>
    <w:rsid w:val="00574992"/>
    <w:rsid w:val="005C5729"/>
    <w:rsid w:val="00632415"/>
    <w:rsid w:val="00647522"/>
    <w:rsid w:val="00694008"/>
    <w:rsid w:val="007459D1"/>
    <w:rsid w:val="007C2ABD"/>
    <w:rsid w:val="008926EC"/>
    <w:rsid w:val="008A02AD"/>
    <w:rsid w:val="008D49B4"/>
    <w:rsid w:val="00955E97"/>
    <w:rsid w:val="00A17B76"/>
    <w:rsid w:val="00A70CBC"/>
    <w:rsid w:val="00AE1B36"/>
    <w:rsid w:val="00B52D82"/>
    <w:rsid w:val="00B60480"/>
    <w:rsid w:val="00C52951"/>
    <w:rsid w:val="00CC3C2C"/>
    <w:rsid w:val="00CD6BFC"/>
    <w:rsid w:val="00EA482D"/>
    <w:rsid w:val="00F226AF"/>
    <w:rsid w:val="00F31745"/>
    <w:rsid w:val="00F42703"/>
    <w:rsid w:val="00F51B52"/>
    <w:rsid w:val="00FC1B77"/>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66676F"/>
  <w15:docId w15:val="{5B0DD152-5FFB-4C73-BE73-6796F877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C2C"/>
  </w:style>
  <w:style w:type="paragraph" w:styleId="Heading1">
    <w:name w:val="heading 1"/>
    <w:basedOn w:val="Normal"/>
    <w:next w:val="Normal"/>
    <w:link w:val="Heading1Char"/>
    <w:uiPriority w:val="9"/>
    <w:qFormat/>
    <w:rsid w:val="00CC3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3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3C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C3C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C2C"/>
    <w:pPr>
      <w:ind w:left="720"/>
      <w:contextualSpacing/>
    </w:pPr>
  </w:style>
  <w:style w:type="paragraph" w:styleId="NormalWeb">
    <w:name w:val="Normal (Web)"/>
    <w:basedOn w:val="Normal"/>
    <w:uiPriority w:val="99"/>
    <w:unhideWhenUsed/>
    <w:rsid w:val="00CC3C2C"/>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CC3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2C"/>
  </w:style>
  <w:style w:type="table" w:styleId="TableGrid">
    <w:name w:val="Table Grid"/>
    <w:basedOn w:val="TableNormal"/>
    <w:uiPriority w:val="59"/>
    <w:rsid w:val="00CC3C2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w:basedOn w:val="Normal"/>
    <w:next w:val="Normal"/>
    <w:uiPriority w:val="99"/>
    <w:qFormat/>
    <w:rsid w:val="00CC3C2C"/>
    <w:pPr>
      <w:keepNext/>
      <w:spacing w:before="70" w:after="140" w:line="280" w:lineRule="exact"/>
    </w:pPr>
    <w:rPr>
      <w:rFonts w:ascii="Calibri" w:eastAsia="Times New Roman" w:hAnsi="Calibri" w:cs="Calibri"/>
      <w:i/>
      <w:iCs/>
    </w:rPr>
  </w:style>
  <w:style w:type="paragraph" w:customStyle="1" w:styleId="TableTextHeader">
    <w:name w:val="Table Text Header"/>
    <w:basedOn w:val="Normal"/>
    <w:qFormat/>
    <w:rsid w:val="00CC3C2C"/>
    <w:pPr>
      <w:spacing w:after="0" w:line="240" w:lineRule="auto"/>
    </w:pPr>
    <w:rPr>
      <w:rFonts w:ascii="Calibri" w:eastAsia="Times New Roman" w:hAnsi="Calibri" w:cs="Calibri"/>
      <w:b/>
      <w:bCs/>
    </w:rPr>
  </w:style>
  <w:style w:type="paragraph" w:customStyle="1" w:styleId="TableTextContent">
    <w:name w:val="Table Text Content"/>
    <w:basedOn w:val="Normal"/>
    <w:qFormat/>
    <w:rsid w:val="00CC3C2C"/>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CC3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2C"/>
  </w:style>
  <w:style w:type="paragraph" w:customStyle="1" w:styleId="TableText">
    <w:name w:val="Table Text"/>
    <w:link w:val="TableTextChar"/>
    <w:rsid w:val="00CC3C2C"/>
    <w:pPr>
      <w:spacing w:before="60" w:after="60" w:line="240" w:lineRule="auto"/>
    </w:pPr>
    <w:rPr>
      <w:rFonts w:ascii="Arial" w:eastAsia="Times New Roman" w:hAnsi="Arial" w:cs="Arial"/>
      <w:szCs w:val="20"/>
    </w:rPr>
  </w:style>
  <w:style w:type="character" w:customStyle="1" w:styleId="TableTextChar">
    <w:name w:val="Table Text Char"/>
    <w:link w:val="TableText"/>
    <w:rsid w:val="00CC3C2C"/>
    <w:rPr>
      <w:rFonts w:ascii="Arial" w:eastAsia="Times New Roman" w:hAnsi="Arial" w:cs="Arial"/>
      <w:szCs w:val="20"/>
    </w:rPr>
  </w:style>
  <w:style w:type="character" w:styleId="Hyperlink">
    <w:name w:val="Hyperlink"/>
    <w:basedOn w:val="DefaultParagraphFont"/>
    <w:uiPriority w:val="99"/>
    <w:unhideWhenUsed/>
    <w:rsid w:val="00CC3C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1284</Words>
  <Characters>7321</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 Nilesh V. (AbleVets)</dc:creator>
  <cp:lastModifiedBy>Richards, Rafael M.</cp:lastModifiedBy>
  <cp:revision>2</cp:revision>
  <cp:lastPrinted>2018-09-09T22:39:00Z</cp:lastPrinted>
  <dcterms:created xsi:type="dcterms:W3CDTF">2019-04-05T16:39:00Z</dcterms:created>
  <dcterms:modified xsi:type="dcterms:W3CDTF">2019-04-05T16:39:00Z</dcterms:modified>
</cp:coreProperties>
</file>