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5E1F6" w14:textId="492507A1" w:rsidR="00DA3FAD" w:rsidRPr="002F2AAA" w:rsidRDefault="00212B15" w:rsidP="00AB6213">
      <w:pPr>
        <w:pStyle w:val="Heading1"/>
        <w:numPr>
          <w:ilvl w:val="0"/>
          <w:numId w:val="0"/>
        </w:numPr>
        <w:spacing w:before="0" w:after="360"/>
        <w:ind w:left="720" w:hanging="720"/>
        <w:jc w:val="center"/>
        <w:rPr>
          <w:sz w:val="36"/>
          <w:szCs w:val="36"/>
        </w:rPr>
      </w:pPr>
      <w:bookmarkStart w:id="0" w:name="_Toc205632711"/>
      <w:r w:rsidRPr="002F2AAA">
        <w:rPr>
          <w:sz w:val="36"/>
          <w:szCs w:val="36"/>
        </w:rPr>
        <w:t>V</w:t>
      </w:r>
      <w:r w:rsidR="008C66FA" w:rsidRPr="002F2AAA">
        <w:rPr>
          <w:sz w:val="36"/>
          <w:szCs w:val="36"/>
        </w:rPr>
        <w:t>ist</w:t>
      </w:r>
      <w:r w:rsidRPr="002F2AAA">
        <w:rPr>
          <w:sz w:val="36"/>
          <w:szCs w:val="36"/>
        </w:rPr>
        <w:t xml:space="preserve">A </w:t>
      </w:r>
      <w:r w:rsidR="00DA3FAD" w:rsidRPr="002F2AAA">
        <w:rPr>
          <w:sz w:val="36"/>
          <w:szCs w:val="36"/>
        </w:rPr>
        <w:t xml:space="preserve">Primary Developer </w:t>
      </w:r>
      <w:r w:rsidR="00B533A3">
        <w:rPr>
          <w:sz w:val="36"/>
          <w:szCs w:val="36"/>
        </w:rPr>
        <w:t xml:space="preserve">Review </w:t>
      </w:r>
      <w:r w:rsidR="00DA3FAD" w:rsidRPr="002F2AAA">
        <w:rPr>
          <w:sz w:val="36"/>
          <w:szCs w:val="36"/>
        </w:rPr>
        <w:t>Checklist</w:t>
      </w:r>
    </w:p>
    <w:p w14:paraId="58DA7F85" w14:textId="77777777" w:rsidR="004F3A80" w:rsidRDefault="005862E8" w:rsidP="00AB6213">
      <w:pPr>
        <w:spacing w:before="960" w:after="960"/>
        <w:jc w:val="center"/>
      </w:pPr>
      <w:r>
        <w:rPr>
          <w:noProof/>
        </w:rPr>
        <w:drawing>
          <wp:inline distT="0" distB="0" distL="0" distR="0" wp14:anchorId="1E06095F" wp14:editId="68A24B8A">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515AF366" w14:textId="77777777" w:rsidR="00FA1117" w:rsidRDefault="00FA1117" w:rsidP="00A07FCB">
      <w:pPr>
        <w:pStyle w:val="Title2"/>
      </w:pPr>
      <w:r>
        <w:t>Department of Veterans Affairs</w:t>
      </w:r>
    </w:p>
    <w:p w14:paraId="293860FB" w14:textId="049704B9" w:rsidR="00DA3FAD" w:rsidRPr="00DA3FAD" w:rsidRDefault="00D36AE9" w:rsidP="00A07FCB">
      <w:pPr>
        <w:pStyle w:val="Title2"/>
      </w:pPr>
      <w:r>
        <w:t>October</w:t>
      </w:r>
      <w:r w:rsidR="00B3236E">
        <w:t xml:space="preserve"> 202</w:t>
      </w:r>
      <w:r w:rsidR="003C5BAC">
        <w:t>2</w:t>
      </w:r>
    </w:p>
    <w:p w14:paraId="0C5F887D" w14:textId="60C4943D" w:rsidR="00AD4E85" w:rsidRDefault="00F7216E" w:rsidP="004340F2">
      <w:pPr>
        <w:pStyle w:val="Title2"/>
        <w:sectPr w:rsidR="00AD4E85" w:rsidSect="009E27DE">
          <w:type w:val="continuous"/>
          <w:pgSz w:w="12240" w:h="15840" w:code="1"/>
          <w:pgMar w:top="1440" w:right="1440" w:bottom="1440" w:left="1440" w:header="720" w:footer="720" w:gutter="0"/>
          <w:pgNumType w:fmt="lowerRoman" w:start="1"/>
          <w:cols w:space="720"/>
          <w:vAlign w:val="center"/>
          <w:docGrid w:linePitch="360"/>
        </w:sectPr>
      </w:pPr>
      <w:r w:rsidRPr="00636CCE">
        <w:t xml:space="preserve">Version </w:t>
      </w:r>
      <w:r w:rsidR="007762D6">
        <w:t>1.</w:t>
      </w:r>
      <w:r w:rsidR="00B3236E">
        <w:t>8</w:t>
      </w:r>
    </w:p>
    <w:p w14:paraId="4F110A82" w14:textId="2F4DE824" w:rsidR="001822B3" w:rsidRDefault="00922D53" w:rsidP="002F2AAA">
      <w:pPr>
        <w:pStyle w:val="Caption"/>
      </w:pPr>
      <w:r w:rsidRPr="00AB6213">
        <w:rPr>
          <w:sz w:val="28"/>
          <w:szCs w:val="28"/>
        </w:rPr>
        <w:lastRenderedPageBreak/>
        <w:t>Revision History</w:t>
      </w:r>
      <w:bookmarkStart w:id="1" w:name="ColumnTitle_01"/>
      <w:bookmarkEnd w:id="1"/>
    </w:p>
    <w:p w14:paraId="60279D41" w14:textId="6AC8C10B" w:rsidR="00AB5882" w:rsidRDefault="00AB5882" w:rsidP="0048060D"/>
    <w:tbl>
      <w:tblPr>
        <w:tblStyle w:val="GridTable1Light"/>
        <w:tblW w:w="5000" w:type="pct"/>
        <w:tblLook w:val="0020" w:firstRow="1" w:lastRow="0" w:firstColumn="0" w:lastColumn="0" w:noHBand="0" w:noVBand="0"/>
        <w:tblDescription w:val="Revision History, including date of changes, version, description of changes, and author of changes."/>
      </w:tblPr>
      <w:tblGrid>
        <w:gridCol w:w="1757"/>
        <w:gridCol w:w="999"/>
        <w:gridCol w:w="4251"/>
        <w:gridCol w:w="2343"/>
      </w:tblGrid>
      <w:tr w:rsidR="00AB5882" w:rsidRPr="005068FD" w14:paraId="12F32E01" w14:textId="77777777" w:rsidTr="00AB2340">
        <w:trPr>
          <w:cnfStyle w:val="100000000000" w:firstRow="1" w:lastRow="0" w:firstColumn="0" w:lastColumn="0" w:oddVBand="0" w:evenVBand="0" w:oddHBand="0" w:evenHBand="0" w:firstRowFirstColumn="0" w:firstRowLastColumn="0" w:lastRowFirstColumn="0" w:lastRowLastColumn="0"/>
        </w:trPr>
        <w:tc>
          <w:tcPr>
            <w:tcW w:w="940" w:type="pct"/>
          </w:tcPr>
          <w:p w14:paraId="28021A78" w14:textId="77777777" w:rsidR="00AB5882" w:rsidRPr="005068FD" w:rsidRDefault="00AB5882" w:rsidP="006079EE">
            <w:pPr>
              <w:pStyle w:val="TableHeading"/>
            </w:pPr>
            <w:r w:rsidRPr="005068FD">
              <w:t>Date</w:t>
            </w:r>
          </w:p>
        </w:tc>
        <w:tc>
          <w:tcPr>
            <w:tcW w:w="534" w:type="pct"/>
          </w:tcPr>
          <w:p w14:paraId="73BE25F0" w14:textId="77777777" w:rsidR="00AB5882" w:rsidRPr="005068FD" w:rsidRDefault="00AB5882" w:rsidP="006079EE">
            <w:pPr>
              <w:pStyle w:val="TableHeading"/>
            </w:pPr>
            <w:r w:rsidRPr="005068FD">
              <w:t>Version</w:t>
            </w:r>
          </w:p>
        </w:tc>
        <w:tc>
          <w:tcPr>
            <w:tcW w:w="2273" w:type="pct"/>
          </w:tcPr>
          <w:p w14:paraId="60C258CE" w14:textId="77777777" w:rsidR="00AB5882" w:rsidRPr="005068FD" w:rsidRDefault="00AB5882" w:rsidP="006079EE">
            <w:pPr>
              <w:pStyle w:val="TableHeading"/>
            </w:pPr>
            <w:r w:rsidRPr="005068FD">
              <w:t>Description</w:t>
            </w:r>
          </w:p>
        </w:tc>
        <w:tc>
          <w:tcPr>
            <w:tcW w:w="1253" w:type="pct"/>
          </w:tcPr>
          <w:p w14:paraId="1AD5B0FA" w14:textId="77777777" w:rsidR="00AB5882" w:rsidRPr="005068FD" w:rsidRDefault="00AB5882" w:rsidP="006079EE">
            <w:pPr>
              <w:pStyle w:val="TableHeading"/>
            </w:pPr>
            <w:r w:rsidRPr="005068FD">
              <w:t>Author</w:t>
            </w:r>
          </w:p>
        </w:tc>
      </w:tr>
      <w:tr w:rsidR="00B3236E" w14:paraId="291661D7" w14:textId="77777777" w:rsidTr="00AB2340">
        <w:tc>
          <w:tcPr>
            <w:tcW w:w="940" w:type="pct"/>
          </w:tcPr>
          <w:p w14:paraId="628FD8D0" w14:textId="139F3912" w:rsidR="00B3236E" w:rsidRDefault="00D36AE9" w:rsidP="006079EE">
            <w:pPr>
              <w:pStyle w:val="TableText"/>
            </w:pPr>
            <w:r>
              <w:t>October</w:t>
            </w:r>
            <w:r w:rsidR="00B3236E">
              <w:t xml:space="preserve"> 202</w:t>
            </w:r>
            <w:r w:rsidR="003C5BAC">
              <w:t>2</w:t>
            </w:r>
          </w:p>
        </w:tc>
        <w:tc>
          <w:tcPr>
            <w:tcW w:w="534" w:type="pct"/>
          </w:tcPr>
          <w:p w14:paraId="437D9933" w14:textId="283FBA3E" w:rsidR="00B3236E" w:rsidRDefault="00B3236E" w:rsidP="006079EE">
            <w:pPr>
              <w:pStyle w:val="TableText"/>
            </w:pPr>
            <w:r>
              <w:t>1.8</w:t>
            </w:r>
          </w:p>
        </w:tc>
        <w:tc>
          <w:tcPr>
            <w:tcW w:w="2273" w:type="pct"/>
          </w:tcPr>
          <w:p w14:paraId="446B1A1C" w14:textId="158DD95D" w:rsidR="00B3236E" w:rsidRDefault="00B3236E" w:rsidP="006079EE">
            <w:pPr>
              <w:pStyle w:val="TableText"/>
            </w:pPr>
            <w:r>
              <w:t>Updated ICR Information</w:t>
            </w:r>
            <w:r w:rsidR="00D36AE9">
              <w:t>,</w:t>
            </w:r>
            <w:r w:rsidR="00785D3E">
              <w:t xml:space="preserve"> HL7 Mailgroup name</w:t>
            </w:r>
            <w:r w:rsidR="00D36AE9">
              <w:t>, links to PAL, TRM</w:t>
            </w:r>
          </w:p>
        </w:tc>
        <w:tc>
          <w:tcPr>
            <w:tcW w:w="1253" w:type="pct"/>
          </w:tcPr>
          <w:p w14:paraId="5BD5832E" w14:textId="608C6A4E" w:rsidR="00B3236E" w:rsidRDefault="00B3236E" w:rsidP="006079EE">
            <w:pPr>
              <w:pStyle w:val="TableText"/>
            </w:pPr>
            <w:r>
              <w:t>SAC Work Group</w:t>
            </w:r>
          </w:p>
        </w:tc>
      </w:tr>
      <w:tr w:rsidR="004340F2" w14:paraId="6D601595" w14:textId="77777777" w:rsidTr="00AB2340">
        <w:tc>
          <w:tcPr>
            <w:tcW w:w="940" w:type="pct"/>
          </w:tcPr>
          <w:p w14:paraId="0B434412" w14:textId="34E634A4" w:rsidR="004340F2" w:rsidRDefault="004340F2" w:rsidP="006079EE">
            <w:pPr>
              <w:pStyle w:val="TableText"/>
            </w:pPr>
            <w:r>
              <w:t>June 2020</w:t>
            </w:r>
          </w:p>
        </w:tc>
        <w:tc>
          <w:tcPr>
            <w:tcW w:w="534" w:type="pct"/>
          </w:tcPr>
          <w:p w14:paraId="2E971CF0" w14:textId="1A34FA37" w:rsidR="004340F2" w:rsidRDefault="004340F2" w:rsidP="006079EE">
            <w:pPr>
              <w:pStyle w:val="TableText"/>
            </w:pPr>
            <w:r>
              <w:t>1.7</w:t>
            </w:r>
          </w:p>
        </w:tc>
        <w:tc>
          <w:tcPr>
            <w:tcW w:w="2273" w:type="pct"/>
          </w:tcPr>
          <w:p w14:paraId="763DF814" w14:textId="58016461" w:rsidR="004340F2" w:rsidRDefault="004340F2" w:rsidP="006079EE">
            <w:pPr>
              <w:pStyle w:val="TableText"/>
            </w:pPr>
            <w:r>
              <w:t>Updated Distribution Group for HL7 Message Admin</w:t>
            </w:r>
          </w:p>
        </w:tc>
        <w:tc>
          <w:tcPr>
            <w:tcW w:w="1253" w:type="pct"/>
          </w:tcPr>
          <w:p w14:paraId="42630FC0" w14:textId="2E666A58" w:rsidR="004340F2" w:rsidRDefault="004340F2" w:rsidP="006079EE">
            <w:pPr>
              <w:pStyle w:val="TableText"/>
            </w:pPr>
            <w:r>
              <w:t xml:space="preserve">M Programming Standards Work </w:t>
            </w:r>
            <w:r w:rsidR="005229DF">
              <w:t>G</w:t>
            </w:r>
            <w:r>
              <w:t>roup</w:t>
            </w:r>
          </w:p>
        </w:tc>
      </w:tr>
      <w:tr w:rsidR="00AB5882" w14:paraId="7C71D9C1" w14:textId="77777777" w:rsidTr="00AB2340">
        <w:tc>
          <w:tcPr>
            <w:tcW w:w="940" w:type="pct"/>
          </w:tcPr>
          <w:p w14:paraId="1638A545" w14:textId="77777777" w:rsidR="00AB5882" w:rsidRDefault="00AB5882" w:rsidP="006079EE">
            <w:pPr>
              <w:pStyle w:val="TableText"/>
            </w:pPr>
            <w:r>
              <w:t>July 2019</w:t>
            </w:r>
          </w:p>
        </w:tc>
        <w:tc>
          <w:tcPr>
            <w:tcW w:w="534" w:type="pct"/>
          </w:tcPr>
          <w:p w14:paraId="162917CB" w14:textId="77777777" w:rsidR="00AB5882" w:rsidRDefault="00AB5882" w:rsidP="006079EE">
            <w:pPr>
              <w:pStyle w:val="TableText"/>
            </w:pPr>
            <w:r>
              <w:t>1.6</w:t>
            </w:r>
          </w:p>
        </w:tc>
        <w:tc>
          <w:tcPr>
            <w:tcW w:w="2273" w:type="pct"/>
          </w:tcPr>
          <w:p w14:paraId="4182846A" w14:textId="77777777" w:rsidR="00AB5882" w:rsidRDefault="00AB5882" w:rsidP="006079EE">
            <w:pPr>
              <w:pStyle w:val="TableText"/>
            </w:pPr>
            <w:r>
              <w:t>Updated to reflect organizational and process changes</w:t>
            </w:r>
          </w:p>
        </w:tc>
        <w:tc>
          <w:tcPr>
            <w:tcW w:w="1253" w:type="pct"/>
          </w:tcPr>
          <w:p w14:paraId="471E9CCA" w14:textId="77777777" w:rsidR="00AB5882" w:rsidRDefault="00AB5882" w:rsidP="006079EE">
            <w:pPr>
              <w:pStyle w:val="TableText"/>
            </w:pPr>
            <w:r>
              <w:t>Software Engineering</w:t>
            </w:r>
          </w:p>
        </w:tc>
      </w:tr>
      <w:tr w:rsidR="00AB5882" w14:paraId="1B2FA8A0" w14:textId="77777777" w:rsidTr="00AB2340">
        <w:tc>
          <w:tcPr>
            <w:tcW w:w="940" w:type="pct"/>
          </w:tcPr>
          <w:p w14:paraId="36BBC24A" w14:textId="77777777" w:rsidR="00AB5882" w:rsidRPr="00636CCE" w:rsidRDefault="00AB5882" w:rsidP="006079EE">
            <w:pPr>
              <w:pStyle w:val="TableText"/>
            </w:pPr>
            <w:r>
              <w:t>October 2018</w:t>
            </w:r>
          </w:p>
        </w:tc>
        <w:tc>
          <w:tcPr>
            <w:tcW w:w="534" w:type="pct"/>
          </w:tcPr>
          <w:p w14:paraId="5C19706A" w14:textId="77777777" w:rsidR="00AB5882" w:rsidRPr="00636CCE" w:rsidRDefault="00AB5882" w:rsidP="006079EE">
            <w:pPr>
              <w:pStyle w:val="TableText"/>
            </w:pPr>
            <w:r>
              <w:t>1.5</w:t>
            </w:r>
          </w:p>
        </w:tc>
        <w:tc>
          <w:tcPr>
            <w:tcW w:w="2273" w:type="pct"/>
          </w:tcPr>
          <w:p w14:paraId="56FA830D" w14:textId="77777777" w:rsidR="00AB5882" w:rsidRDefault="00AB5882" w:rsidP="006079EE">
            <w:pPr>
              <w:pStyle w:val="TableText"/>
            </w:pPr>
            <w:r>
              <w:t>Moved Template Revision History Table to the end of the Template and reset Document Revision History for completed artifact revisions</w:t>
            </w:r>
          </w:p>
        </w:tc>
        <w:tc>
          <w:tcPr>
            <w:tcW w:w="1253" w:type="pct"/>
          </w:tcPr>
          <w:p w14:paraId="63825CD1" w14:textId="77777777" w:rsidR="00AB5882" w:rsidRPr="00636CCE" w:rsidRDefault="00AB5882" w:rsidP="006079EE">
            <w:pPr>
              <w:pStyle w:val="TableText"/>
            </w:pPr>
            <w:r>
              <w:t>Quality Continuous Improvement Organization (QCIO)</w:t>
            </w:r>
          </w:p>
        </w:tc>
      </w:tr>
      <w:tr w:rsidR="00AB5882" w14:paraId="08F83369" w14:textId="77777777" w:rsidTr="00AB2340">
        <w:tc>
          <w:tcPr>
            <w:tcW w:w="940" w:type="pct"/>
          </w:tcPr>
          <w:p w14:paraId="0E64CEC8" w14:textId="77777777" w:rsidR="00AB5882" w:rsidRPr="00636CCE" w:rsidRDefault="00AB5882" w:rsidP="006079EE">
            <w:pPr>
              <w:pStyle w:val="TableText"/>
            </w:pPr>
            <w:r w:rsidRPr="00636CCE">
              <w:t>March 1, 2016</w:t>
            </w:r>
          </w:p>
        </w:tc>
        <w:tc>
          <w:tcPr>
            <w:tcW w:w="534" w:type="pct"/>
          </w:tcPr>
          <w:p w14:paraId="4C5D7B2A" w14:textId="77777777" w:rsidR="00AB5882" w:rsidRPr="00636CCE" w:rsidRDefault="00AB5882" w:rsidP="006079EE">
            <w:pPr>
              <w:pStyle w:val="TableText"/>
            </w:pPr>
            <w:r w:rsidRPr="00636CCE">
              <w:t>1.4</w:t>
            </w:r>
          </w:p>
        </w:tc>
        <w:tc>
          <w:tcPr>
            <w:tcW w:w="2273" w:type="pct"/>
          </w:tcPr>
          <w:p w14:paraId="394AD00D" w14:textId="77777777" w:rsidR="00AB5882" w:rsidRPr="00636CCE" w:rsidRDefault="00AB5882" w:rsidP="006079EE">
            <w:pPr>
              <w:pStyle w:val="TableText"/>
            </w:pPr>
            <w:r>
              <w:t>Updated to include</w:t>
            </w:r>
            <w:r w:rsidRPr="00636CCE">
              <w:t xml:space="preserve"> check for bundled patches</w:t>
            </w:r>
          </w:p>
        </w:tc>
        <w:tc>
          <w:tcPr>
            <w:tcW w:w="1253" w:type="pct"/>
          </w:tcPr>
          <w:p w14:paraId="061C5BBE" w14:textId="77777777" w:rsidR="00AB5882" w:rsidRDefault="00AB5882" w:rsidP="006079EE">
            <w:pPr>
              <w:pStyle w:val="TableText"/>
            </w:pPr>
            <w:r w:rsidRPr="00636CCE">
              <w:t>Product Development</w:t>
            </w:r>
          </w:p>
        </w:tc>
      </w:tr>
      <w:tr w:rsidR="00AB5882" w14:paraId="5CB8D09C" w14:textId="77777777" w:rsidTr="00AB2340">
        <w:tc>
          <w:tcPr>
            <w:tcW w:w="940" w:type="pct"/>
          </w:tcPr>
          <w:p w14:paraId="34D8FD24" w14:textId="77777777" w:rsidR="00AB5882" w:rsidRDefault="00AB5882" w:rsidP="006079EE">
            <w:pPr>
              <w:pStyle w:val="TableText"/>
            </w:pPr>
            <w:r>
              <w:t>February 2016</w:t>
            </w:r>
          </w:p>
        </w:tc>
        <w:tc>
          <w:tcPr>
            <w:tcW w:w="534" w:type="pct"/>
          </w:tcPr>
          <w:p w14:paraId="03741830" w14:textId="77777777" w:rsidR="00AB5882" w:rsidRDefault="00AB5882" w:rsidP="006079EE">
            <w:pPr>
              <w:pStyle w:val="TableText"/>
            </w:pPr>
            <w:r>
              <w:t>1.3</w:t>
            </w:r>
          </w:p>
        </w:tc>
        <w:tc>
          <w:tcPr>
            <w:tcW w:w="2273" w:type="pct"/>
          </w:tcPr>
          <w:p w14:paraId="17D08F34" w14:textId="3582BBED" w:rsidR="00AB5882" w:rsidRDefault="00AB5882" w:rsidP="006079EE">
            <w:pPr>
              <w:pStyle w:val="TableText"/>
            </w:pPr>
            <w:r>
              <w:t xml:space="preserve">Modified mail group for submission of Data Dictionary Change Approvals to </w:t>
            </w:r>
            <w:r w:rsidRPr="006F2EC3">
              <w:t xml:space="preserve">VA OIT OED </w:t>
            </w:r>
            <w:r w:rsidR="008C66FA">
              <w:t>VistA</w:t>
            </w:r>
            <w:r w:rsidRPr="006F2EC3">
              <w:t xml:space="preserve"> DBA</w:t>
            </w:r>
          </w:p>
        </w:tc>
        <w:tc>
          <w:tcPr>
            <w:tcW w:w="1253" w:type="pct"/>
          </w:tcPr>
          <w:p w14:paraId="37128659" w14:textId="77777777" w:rsidR="00AB5882" w:rsidRDefault="00AB5882" w:rsidP="006079EE">
            <w:pPr>
              <w:pStyle w:val="TableText"/>
            </w:pPr>
            <w:r>
              <w:t>Process Management</w:t>
            </w:r>
          </w:p>
        </w:tc>
      </w:tr>
      <w:tr w:rsidR="00AB5882" w14:paraId="7544A5D2" w14:textId="77777777" w:rsidTr="00AB2340">
        <w:tc>
          <w:tcPr>
            <w:tcW w:w="940" w:type="pct"/>
          </w:tcPr>
          <w:p w14:paraId="3927C711" w14:textId="77777777" w:rsidR="00AB5882" w:rsidRDefault="00AB5882" w:rsidP="006079EE">
            <w:pPr>
              <w:pStyle w:val="TableText"/>
            </w:pPr>
            <w:r>
              <w:t>March 2, 2015</w:t>
            </w:r>
          </w:p>
        </w:tc>
        <w:tc>
          <w:tcPr>
            <w:tcW w:w="534" w:type="pct"/>
          </w:tcPr>
          <w:p w14:paraId="460C9B36" w14:textId="77777777" w:rsidR="00AB5882" w:rsidRDefault="00AB5882" w:rsidP="006079EE">
            <w:pPr>
              <w:pStyle w:val="TableText"/>
            </w:pPr>
            <w:r>
              <w:t>1.2</w:t>
            </w:r>
          </w:p>
        </w:tc>
        <w:tc>
          <w:tcPr>
            <w:tcW w:w="2273" w:type="pct"/>
          </w:tcPr>
          <w:p w14:paraId="6CAB3DC2" w14:textId="77777777" w:rsidR="00AB5882" w:rsidRDefault="00AB5882" w:rsidP="006079EE">
            <w:pPr>
              <w:pStyle w:val="TableText"/>
            </w:pPr>
            <w:r>
              <w:t>Updated to include Build Review Section</w:t>
            </w:r>
          </w:p>
        </w:tc>
        <w:tc>
          <w:tcPr>
            <w:tcW w:w="1253" w:type="pct"/>
          </w:tcPr>
          <w:p w14:paraId="006D1ED6" w14:textId="77777777" w:rsidR="00AB5882" w:rsidRDefault="00AB5882" w:rsidP="006079EE">
            <w:pPr>
              <w:pStyle w:val="TableText"/>
            </w:pPr>
            <w:r>
              <w:t>Product Development</w:t>
            </w:r>
          </w:p>
        </w:tc>
      </w:tr>
      <w:tr w:rsidR="00AB5882" w14:paraId="12E6C58E" w14:textId="77777777" w:rsidTr="00AB2340">
        <w:tc>
          <w:tcPr>
            <w:tcW w:w="940" w:type="pct"/>
          </w:tcPr>
          <w:p w14:paraId="659A5E54" w14:textId="77777777" w:rsidR="00AB5882" w:rsidRDefault="00AB5882" w:rsidP="006079EE">
            <w:pPr>
              <w:pStyle w:val="TableText"/>
            </w:pPr>
            <w:r>
              <w:t>May 2014</w:t>
            </w:r>
          </w:p>
        </w:tc>
        <w:tc>
          <w:tcPr>
            <w:tcW w:w="534" w:type="pct"/>
          </w:tcPr>
          <w:p w14:paraId="6E219740" w14:textId="77777777" w:rsidR="00AB5882" w:rsidRDefault="00AB5882" w:rsidP="006079EE">
            <w:pPr>
              <w:pStyle w:val="TableText"/>
            </w:pPr>
            <w:r>
              <w:t>1.1</w:t>
            </w:r>
          </w:p>
        </w:tc>
        <w:tc>
          <w:tcPr>
            <w:tcW w:w="2273" w:type="pct"/>
          </w:tcPr>
          <w:p w14:paraId="19B4712E" w14:textId="77777777" w:rsidR="00AB5882" w:rsidRDefault="00AB5882" w:rsidP="006079EE">
            <w:pPr>
              <w:pStyle w:val="TableText"/>
            </w:pPr>
            <w:r>
              <w:t xml:space="preserve">Upgraded to MS Office 2007-2010 format, updated to current ProPath documentation standards, and edited for Section 508 conformance </w:t>
            </w:r>
          </w:p>
        </w:tc>
        <w:tc>
          <w:tcPr>
            <w:tcW w:w="1253" w:type="pct"/>
          </w:tcPr>
          <w:p w14:paraId="3A66C029" w14:textId="77777777" w:rsidR="00AB5882" w:rsidRDefault="00AB5882" w:rsidP="006079EE">
            <w:pPr>
              <w:pStyle w:val="TableText"/>
            </w:pPr>
            <w:r>
              <w:t>Process Management</w:t>
            </w:r>
          </w:p>
        </w:tc>
      </w:tr>
      <w:tr w:rsidR="00AB5882" w14:paraId="6D2E6189" w14:textId="77777777" w:rsidTr="00AB2340">
        <w:tc>
          <w:tcPr>
            <w:tcW w:w="940" w:type="pct"/>
          </w:tcPr>
          <w:p w14:paraId="3A359833" w14:textId="77777777" w:rsidR="00AB5882" w:rsidRDefault="00AB5882" w:rsidP="006079EE">
            <w:pPr>
              <w:pStyle w:val="TableText"/>
            </w:pPr>
            <w:r>
              <w:t>January 2014</w:t>
            </w:r>
          </w:p>
        </w:tc>
        <w:tc>
          <w:tcPr>
            <w:tcW w:w="534" w:type="pct"/>
          </w:tcPr>
          <w:p w14:paraId="351CBE89" w14:textId="77777777" w:rsidR="00AB5882" w:rsidRDefault="00AB5882" w:rsidP="006079EE">
            <w:pPr>
              <w:pStyle w:val="TableText"/>
            </w:pPr>
            <w:r>
              <w:t>1.0</w:t>
            </w:r>
          </w:p>
        </w:tc>
        <w:tc>
          <w:tcPr>
            <w:tcW w:w="2273" w:type="pct"/>
          </w:tcPr>
          <w:p w14:paraId="2AC657BA" w14:textId="77777777" w:rsidR="00AB5882" w:rsidRDefault="00AB5882" w:rsidP="006079EE">
            <w:pPr>
              <w:pStyle w:val="TableText"/>
            </w:pPr>
            <w:r>
              <w:t>Initial Version</w:t>
            </w:r>
          </w:p>
        </w:tc>
        <w:tc>
          <w:tcPr>
            <w:tcW w:w="1253" w:type="pct"/>
          </w:tcPr>
          <w:p w14:paraId="162038C4" w14:textId="77777777" w:rsidR="00AB5882" w:rsidRDefault="00AB5882" w:rsidP="006079EE">
            <w:pPr>
              <w:pStyle w:val="TableText"/>
            </w:pPr>
            <w:r>
              <w:t>Process Management</w:t>
            </w:r>
          </w:p>
        </w:tc>
      </w:tr>
    </w:tbl>
    <w:p w14:paraId="32A2BB8F" w14:textId="77777777" w:rsidR="00AB5882" w:rsidRDefault="00AB5882" w:rsidP="0048060D"/>
    <w:p w14:paraId="56A90CDB" w14:textId="77777777" w:rsidR="00BF2C5A" w:rsidRPr="00BF2C5A" w:rsidRDefault="00BF2C5A" w:rsidP="00BF2C5A">
      <w:pPr>
        <w:pStyle w:val="BodyText"/>
      </w:pPr>
    </w:p>
    <w:bookmarkEnd w:id="0"/>
    <w:p w14:paraId="1E381CBE" w14:textId="77777777" w:rsidR="00356022" w:rsidRDefault="00356022" w:rsidP="00DA3FAD">
      <w:pPr>
        <w:pStyle w:val="Title2"/>
        <w:sectPr w:rsidR="00356022" w:rsidSect="00A077EE">
          <w:footerReference w:type="default" r:id="rId12"/>
          <w:pgSz w:w="12240" w:h="15840" w:code="1"/>
          <w:pgMar w:top="1440" w:right="1440" w:bottom="1440" w:left="1440" w:header="720" w:footer="720" w:gutter="0"/>
          <w:pgNumType w:fmt="lowerRoman" w:start="1"/>
          <w:cols w:space="720"/>
          <w:docGrid w:linePitch="360"/>
        </w:sectPr>
      </w:pPr>
    </w:p>
    <w:p w14:paraId="69B366F5" w14:textId="77777777" w:rsidR="00DA3FAD" w:rsidRDefault="00DA3FAD" w:rsidP="003E2FC6">
      <w:pPr>
        <w:pStyle w:val="Heading2"/>
        <w:numPr>
          <w:ilvl w:val="0"/>
          <w:numId w:val="0"/>
        </w:numPr>
        <w:ind w:left="907" w:hanging="907"/>
        <w:jc w:val="center"/>
      </w:pPr>
      <w:r w:rsidRPr="00DA3FAD">
        <w:lastRenderedPageBreak/>
        <w:t>M Code Primary Developer’s Checklist</w:t>
      </w:r>
    </w:p>
    <w:p w14:paraId="2281BF37" w14:textId="372C1952" w:rsidR="00DA3FAD" w:rsidRPr="00DA3FAD" w:rsidRDefault="00DA3FAD" w:rsidP="003E2FC6">
      <w:pPr>
        <w:pStyle w:val="Heading2"/>
        <w:numPr>
          <w:ilvl w:val="0"/>
          <w:numId w:val="0"/>
        </w:numPr>
        <w:ind w:left="907" w:hanging="907"/>
        <w:jc w:val="center"/>
        <w:rPr>
          <w:sz w:val="24"/>
          <w:szCs w:val="24"/>
        </w:rPr>
      </w:pPr>
      <w:r w:rsidRPr="00DA3FAD">
        <w:rPr>
          <w:sz w:val="24"/>
          <w:szCs w:val="24"/>
        </w:rPr>
        <w:t xml:space="preserve">(Updated </w:t>
      </w:r>
      <w:r w:rsidR="00D36AE9">
        <w:rPr>
          <w:sz w:val="24"/>
          <w:szCs w:val="24"/>
        </w:rPr>
        <w:t>October</w:t>
      </w:r>
      <w:r w:rsidR="00B3236E">
        <w:rPr>
          <w:sz w:val="24"/>
          <w:szCs w:val="24"/>
        </w:rPr>
        <w:t xml:space="preserve"> 202</w:t>
      </w:r>
      <w:r w:rsidR="003C5BAC">
        <w:rPr>
          <w:sz w:val="24"/>
          <w:szCs w:val="24"/>
        </w:rPr>
        <w:t>2</w:t>
      </w:r>
      <w:r w:rsidRPr="00DA3FAD">
        <w:rPr>
          <w:sz w:val="24"/>
          <w:szCs w:val="24"/>
        </w:rPr>
        <w:t>)</w:t>
      </w:r>
    </w:p>
    <w:p w14:paraId="66915E45" w14:textId="77777777" w:rsidR="00DA3FAD" w:rsidRDefault="00DA3FAD" w:rsidP="00DA3FAD">
      <w:pPr>
        <w:pStyle w:val="BodyText"/>
      </w:pPr>
      <w:r>
        <w:t>Use this checklist to complete the primary developer’s activities including any additional items directed by your Development Manager or Team Leader.</w:t>
      </w:r>
    </w:p>
    <w:p w14:paraId="71DA6D3B" w14:textId="77777777" w:rsidR="00DA3FAD" w:rsidRDefault="00DA3FAD" w:rsidP="00DA3FAD">
      <w:pPr>
        <w:pStyle w:val="BodyText"/>
      </w:pPr>
      <w:r>
        <w:t xml:space="preserve">It is the developer’s responsibility to complete the checklist and assure that is sent to the Project Manager. </w:t>
      </w:r>
    </w:p>
    <w:p w14:paraId="639D6D6A" w14:textId="069274DB" w:rsidR="00A2382A" w:rsidRDefault="00DA3FAD" w:rsidP="00DA3FAD">
      <w:pPr>
        <w:pStyle w:val="BodyText"/>
      </w:pPr>
      <w:r>
        <w:t>If a new test version is required to address issues identified by reviews or testing, a new Primary Developer Checklist, along with other items listed in item 1</w:t>
      </w:r>
      <w:r w:rsidR="00B15A7C">
        <w:t>6</w:t>
      </w:r>
      <w:r>
        <w:t xml:space="preserve"> will be resubmitted to the Project Manager.</w:t>
      </w:r>
    </w:p>
    <w:p w14:paraId="04413A00" w14:textId="248A50D4" w:rsidR="003E2FC6" w:rsidRDefault="003E2FC6" w:rsidP="00DA3FAD">
      <w:pPr>
        <w:pStyle w:val="BodyText"/>
      </w:pPr>
    </w:p>
    <w:p w14:paraId="4FB3744F" w14:textId="77777777" w:rsidR="003E2FC6" w:rsidRDefault="003E2FC6" w:rsidP="00DA3FAD">
      <w:pPr>
        <w:pStyle w:val="BodyText"/>
        <w:sectPr w:rsidR="003E2FC6" w:rsidSect="00356022">
          <w:footerReference w:type="default" r:id="rId13"/>
          <w:pgSz w:w="12240" w:h="15840" w:code="1"/>
          <w:pgMar w:top="1440" w:right="1440" w:bottom="1440" w:left="1440" w:header="720" w:footer="720" w:gutter="0"/>
          <w:pgNumType w:start="1"/>
          <w:cols w:space="720"/>
          <w:docGrid w:linePitch="360"/>
        </w:sectPr>
      </w:pPr>
    </w:p>
    <w:p w14:paraId="4FC71D23" w14:textId="596CBDBF" w:rsidR="003E2FC6" w:rsidRDefault="003E2FC6" w:rsidP="0048060D">
      <w:pPr>
        <w:pStyle w:val="BodyText"/>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Patch Number: </w:t>
      </w:r>
      <w:r w:rsidR="009F12A6">
        <w:t>PX*1*XX</w:t>
      </w:r>
    </w:p>
    <w:p w14:paraId="1CED966F" w14:textId="5C49FB76" w:rsidR="003E2FC6" w:rsidRDefault="003E2FC6" w:rsidP="0048060D">
      <w:pPr>
        <w:pStyle w:val="BodyText"/>
        <w:pBdr>
          <w:top w:val="single" w:sz="4" w:space="1" w:color="auto"/>
          <w:left w:val="single" w:sz="4" w:space="4" w:color="auto"/>
          <w:bottom w:val="single" w:sz="4" w:space="1" w:color="auto"/>
          <w:right w:val="single" w:sz="4" w:space="4" w:color="auto"/>
          <w:between w:val="single" w:sz="4" w:space="1" w:color="auto"/>
          <w:bar w:val="single" w:sz="4" w:color="auto"/>
        </w:pBdr>
      </w:pPr>
      <w:bookmarkStart w:id="2" w:name="_Hlk527034026"/>
      <w:r w:rsidRPr="003E2FC6">
        <w:t>Completed by:</w:t>
      </w:r>
      <w:bookmarkEnd w:id="2"/>
      <w:r>
        <w:t xml:space="preserve"> </w:t>
      </w:r>
    </w:p>
    <w:p w14:paraId="1D40C9B1" w14:textId="77777777" w:rsidR="0048060D" w:rsidRDefault="0048060D" w:rsidP="0048060D">
      <w:pPr>
        <w:pStyle w:val="BodyText"/>
      </w:pPr>
    </w:p>
    <w:p w14:paraId="460A1A7F" w14:textId="77777777" w:rsidR="003E2FC6" w:rsidRDefault="003E2FC6" w:rsidP="0048060D">
      <w:pPr>
        <w:pStyle w:val="BodyText"/>
        <w:pBdr>
          <w:top w:val="single" w:sz="4" w:space="1" w:color="auto"/>
          <w:left w:val="single" w:sz="4" w:space="4" w:color="auto"/>
          <w:bottom w:val="single" w:sz="4" w:space="1" w:color="auto"/>
          <w:right w:val="single" w:sz="4" w:space="4" w:color="auto"/>
          <w:between w:val="single" w:sz="4" w:space="1" w:color="auto"/>
          <w:bar w:val="single" w:sz="4" w:color="auto"/>
        </w:pBdr>
      </w:pPr>
      <w:r w:rsidRPr="003E2FC6">
        <w:t>Test Version:</w:t>
      </w:r>
    </w:p>
    <w:p w14:paraId="02C14014" w14:textId="5AA48C7C" w:rsidR="003E2FC6" w:rsidRDefault="003E2FC6" w:rsidP="0048060D">
      <w:pPr>
        <w:pStyle w:val="TableHeading"/>
        <w:pBdr>
          <w:top w:val="single" w:sz="4" w:space="1" w:color="auto"/>
          <w:left w:val="single" w:sz="4" w:space="4" w:color="auto"/>
          <w:bottom w:val="single" w:sz="4" w:space="1" w:color="auto"/>
          <w:right w:val="single" w:sz="4" w:space="4" w:color="auto"/>
          <w:between w:val="single" w:sz="4" w:space="1" w:color="auto"/>
          <w:bar w:val="single" w:sz="4" w:color="auto"/>
        </w:pBdr>
        <w:rPr>
          <w:color w:val="FFFFFF" w:themeColor="background1"/>
        </w:rPr>
      </w:pPr>
      <w:r w:rsidRPr="003E2FC6">
        <w:rPr>
          <w:rFonts w:ascii="Times New Roman" w:hAnsi="Times New Roman" w:cs="Times New Roman"/>
          <w:b w:val="0"/>
          <w:sz w:val="24"/>
          <w:szCs w:val="20"/>
        </w:rPr>
        <w:t>Date Checklist Completed:</w:t>
      </w:r>
      <w:r>
        <w:rPr>
          <w:color w:val="FFFFFF" w:themeColor="background1"/>
        </w:rPr>
        <w:t xml:space="preserve"> </w:t>
      </w:r>
    </w:p>
    <w:p w14:paraId="4865EAB8" w14:textId="77777777" w:rsidR="002F424B" w:rsidRDefault="002F424B" w:rsidP="002A60B1">
      <w:pPr>
        <w:pStyle w:val="TableHeading"/>
        <w:rPr>
          <w:color w:val="FFFFFF" w:themeColor="background1"/>
        </w:rPr>
        <w:sectPr w:rsidR="002F424B" w:rsidSect="003E2FC6">
          <w:type w:val="continuous"/>
          <w:pgSz w:w="12240" w:h="15840" w:code="1"/>
          <w:pgMar w:top="1440" w:right="1440" w:bottom="1440" w:left="1440" w:header="720" w:footer="720" w:gutter="0"/>
          <w:pgNumType w:start="1"/>
          <w:cols w:num="2" w:space="720"/>
          <w:docGrid w:linePitch="360"/>
        </w:sectPr>
      </w:pPr>
    </w:p>
    <w:p w14:paraId="24AAC0FD" w14:textId="77777777" w:rsidR="002F424B" w:rsidRDefault="002F424B" w:rsidP="00DA3FAD">
      <w:pPr>
        <w:pStyle w:val="TableHeading"/>
        <w:sectPr w:rsidR="002F424B" w:rsidSect="003E2FC6">
          <w:type w:val="continuous"/>
          <w:pgSz w:w="12240" w:h="15840" w:code="1"/>
          <w:pgMar w:top="1440" w:right="1440" w:bottom="1440" w:left="1440" w:header="720" w:footer="720" w:gutter="0"/>
          <w:pgNumType w:start="1"/>
          <w:cols w:space="720"/>
          <w:docGrid w:linePitch="360"/>
        </w:sectPr>
      </w:pPr>
      <w:bookmarkStart w:id="3" w:name="ColumnTitle_03"/>
      <w:bookmarkEnd w:id="3"/>
    </w:p>
    <w:tbl>
      <w:tblPr>
        <w:tblStyle w:val="TableGrid"/>
        <w:tblW w:w="5000" w:type="pct"/>
        <w:tblLook w:val="0620" w:firstRow="1" w:lastRow="0" w:firstColumn="0" w:lastColumn="0" w:noHBand="1" w:noVBand="1"/>
        <w:tblDescription w:val="Primary Developer's Checklist, sorted by item number, with fields to indicate whether OK or not applicable, in which case not applicable (NA) requires a comment."/>
      </w:tblPr>
      <w:tblGrid>
        <w:gridCol w:w="583"/>
        <w:gridCol w:w="5793"/>
        <w:gridCol w:w="1487"/>
        <w:gridCol w:w="1487"/>
      </w:tblGrid>
      <w:tr w:rsidR="00DF2ED5" w:rsidRPr="00DA3FAD" w14:paraId="224DE4E9" w14:textId="18B4A827" w:rsidTr="00AB2340">
        <w:tc>
          <w:tcPr>
            <w:tcW w:w="312" w:type="pct"/>
          </w:tcPr>
          <w:p w14:paraId="2AEFD9A7" w14:textId="08EA6ED6" w:rsidR="00DF2ED5" w:rsidRPr="00DA3FAD" w:rsidRDefault="00DF2ED5" w:rsidP="00DA3FAD">
            <w:pPr>
              <w:pStyle w:val="TableHeading"/>
              <w:rPr>
                <w:sz w:val="24"/>
                <w:szCs w:val="20"/>
              </w:rPr>
            </w:pPr>
            <w:r>
              <w:t>#</w:t>
            </w:r>
          </w:p>
        </w:tc>
        <w:tc>
          <w:tcPr>
            <w:tcW w:w="3098" w:type="pct"/>
          </w:tcPr>
          <w:p w14:paraId="4E7DB4AF" w14:textId="77777777" w:rsidR="00DF2ED5" w:rsidRPr="00DA3FAD" w:rsidRDefault="00DF2ED5" w:rsidP="00DA3FAD">
            <w:pPr>
              <w:pStyle w:val="TableHeading"/>
              <w:rPr>
                <w:sz w:val="24"/>
                <w:szCs w:val="20"/>
              </w:rPr>
            </w:pPr>
            <w:r w:rsidRPr="00DA3FAD">
              <w:rPr>
                <w:sz w:val="24"/>
                <w:szCs w:val="20"/>
              </w:rPr>
              <w:t>Primary Developer’s Checklist</w:t>
            </w:r>
          </w:p>
        </w:tc>
        <w:tc>
          <w:tcPr>
            <w:tcW w:w="795" w:type="pct"/>
          </w:tcPr>
          <w:p w14:paraId="47896F52" w14:textId="77777777" w:rsidR="00DF2ED5" w:rsidRPr="00DA3FAD" w:rsidRDefault="00DF2ED5" w:rsidP="00DA3FAD">
            <w:pPr>
              <w:pStyle w:val="TableHeading"/>
              <w:rPr>
                <w:sz w:val="24"/>
                <w:szCs w:val="20"/>
              </w:rPr>
            </w:pPr>
            <w:r w:rsidRPr="00DA3FAD">
              <w:rPr>
                <w:sz w:val="24"/>
                <w:szCs w:val="20"/>
              </w:rPr>
              <w:t xml:space="preserve">OK/NA </w:t>
            </w:r>
          </w:p>
        </w:tc>
        <w:tc>
          <w:tcPr>
            <w:tcW w:w="795" w:type="pct"/>
          </w:tcPr>
          <w:p w14:paraId="65A3A28D" w14:textId="17072E1E" w:rsidR="00DF2ED5" w:rsidRPr="00DA3FAD" w:rsidRDefault="00DF2ED5" w:rsidP="00DA3FAD">
            <w:pPr>
              <w:pStyle w:val="TableHeading"/>
              <w:rPr>
                <w:sz w:val="24"/>
                <w:szCs w:val="20"/>
              </w:rPr>
            </w:pPr>
            <w:r>
              <w:rPr>
                <w:sz w:val="24"/>
                <w:szCs w:val="20"/>
              </w:rPr>
              <w:t>Entries of NA Requires Comments</w:t>
            </w:r>
          </w:p>
        </w:tc>
      </w:tr>
      <w:tr w:rsidR="00D36AE9" w:rsidRPr="00636CCE" w14:paraId="2F1492C7" w14:textId="519FF8E0" w:rsidTr="00AB2340">
        <w:tc>
          <w:tcPr>
            <w:tcW w:w="312" w:type="pct"/>
          </w:tcPr>
          <w:p w14:paraId="21538AD9" w14:textId="77777777" w:rsidR="00D36AE9" w:rsidRPr="00636CCE" w:rsidRDefault="00D36AE9" w:rsidP="00DA3FAD">
            <w:pPr>
              <w:pStyle w:val="TableText"/>
            </w:pPr>
            <w:r w:rsidRPr="00636CCE">
              <w:t>1</w:t>
            </w:r>
          </w:p>
        </w:tc>
        <w:tc>
          <w:tcPr>
            <w:tcW w:w="3098" w:type="pct"/>
          </w:tcPr>
          <w:p w14:paraId="1D027642" w14:textId="0477D7CE" w:rsidR="00D36AE9" w:rsidRPr="007B1745" w:rsidRDefault="00D36AE9" w:rsidP="007B1745">
            <w:pPr>
              <w:pStyle w:val="TableText"/>
            </w:pPr>
            <w:r w:rsidRPr="00636CCE">
              <w:t xml:space="preserve">Request and receive approval from the </w:t>
            </w:r>
            <w:r>
              <w:t>Database Administrator (</w:t>
            </w:r>
            <w:r w:rsidRPr="00636CCE">
              <w:t>DBA</w:t>
            </w:r>
            <w:r>
              <w:t>)</w:t>
            </w:r>
            <w:r w:rsidRPr="00636CCE">
              <w:t xml:space="preserve"> for all Data Dictionary (DD) changes before the patch is sent to </w:t>
            </w:r>
            <w:r>
              <w:t>Software Quality Assurance (</w:t>
            </w:r>
            <w:r w:rsidRPr="00636CCE">
              <w:t>SQA</w:t>
            </w:r>
            <w:r>
              <w:t>)</w:t>
            </w:r>
            <w:r w:rsidRPr="00636CCE">
              <w:t xml:space="preserve">. Submissions for Data Dictionary approvals are sent to </w:t>
            </w:r>
            <w:r>
              <w:t xml:space="preserve">the </w:t>
            </w:r>
            <w:r w:rsidRPr="00636CCE">
              <w:rPr>
                <w:b/>
              </w:rPr>
              <w:t xml:space="preserve">VA OIT </w:t>
            </w:r>
            <w:r>
              <w:rPr>
                <w:b/>
              </w:rPr>
              <w:t>VISTA</w:t>
            </w:r>
            <w:r w:rsidRPr="00636CCE">
              <w:rPr>
                <w:b/>
              </w:rPr>
              <w:t xml:space="preserve"> DBA</w:t>
            </w:r>
            <w:r>
              <w:rPr>
                <w:b/>
              </w:rPr>
              <w:t xml:space="preserve"> GROUP (</w:t>
            </w:r>
            <w:r w:rsidRPr="00785D3E">
              <w:rPr>
                <w:rStyle w:val="Hyperlink"/>
              </w:rPr>
              <w:t>OEDVistADBA@va.gov</w:t>
            </w:r>
            <w:r>
              <w:rPr>
                <w:rStyle w:val="Hyperlink"/>
              </w:rPr>
              <w:t>)</w:t>
            </w:r>
            <w:r>
              <w:rPr>
                <w:b/>
              </w:rPr>
              <w:t xml:space="preserve"> </w:t>
            </w:r>
            <w:r w:rsidRPr="00CC59EF">
              <w:t>mail group in Outlook.</w:t>
            </w:r>
          </w:p>
        </w:tc>
        <w:tc>
          <w:tcPr>
            <w:tcW w:w="795" w:type="pct"/>
          </w:tcPr>
          <w:p w14:paraId="027F8A23" w14:textId="779EFFD8" w:rsidR="00D36AE9" w:rsidRPr="00D36AE9" w:rsidRDefault="00D36AE9" w:rsidP="00D36AE9">
            <w:pPr>
              <w:pStyle w:val="capture"/>
              <w:ind w:left="0"/>
              <w:rPr>
                <w:lang w:eastAsia="en-US"/>
              </w:rPr>
            </w:pPr>
          </w:p>
        </w:tc>
        <w:tc>
          <w:tcPr>
            <w:tcW w:w="795" w:type="pct"/>
          </w:tcPr>
          <w:p w14:paraId="011B9AAC" w14:textId="77777777" w:rsidR="00D36AE9" w:rsidRPr="00636CCE" w:rsidRDefault="00D36AE9" w:rsidP="00DA3FAD">
            <w:pPr>
              <w:pStyle w:val="TableText"/>
            </w:pPr>
          </w:p>
        </w:tc>
      </w:tr>
      <w:tr w:rsidR="00D36AE9" w:rsidRPr="00636CCE" w14:paraId="6680A116" w14:textId="1B095E2D" w:rsidTr="00AB2340">
        <w:tc>
          <w:tcPr>
            <w:tcW w:w="312" w:type="pct"/>
          </w:tcPr>
          <w:p w14:paraId="4E1B8749" w14:textId="2CB38553" w:rsidR="00D36AE9" w:rsidRPr="00636CCE" w:rsidRDefault="00D36AE9" w:rsidP="00DA3FAD">
            <w:pPr>
              <w:pStyle w:val="TableText"/>
            </w:pPr>
            <w:r>
              <w:t>2</w:t>
            </w:r>
          </w:p>
        </w:tc>
        <w:tc>
          <w:tcPr>
            <w:tcW w:w="3098" w:type="pct"/>
          </w:tcPr>
          <w:p w14:paraId="4DD90629" w14:textId="77777777" w:rsidR="00D36AE9" w:rsidRDefault="00D36AE9" w:rsidP="00B3236E">
            <w:pPr>
              <w:pStyle w:val="TableText"/>
            </w:pPr>
            <w:r>
              <w:t xml:space="preserve">Request and receive approval for all new or updated Integration Control Registrations (ICRs) before the patch is sent to SQA.  </w:t>
            </w:r>
          </w:p>
          <w:p w14:paraId="19CE2BD6" w14:textId="2F0C89EB" w:rsidR="00D36AE9" w:rsidRDefault="00D36AE9" w:rsidP="00B3236E">
            <w:pPr>
              <w:pStyle w:val="TableText"/>
              <w:numPr>
                <w:ilvl w:val="0"/>
                <w:numId w:val="39"/>
              </w:numPr>
            </w:pPr>
            <w:r>
              <w:t xml:space="preserve">Utilize the ICR Look Up Tool at </w:t>
            </w:r>
            <w:hyperlink r:id="rId14" w:history="1">
              <w:r w:rsidRPr="00FE1BAD">
                <w:rPr>
                  <w:rStyle w:val="Hyperlink"/>
                </w:rPr>
                <w:t>ICR Lookup (va.gov)</w:t>
              </w:r>
            </w:hyperlink>
            <w:r>
              <w:t xml:space="preserve"> to find ICRs that match each routine’s external reference. Use the ICR list returned and look for the best match from ‘Supported’ ICRs first, ‘Controlled Subscription’ ICRs second, and ‘Private’ ICRs third. </w:t>
            </w:r>
          </w:p>
          <w:p w14:paraId="15747B86" w14:textId="50DF23AD" w:rsidR="00D36AE9" w:rsidRDefault="00D36AE9" w:rsidP="00B3236E">
            <w:pPr>
              <w:pStyle w:val="TableText"/>
              <w:numPr>
                <w:ilvl w:val="0"/>
                <w:numId w:val="39"/>
              </w:numPr>
            </w:pPr>
            <w:r>
              <w:t xml:space="preserve">Request new ICR or updates to an existing ICR by submitting an ICR Request Intake Form at this link </w:t>
            </w:r>
            <w:hyperlink r:id="rId15" w:history="1">
              <w:r w:rsidRPr="00FE1BAD">
                <w:rPr>
                  <w:rStyle w:val="Hyperlink"/>
                </w:rPr>
                <w:t>VistA Office - Integration Control Registration (ICR) Request Intake Form (sharepoint.com)</w:t>
              </w:r>
            </w:hyperlink>
          </w:p>
          <w:p w14:paraId="30B381CC" w14:textId="73D30BA3" w:rsidR="00D36AE9" w:rsidRDefault="00D36AE9" w:rsidP="00B3236E">
            <w:pPr>
              <w:pStyle w:val="TableText"/>
              <w:numPr>
                <w:ilvl w:val="0"/>
                <w:numId w:val="39"/>
              </w:numPr>
            </w:pPr>
            <w:r>
              <w:t>Check for activation, ICR updates added and/or subscriber added in the FORUM ICR, for each ICR request, before the patch is sent to SQA.</w:t>
            </w:r>
          </w:p>
          <w:p w14:paraId="1121C793" w14:textId="663AC602" w:rsidR="00D36AE9" w:rsidRPr="007B1745" w:rsidRDefault="00D36AE9" w:rsidP="007B1745">
            <w:pPr>
              <w:pStyle w:val="TableText"/>
              <w:numPr>
                <w:ilvl w:val="0"/>
                <w:numId w:val="39"/>
              </w:numPr>
            </w:pPr>
            <w:r>
              <w:lastRenderedPageBreak/>
              <w:t xml:space="preserve">Refer to the </w:t>
            </w:r>
            <w:r w:rsidRPr="00B3236E">
              <w:rPr>
                <w:b/>
                <w:bCs/>
              </w:rPr>
              <w:t>OIT DSO SPM Health VistA Office Integration Control Registrations</w:t>
            </w:r>
            <w:r>
              <w:t xml:space="preserve"> (</w:t>
            </w:r>
            <w:hyperlink r:id="rId16" w:history="1">
              <w:r w:rsidRPr="00FE1BAD">
                <w:rPr>
                  <w:rStyle w:val="Hyperlink"/>
                </w:rPr>
                <w:t>icrs@va.gov</w:t>
              </w:r>
            </w:hyperlink>
            <w:r>
              <w:t>) mail group for any questions related to ICRs.</w:t>
            </w:r>
          </w:p>
        </w:tc>
        <w:tc>
          <w:tcPr>
            <w:tcW w:w="795" w:type="pct"/>
          </w:tcPr>
          <w:p w14:paraId="57F213E3" w14:textId="77777777" w:rsidR="00D36AE9" w:rsidRPr="00636CCE" w:rsidRDefault="00D36AE9" w:rsidP="00DA3FAD">
            <w:pPr>
              <w:pStyle w:val="TableText"/>
            </w:pPr>
          </w:p>
        </w:tc>
        <w:tc>
          <w:tcPr>
            <w:tcW w:w="795" w:type="pct"/>
          </w:tcPr>
          <w:p w14:paraId="516EA5D6" w14:textId="77777777" w:rsidR="00D36AE9" w:rsidRPr="00636CCE" w:rsidRDefault="00D36AE9" w:rsidP="00DA3FAD">
            <w:pPr>
              <w:pStyle w:val="TableText"/>
            </w:pPr>
          </w:p>
        </w:tc>
      </w:tr>
      <w:tr w:rsidR="00D36AE9" w:rsidRPr="00636CCE" w14:paraId="5BEE03A1" w14:textId="1CDCDEA5" w:rsidTr="00AB2340">
        <w:tc>
          <w:tcPr>
            <w:tcW w:w="312" w:type="pct"/>
          </w:tcPr>
          <w:p w14:paraId="3E4066AF" w14:textId="4489C8FA" w:rsidR="00D36AE9" w:rsidRPr="00636CCE" w:rsidRDefault="00D36AE9" w:rsidP="00DA3FAD">
            <w:pPr>
              <w:pStyle w:val="TableText"/>
            </w:pPr>
            <w:r>
              <w:t>3</w:t>
            </w:r>
          </w:p>
        </w:tc>
        <w:tc>
          <w:tcPr>
            <w:tcW w:w="3098" w:type="pct"/>
          </w:tcPr>
          <w:p w14:paraId="47B01008" w14:textId="5F09CA91" w:rsidR="00D36AE9" w:rsidRPr="007B1745" w:rsidRDefault="00D36AE9" w:rsidP="007B1745">
            <w:pPr>
              <w:pStyle w:val="TableText"/>
            </w:pPr>
            <w:r w:rsidRPr="00636CCE">
              <w:t>Run ^XINDEX before creating the build and check for errors that might be reported.</w:t>
            </w:r>
          </w:p>
        </w:tc>
        <w:tc>
          <w:tcPr>
            <w:tcW w:w="795" w:type="pct"/>
          </w:tcPr>
          <w:p w14:paraId="4863CF2F" w14:textId="3179053A" w:rsidR="00D36AE9" w:rsidRPr="00636CCE" w:rsidRDefault="00D36AE9" w:rsidP="00DA3FAD">
            <w:pPr>
              <w:pStyle w:val="TableText"/>
            </w:pPr>
          </w:p>
        </w:tc>
        <w:tc>
          <w:tcPr>
            <w:tcW w:w="795" w:type="pct"/>
          </w:tcPr>
          <w:p w14:paraId="60561E48" w14:textId="77777777" w:rsidR="00D36AE9" w:rsidRPr="00636CCE" w:rsidRDefault="00D36AE9" w:rsidP="00DA3FAD">
            <w:pPr>
              <w:pStyle w:val="TableText"/>
            </w:pPr>
          </w:p>
        </w:tc>
      </w:tr>
      <w:tr w:rsidR="00D36AE9" w:rsidRPr="00636CCE" w14:paraId="4FB54160" w14:textId="62D48ECA" w:rsidTr="00AB2340">
        <w:tc>
          <w:tcPr>
            <w:tcW w:w="312" w:type="pct"/>
          </w:tcPr>
          <w:p w14:paraId="036B7EDC" w14:textId="5606F243" w:rsidR="00D36AE9" w:rsidRPr="00636CCE" w:rsidRDefault="00D36AE9" w:rsidP="00DA3FAD">
            <w:pPr>
              <w:pStyle w:val="TableText"/>
            </w:pPr>
            <w:r>
              <w:t>4</w:t>
            </w:r>
          </w:p>
        </w:tc>
        <w:tc>
          <w:tcPr>
            <w:tcW w:w="3098" w:type="pct"/>
          </w:tcPr>
          <w:p w14:paraId="4DEE70F3" w14:textId="212619E2" w:rsidR="00D36AE9" w:rsidRPr="007B1745" w:rsidRDefault="00D36AE9" w:rsidP="007B1745">
            <w:pPr>
              <w:pStyle w:val="TableText"/>
            </w:pPr>
            <w:r>
              <w:t>Run</w:t>
            </w:r>
            <w:r w:rsidRPr="00636CCE">
              <w:t xml:space="preserve"> ^%RCHECK</w:t>
            </w:r>
            <w:r>
              <w:t xml:space="preserve"> </w:t>
            </w:r>
            <w:r w:rsidRPr="00636CCE">
              <w:t>before creating the build and check for errors that might be reported</w:t>
            </w:r>
            <w:r>
              <w:t>.  ^%RCHECK will provide additional checks not identified in ^XINDEX.</w:t>
            </w:r>
          </w:p>
        </w:tc>
        <w:tc>
          <w:tcPr>
            <w:tcW w:w="795" w:type="pct"/>
          </w:tcPr>
          <w:p w14:paraId="4F6FE880" w14:textId="77777777" w:rsidR="00D36AE9" w:rsidRPr="00636CCE" w:rsidRDefault="00D36AE9" w:rsidP="00DA3FAD">
            <w:pPr>
              <w:pStyle w:val="TableText"/>
            </w:pPr>
          </w:p>
        </w:tc>
        <w:tc>
          <w:tcPr>
            <w:tcW w:w="795" w:type="pct"/>
          </w:tcPr>
          <w:p w14:paraId="0F76C509" w14:textId="77777777" w:rsidR="00D36AE9" w:rsidRPr="00636CCE" w:rsidRDefault="00D36AE9" w:rsidP="00DA3FAD">
            <w:pPr>
              <w:pStyle w:val="TableText"/>
            </w:pPr>
          </w:p>
        </w:tc>
      </w:tr>
      <w:tr w:rsidR="00D36AE9" w:rsidRPr="00636CCE" w14:paraId="1A6BE303" w14:textId="5A71A217" w:rsidTr="00AB2340">
        <w:tc>
          <w:tcPr>
            <w:tcW w:w="312" w:type="pct"/>
          </w:tcPr>
          <w:p w14:paraId="5AAB3CC7" w14:textId="1369345D" w:rsidR="00D36AE9" w:rsidRDefault="00D36AE9" w:rsidP="00DA3FAD">
            <w:pPr>
              <w:pStyle w:val="TableText"/>
            </w:pPr>
            <w:r>
              <w:t>5</w:t>
            </w:r>
          </w:p>
        </w:tc>
        <w:tc>
          <w:tcPr>
            <w:tcW w:w="3098" w:type="pct"/>
          </w:tcPr>
          <w:p w14:paraId="76479547" w14:textId="369F8871" w:rsidR="00D36AE9" w:rsidRPr="00636CCE" w:rsidRDefault="00D36AE9" w:rsidP="00DA3FAD">
            <w:pPr>
              <w:pStyle w:val="TableText"/>
            </w:pPr>
            <w:r w:rsidRPr="00636CCE">
              <w:t>Review all necessary components of the patch for compliance with the Department of Veterans Affairs M Programming Standards and Conventions (SAC).</w:t>
            </w:r>
            <w:r>
              <w:t xml:space="preserve"> The current version of the SAC is available on the VA’s Technical Reference Model (TRM) web site at this link: </w:t>
            </w:r>
            <w:hyperlink r:id="rId17" w:history="1">
              <w:r>
                <w:rPr>
                  <w:rStyle w:val="Hyperlink"/>
                </w:rPr>
                <w:t>VA Cache Programming Standard</w:t>
              </w:r>
            </w:hyperlink>
            <w:r>
              <w:t xml:space="preserve"> and in the Documents tab of the SAC Work Group SharePoint site: </w:t>
            </w:r>
            <w:hyperlink r:id="rId18" w:history="1">
              <w:r>
                <w:rPr>
                  <w:rStyle w:val="Hyperlink"/>
                </w:rPr>
                <w:t>Standards and Conventions - Home (sharepoint.com)</w:t>
              </w:r>
            </w:hyperlink>
          </w:p>
        </w:tc>
        <w:tc>
          <w:tcPr>
            <w:tcW w:w="795" w:type="pct"/>
          </w:tcPr>
          <w:p w14:paraId="3336AFB7" w14:textId="77777777" w:rsidR="00D36AE9" w:rsidRPr="00636CCE" w:rsidRDefault="00D36AE9" w:rsidP="00DA3FAD">
            <w:pPr>
              <w:pStyle w:val="TableText"/>
            </w:pPr>
          </w:p>
        </w:tc>
        <w:tc>
          <w:tcPr>
            <w:tcW w:w="795" w:type="pct"/>
          </w:tcPr>
          <w:p w14:paraId="5464328F" w14:textId="77777777" w:rsidR="00D36AE9" w:rsidRPr="00636CCE" w:rsidRDefault="00D36AE9" w:rsidP="00DA3FAD">
            <w:pPr>
              <w:pStyle w:val="TableText"/>
            </w:pPr>
          </w:p>
        </w:tc>
      </w:tr>
      <w:tr w:rsidR="00D36AE9" w:rsidRPr="00636CCE" w14:paraId="54F6C2C9" w14:textId="22F46880" w:rsidTr="00AB2340">
        <w:tc>
          <w:tcPr>
            <w:tcW w:w="312" w:type="pct"/>
          </w:tcPr>
          <w:p w14:paraId="7799E0C1" w14:textId="1E416661" w:rsidR="00D36AE9" w:rsidRPr="00636CCE" w:rsidRDefault="00D36AE9" w:rsidP="00DA3FAD">
            <w:pPr>
              <w:pStyle w:val="TableText"/>
            </w:pPr>
            <w:r>
              <w:t>6</w:t>
            </w:r>
          </w:p>
        </w:tc>
        <w:tc>
          <w:tcPr>
            <w:tcW w:w="3098" w:type="pct"/>
          </w:tcPr>
          <w:p w14:paraId="655046FE" w14:textId="47CFB59A" w:rsidR="00D36AE9" w:rsidRPr="00636CCE" w:rsidRDefault="00D36AE9" w:rsidP="00DA3FAD">
            <w:pPr>
              <w:pStyle w:val="TableText"/>
            </w:pPr>
            <w:r>
              <w:t xml:space="preserve">Validate that any approved exemptions from </w:t>
            </w:r>
            <w:r w:rsidRPr="00636CCE">
              <w:t xml:space="preserve">Department of Veterans Affairs M Programming Standards and Conventions </w:t>
            </w:r>
            <w:r>
              <w:t xml:space="preserve">(SAC) are documented in routines. Existing exemptions can be found on FORUM, using the SACC </w:t>
            </w:r>
            <w:proofErr w:type="spellStart"/>
            <w:r>
              <w:t>Exemptions.xslx</w:t>
            </w:r>
            <w:proofErr w:type="spellEnd"/>
            <w:r>
              <w:t xml:space="preserve"> located in the Documents tab of the SAC Work Group SharePoint site: </w:t>
            </w:r>
            <w:hyperlink r:id="rId19" w:history="1">
              <w:r>
                <w:rPr>
                  <w:rStyle w:val="Hyperlink"/>
                </w:rPr>
                <w:t>Standards and Conventions - Home (sharepoint.com)</w:t>
              </w:r>
            </w:hyperlink>
          </w:p>
        </w:tc>
        <w:tc>
          <w:tcPr>
            <w:tcW w:w="795" w:type="pct"/>
          </w:tcPr>
          <w:p w14:paraId="53C07A47" w14:textId="77777777" w:rsidR="00D36AE9" w:rsidRPr="00636CCE" w:rsidRDefault="00D36AE9" w:rsidP="00DA3FAD">
            <w:pPr>
              <w:pStyle w:val="TableText"/>
            </w:pPr>
          </w:p>
        </w:tc>
        <w:tc>
          <w:tcPr>
            <w:tcW w:w="795" w:type="pct"/>
          </w:tcPr>
          <w:p w14:paraId="1559B418" w14:textId="77777777" w:rsidR="00D36AE9" w:rsidRPr="00636CCE" w:rsidRDefault="00D36AE9" w:rsidP="00DA3FAD">
            <w:pPr>
              <w:pStyle w:val="TableText"/>
            </w:pPr>
          </w:p>
        </w:tc>
      </w:tr>
      <w:tr w:rsidR="00D36AE9" w:rsidRPr="00636CCE" w14:paraId="7B5A1F75" w14:textId="2D5EBC09" w:rsidTr="00AB2340">
        <w:tc>
          <w:tcPr>
            <w:tcW w:w="312" w:type="pct"/>
          </w:tcPr>
          <w:p w14:paraId="199B78A1" w14:textId="51944F33" w:rsidR="00D36AE9" w:rsidRPr="00636CCE" w:rsidRDefault="00D36AE9" w:rsidP="00DA3FAD">
            <w:pPr>
              <w:pStyle w:val="TableText"/>
            </w:pPr>
            <w:r>
              <w:t>7</w:t>
            </w:r>
          </w:p>
        </w:tc>
        <w:tc>
          <w:tcPr>
            <w:tcW w:w="3098" w:type="pct"/>
          </w:tcPr>
          <w:p w14:paraId="7C6F89A2" w14:textId="31E88294" w:rsidR="00D36AE9" w:rsidRPr="00636CCE" w:rsidRDefault="00D36AE9" w:rsidP="00DA3FAD">
            <w:pPr>
              <w:pStyle w:val="TableText"/>
            </w:pPr>
            <w:r w:rsidRPr="00636CCE">
              <w:t>Request and receive approval from the HL7 Messaging Coordinator, if applicable, before the patch is sent to SQA.  Submissions for HL7 Messaging approval are sent to</w:t>
            </w:r>
            <w:r>
              <w:t xml:space="preserve"> the</w:t>
            </w:r>
            <w:r w:rsidRPr="00636CCE">
              <w:t xml:space="preserve"> </w:t>
            </w:r>
            <w:r w:rsidRPr="00785D3E">
              <w:rPr>
                <w:b/>
                <w:bCs/>
              </w:rPr>
              <w:t>OIT DSO SPM Health Services - Messaging Administration</w:t>
            </w:r>
            <w:r>
              <w:rPr>
                <w:b/>
                <w:bCs/>
              </w:rPr>
              <w:t xml:space="preserve"> (</w:t>
            </w:r>
            <w:r w:rsidRPr="00785D3E">
              <w:rPr>
                <w:rStyle w:val="Hyperlink"/>
              </w:rPr>
              <w:t>VAOITPDADCTA_MSGADM@va.gov</w:t>
            </w:r>
            <w:r>
              <w:rPr>
                <w:b/>
                <w:bCs/>
              </w:rPr>
              <w:t>)</w:t>
            </w:r>
            <w:r w:rsidRPr="00785D3E">
              <w:rPr>
                <w:b/>
                <w:bCs/>
              </w:rPr>
              <w:t xml:space="preserve"> </w:t>
            </w:r>
            <w:r w:rsidRPr="00CC59EF">
              <w:t>mail group in Outlook</w:t>
            </w:r>
            <w:r w:rsidRPr="00636CCE">
              <w:rPr>
                <w:b/>
                <w:bCs/>
              </w:rPr>
              <w:t>.</w:t>
            </w:r>
          </w:p>
        </w:tc>
        <w:tc>
          <w:tcPr>
            <w:tcW w:w="795" w:type="pct"/>
          </w:tcPr>
          <w:p w14:paraId="5E000130" w14:textId="77777777" w:rsidR="00D36AE9" w:rsidRPr="00636CCE" w:rsidRDefault="00D36AE9" w:rsidP="00DA3FAD">
            <w:pPr>
              <w:pStyle w:val="TableText"/>
            </w:pPr>
          </w:p>
        </w:tc>
        <w:tc>
          <w:tcPr>
            <w:tcW w:w="795" w:type="pct"/>
          </w:tcPr>
          <w:p w14:paraId="26606B68" w14:textId="77777777" w:rsidR="00D36AE9" w:rsidRPr="00636CCE" w:rsidRDefault="00D36AE9" w:rsidP="00DA3FAD">
            <w:pPr>
              <w:pStyle w:val="TableText"/>
            </w:pPr>
          </w:p>
        </w:tc>
      </w:tr>
      <w:tr w:rsidR="00D36AE9" w:rsidRPr="00636CCE" w14:paraId="4E3E66AE" w14:textId="5C0528DB" w:rsidTr="00AB2340">
        <w:tc>
          <w:tcPr>
            <w:tcW w:w="312" w:type="pct"/>
          </w:tcPr>
          <w:p w14:paraId="4B75CE41" w14:textId="793F323B" w:rsidR="00D36AE9" w:rsidRPr="00636CCE" w:rsidRDefault="00D36AE9" w:rsidP="00DA3FAD">
            <w:pPr>
              <w:pStyle w:val="TableText"/>
            </w:pPr>
            <w:r>
              <w:t>8</w:t>
            </w:r>
          </w:p>
        </w:tc>
        <w:tc>
          <w:tcPr>
            <w:tcW w:w="3098" w:type="pct"/>
          </w:tcPr>
          <w:p w14:paraId="01766C1C" w14:textId="52393900" w:rsidR="00D36AE9" w:rsidRPr="00636CCE" w:rsidRDefault="00D36AE9" w:rsidP="00DA3FAD">
            <w:pPr>
              <w:pStyle w:val="TableText"/>
            </w:pPr>
            <w:r w:rsidRPr="00636CCE">
              <w:t xml:space="preserve">Validate that Required Builds are properly documented in the </w:t>
            </w:r>
            <w:r>
              <w:t>Kernel Installation &amp; Distribution System (</w:t>
            </w:r>
            <w:r w:rsidRPr="00636CCE">
              <w:t>KIDS</w:t>
            </w:r>
            <w:r>
              <w:t>)</w:t>
            </w:r>
            <w:r w:rsidRPr="00636CCE">
              <w:t xml:space="preserve"> Build and listed as Associated Patches in the </w:t>
            </w:r>
            <w:r>
              <w:t>NPM</w:t>
            </w:r>
            <w:r w:rsidRPr="00636CCE">
              <w:t xml:space="preserve"> entry.  For examples, reference the National Patch Module </w:t>
            </w:r>
            <w:r>
              <w:t>Guide</w:t>
            </w:r>
            <w:r w:rsidRPr="00636CCE">
              <w:t xml:space="preserve"> provided in</w:t>
            </w:r>
            <w:r>
              <w:t xml:space="preserve"> Process Asset Library (PAL) at this link: </w:t>
            </w:r>
            <w:hyperlink r:id="rId20" w:history="1">
              <w:r>
                <w:rPr>
                  <w:rStyle w:val="Hyperlink"/>
                </w:rPr>
                <w:t>Home - Process Asset Library (sharepoint.com)</w:t>
              </w:r>
            </w:hyperlink>
          </w:p>
        </w:tc>
        <w:tc>
          <w:tcPr>
            <w:tcW w:w="795" w:type="pct"/>
          </w:tcPr>
          <w:p w14:paraId="371E0F24" w14:textId="77777777" w:rsidR="00D36AE9" w:rsidRPr="00636CCE" w:rsidRDefault="00D36AE9" w:rsidP="00DA3FAD">
            <w:pPr>
              <w:pStyle w:val="TableText"/>
            </w:pPr>
          </w:p>
        </w:tc>
        <w:tc>
          <w:tcPr>
            <w:tcW w:w="795" w:type="pct"/>
          </w:tcPr>
          <w:p w14:paraId="4CFD3C9D" w14:textId="77777777" w:rsidR="00D36AE9" w:rsidRPr="00636CCE" w:rsidRDefault="00D36AE9" w:rsidP="00DA3FAD">
            <w:pPr>
              <w:pStyle w:val="TableText"/>
            </w:pPr>
          </w:p>
        </w:tc>
      </w:tr>
      <w:tr w:rsidR="00D36AE9" w:rsidRPr="00636CCE" w14:paraId="7537AC6D" w14:textId="2A0B31D2" w:rsidTr="00AB2340">
        <w:tc>
          <w:tcPr>
            <w:tcW w:w="312" w:type="pct"/>
          </w:tcPr>
          <w:p w14:paraId="4AF5FDF9" w14:textId="579AE691" w:rsidR="00D36AE9" w:rsidRPr="00636CCE" w:rsidRDefault="00D36AE9" w:rsidP="003E5E8D">
            <w:pPr>
              <w:pStyle w:val="TableText"/>
            </w:pPr>
            <w:r>
              <w:t>9</w:t>
            </w:r>
          </w:p>
        </w:tc>
        <w:tc>
          <w:tcPr>
            <w:tcW w:w="3098" w:type="pct"/>
          </w:tcPr>
          <w:p w14:paraId="5A1D0E59" w14:textId="59BF3135" w:rsidR="00D36AE9" w:rsidRPr="00636CCE" w:rsidRDefault="00D36AE9" w:rsidP="003E5E8D">
            <w:pPr>
              <w:pStyle w:val="TableText"/>
              <w:rPr>
                <w:szCs w:val="22"/>
              </w:rPr>
            </w:pPr>
            <w:r w:rsidRPr="00636CCE">
              <w:rPr>
                <w:szCs w:val="22"/>
              </w:rPr>
              <w:t>Some applications like Kernel</w:t>
            </w:r>
            <w:r>
              <w:rPr>
                <w:szCs w:val="22"/>
              </w:rPr>
              <w:t xml:space="preserve"> suite of applications</w:t>
            </w:r>
            <w:r w:rsidRPr="00636CCE">
              <w:rPr>
                <w:szCs w:val="22"/>
              </w:rPr>
              <w:t xml:space="preserve">, FileMan, </w:t>
            </w:r>
            <w:r>
              <w:rPr>
                <w:szCs w:val="22"/>
              </w:rPr>
              <w:t>Consolidated Mail Outpatient Pharmacy (</w:t>
            </w:r>
            <w:r w:rsidRPr="00636CCE">
              <w:rPr>
                <w:szCs w:val="22"/>
              </w:rPr>
              <w:t>CMOP</w:t>
            </w:r>
            <w:r>
              <w:rPr>
                <w:szCs w:val="22"/>
              </w:rPr>
              <w:t>)</w:t>
            </w:r>
            <w:r w:rsidRPr="00636CCE">
              <w:rPr>
                <w:szCs w:val="22"/>
              </w:rPr>
              <w:t xml:space="preserve">, and others are installed in non-typical </w:t>
            </w:r>
            <w:r>
              <w:rPr>
                <w:szCs w:val="22"/>
              </w:rPr>
              <w:t>VistA</w:t>
            </w:r>
            <w:r w:rsidRPr="00636CCE">
              <w:rPr>
                <w:szCs w:val="22"/>
              </w:rPr>
              <w:t xml:space="preserve"> Instances that do not run all </w:t>
            </w:r>
            <w:r>
              <w:rPr>
                <w:szCs w:val="22"/>
              </w:rPr>
              <w:t>VistA</w:t>
            </w:r>
            <w:r w:rsidRPr="00636CCE">
              <w:rPr>
                <w:szCs w:val="22"/>
              </w:rPr>
              <w:t xml:space="preserve"> applications. As a result, their patches cannot be bundled with other application builds.</w:t>
            </w:r>
          </w:p>
          <w:p w14:paraId="27BC64D2" w14:textId="77777777" w:rsidR="00D36AE9" w:rsidRPr="00636CCE" w:rsidRDefault="00D36AE9" w:rsidP="003E5E8D">
            <w:pPr>
              <w:pStyle w:val="TableText"/>
              <w:rPr>
                <w:szCs w:val="22"/>
              </w:rPr>
            </w:pPr>
          </w:p>
          <w:p w14:paraId="6DC94EB3" w14:textId="214221D5" w:rsidR="00D36AE9" w:rsidRPr="00636CCE" w:rsidRDefault="00D36AE9" w:rsidP="00D36AE9">
            <w:pPr>
              <w:pStyle w:val="TableText"/>
            </w:pPr>
            <w:r w:rsidRPr="00636CCE">
              <w:rPr>
                <w:szCs w:val="22"/>
              </w:rPr>
              <w:t>If this is a multi-product release, confirm that this build does not include patches that cannot be bundled.</w:t>
            </w:r>
          </w:p>
        </w:tc>
        <w:tc>
          <w:tcPr>
            <w:tcW w:w="795" w:type="pct"/>
          </w:tcPr>
          <w:p w14:paraId="5EDD1D64" w14:textId="77777777" w:rsidR="00D36AE9" w:rsidRPr="00636CCE" w:rsidRDefault="00D36AE9" w:rsidP="003E5E8D">
            <w:pPr>
              <w:pStyle w:val="TableText"/>
            </w:pPr>
          </w:p>
        </w:tc>
        <w:tc>
          <w:tcPr>
            <w:tcW w:w="795" w:type="pct"/>
          </w:tcPr>
          <w:p w14:paraId="0A831684" w14:textId="77777777" w:rsidR="00D36AE9" w:rsidRPr="00636CCE" w:rsidRDefault="00D36AE9" w:rsidP="003E5E8D">
            <w:pPr>
              <w:pStyle w:val="TableText"/>
            </w:pPr>
          </w:p>
        </w:tc>
      </w:tr>
      <w:tr w:rsidR="00D36AE9" w:rsidRPr="00636CCE" w14:paraId="15C41C6F" w14:textId="62037588" w:rsidTr="00AB2340">
        <w:tc>
          <w:tcPr>
            <w:tcW w:w="312" w:type="pct"/>
          </w:tcPr>
          <w:p w14:paraId="73DEBEC4" w14:textId="1CCC8DCB" w:rsidR="00D36AE9" w:rsidRPr="00636CCE" w:rsidRDefault="00D36AE9" w:rsidP="00DA3FAD">
            <w:pPr>
              <w:pStyle w:val="TableText"/>
            </w:pPr>
            <w:r>
              <w:lastRenderedPageBreak/>
              <w:t>10</w:t>
            </w:r>
          </w:p>
        </w:tc>
        <w:tc>
          <w:tcPr>
            <w:tcW w:w="3098" w:type="pct"/>
          </w:tcPr>
          <w:p w14:paraId="43495811" w14:textId="479FD6D2" w:rsidR="00D36AE9" w:rsidRPr="00636CCE" w:rsidRDefault="00D36AE9" w:rsidP="00DA3FAD">
            <w:pPr>
              <w:pStyle w:val="TableText"/>
            </w:pPr>
            <w:r w:rsidRPr="00636CCE">
              <w:t xml:space="preserve">Update the National Patch Module </w:t>
            </w:r>
            <w:r>
              <w:t xml:space="preserve">(NPM) </w:t>
            </w:r>
            <w:r w:rsidRPr="00636CCE">
              <w:t>with all necessary information and latest build.</w:t>
            </w:r>
          </w:p>
        </w:tc>
        <w:tc>
          <w:tcPr>
            <w:tcW w:w="795" w:type="pct"/>
          </w:tcPr>
          <w:p w14:paraId="6FC46F8C" w14:textId="77777777" w:rsidR="00D36AE9" w:rsidRPr="00636CCE" w:rsidRDefault="00D36AE9" w:rsidP="00DA3FAD">
            <w:pPr>
              <w:pStyle w:val="TableText"/>
            </w:pPr>
          </w:p>
        </w:tc>
        <w:tc>
          <w:tcPr>
            <w:tcW w:w="795" w:type="pct"/>
          </w:tcPr>
          <w:p w14:paraId="39C0C95C" w14:textId="77777777" w:rsidR="00D36AE9" w:rsidRPr="00636CCE" w:rsidRDefault="00D36AE9" w:rsidP="00DA3FAD">
            <w:pPr>
              <w:pStyle w:val="TableText"/>
            </w:pPr>
          </w:p>
        </w:tc>
      </w:tr>
      <w:tr w:rsidR="00D36AE9" w:rsidRPr="00636CCE" w14:paraId="2937A13A" w14:textId="33F997ED" w:rsidTr="00AB2340">
        <w:tc>
          <w:tcPr>
            <w:tcW w:w="312" w:type="pct"/>
          </w:tcPr>
          <w:p w14:paraId="1F838121" w14:textId="181EEACF" w:rsidR="00D36AE9" w:rsidRPr="00636CCE" w:rsidRDefault="00D36AE9" w:rsidP="00DA3FAD">
            <w:pPr>
              <w:pStyle w:val="TableText"/>
            </w:pPr>
            <w:r>
              <w:t>11</w:t>
            </w:r>
          </w:p>
        </w:tc>
        <w:tc>
          <w:tcPr>
            <w:tcW w:w="3098" w:type="pct"/>
          </w:tcPr>
          <w:p w14:paraId="12FD8850" w14:textId="719E8B1F" w:rsidR="00D36AE9" w:rsidRPr="00636CCE" w:rsidRDefault="00D36AE9" w:rsidP="00DA3FAD">
            <w:pPr>
              <w:pStyle w:val="TableText"/>
            </w:pPr>
            <w:r w:rsidRPr="00636CCE">
              <w:t xml:space="preserve">Install the patch from the National Patch Module </w:t>
            </w:r>
            <w:r>
              <w:t xml:space="preserve">(NPM) </w:t>
            </w:r>
            <w:r w:rsidRPr="00636CCE">
              <w:t>in another account to verify the build installs correctly.  This includes, but is not limited to, the following items:</w:t>
            </w:r>
          </w:p>
          <w:p w14:paraId="236316D1" w14:textId="77777777" w:rsidR="00D36AE9" w:rsidRPr="00636CCE" w:rsidRDefault="00D36AE9" w:rsidP="008A0871">
            <w:pPr>
              <w:pStyle w:val="TableText"/>
              <w:numPr>
                <w:ilvl w:val="0"/>
                <w:numId w:val="37"/>
              </w:numPr>
            </w:pPr>
            <w:r w:rsidRPr="00636CCE">
              <w:t>No errors upon installation.</w:t>
            </w:r>
          </w:p>
          <w:p w14:paraId="2B6F1AC8" w14:textId="77777777" w:rsidR="00D36AE9" w:rsidRPr="00636CCE" w:rsidRDefault="00D36AE9" w:rsidP="008A0871">
            <w:pPr>
              <w:pStyle w:val="TableText"/>
              <w:numPr>
                <w:ilvl w:val="0"/>
                <w:numId w:val="37"/>
              </w:numPr>
            </w:pPr>
            <w:r w:rsidRPr="00636CCE">
              <w:t xml:space="preserve">Environment Checks are successful. </w:t>
            </w:r>
          </w:p>
          <w:p w14:paraId="60632FBD" w14:textId="77777777" w:rsidR="00D36AE9" w:rsidRPr="00636CCE" w:rsidRDefault="00D36AE9" w:rsidP="008A0871">
            <w:pPr>
              <w:pStyle w:val="TableText"/>
              <w:numPr>
                <w:ilvl w:val="0"/>
                <w:numId w:val="37"/>
              </w:numPr>
            </w:pPr>
            <w:r w:rsidRPr="00636CCE">
              <w:t>Pre-Installation Routines are successful.</w:t>
            </w:r>
          </w:p>
          <w:p w14:paraId="582B51A1" w14:textId="2D935425" w:rsidR="00D36AE9" w:rsidRPr="00636CCE" w:rsidRDefault="00D36AE9" w:rsidP="008A0871">
            <w:pPr>
              <w:pStyle w:val="TableText"/>
              <w:numPr>
                <w:ilvl w:val="0"/>
                <w:numId w:val="37"/>
              </w:numPr>
            </w:pPr>
            <w:r w:rsidRPr="00636CCE">
              <w:t xml:space="preserve">Post Installation Checksums match the </w:t>
            </w:r>
            <w:r>
              <w:t>NPM</w:t>
            </w:r>
            <w:r w:rsidRPr="00636CCE">
              <w:t xml:space="preserve"> patch description.</w:t>
            </w:r>
          </w:p>
          <w:p w14:paraId="10E783E1" w14:textId="77777777" w:rsidR="00D36AE9" w:rsidRPr="00636CCE" w:rsidRDefault="00D36AE9" w:rsidP="008A0871">
            <w:pPr>
              <w:pStyle w:val="TableText"/>
              <w:numPr>
                <w:ilvl w:val="0"/>
                <w:numId w:val="37"/>
              </w:numPr>
            </w:pPr>
            <w:r w:rsidRPr="00636CCE">
              <w:t>^DDs are updated correctly.</w:t>
            </w:r>
          </w:p>
          <w:p w14:paraId="1CBB01EB" w14:textId="77777777" w:rsidR="00D36AE9" w:rsidRPr="00636CCE" w:rsidRDefault="00D36AE9" w:rsidP="008A0871">
            <w:pPr>
              <w:pStyle w:val="TableText"/>
              <w:numPr>
                <w:ilvl w:val="0"/>
                <w:numId w:val="37"/>
              </w:numPr>
            </w:pPr>
            <w:r w:rsidRPr="00636CCE">
              <w:t>Menus and Options are updated correctly.</w:t>
            </w:r>
          </w:p>
          <w:p w14:paraId="4D454A2B" w14:textId="77777777" w:rsidR="00D36AE9" w:rsidRPr="00636CCE" w:rsidRDefault="00D36AE9" w:rsidP="008A0871">
            <w:pPr>
              <w:pStyle w:val="TableText"/>
              <w:numPr>
                <w:ilvl w:val="0"/>
                <w:numId w:val="37"/>
              </w:numPr>
            </w:pPr>
            <w:r w:rsidRPr="00636CCE">
              <w:t>Other components are installed correctly.</w:t>
            </w:r>
          </w:p>
          <w:p w14:paraId="763B3D7E" w14:textId="77777777" w:rsidR="00D36AE9" w:rsidRPr="00636CCE" w:rsidRDefault="00D36AE9" w:rsidP="008A0871">
            <w:pPr>
              <w:pStyle w:val="TableText"/>
              <w:numPr>
                <w:ilvl w:val="0"/>
                <w:numId w:val="37"/>
              </w:numPr>
            </w:pPr>
            <w:r w:rsidRPr="00636CCE">
              <w:t>Data Conversions are successful.</w:t>
            </w:r>
          </w:p>
          <w:p w14:paraId="59B2FDDD" w14:textId="77777777" w:rsidR="00D36AE9" w:rsidRPr="00636CCE" w:rsidRDefault="00D36AE9" w:rsidP="008A0871">
            <w:pPr>
              <w:pStyle w:val="TableText"/>
              <w:numPr>
                <w:ilvl w:val="0"/>
                <w:numId w:val="37"/>
              </w:numPr>
            </w:pPr>
            <w:r w:rsidRPr="00636CCE">
              <w:t>Post Installation functions are successful.</w:t>
            </w:r>
          </w:p>
          <w:p w14:paraId="42C1E120" w14:textId="77777777" w:rsidR="00D36AE9" w:rsidRPr="00636CCE" w:rsidRDefault="00D36AE9" w:rsidP="00DA3FAD">
            <w:pPr>
              <w:pStyle w:val="TableText"/>
              <w:numPr>
                <w:ilvl w:val="0"/>
                <w:numId w:val="37"/>
              </w:numPr>
            </w:pPr>
            <w:r w:rsidRPr="00636CCE">
              <w:t>ad hoc testing of affected package options and functions performed after installation is successful.</w:t>
            </w:r>
          </w:p>
        </w:tc>
        <w:tc>
          <w:tcPr>
            <w:tcW w:w="795" w:type="pct"/>
          </w:tcPr>
          <w:p w14:paraId="22E65A4D" w14:textId="77777777" w:rsidR="00D36AE9" w:rsidRPr="00636CCE" w:rsidRDefault="00D36AE9" w:rsidP="00DA3FAD">
            <w:pPr>
              <w:pStyle w:val="TableText"/>
            </w:pPr>
          </w:p>
        </w:tc>
        <w:tc>
          <w:tcPr>
            <w:tcW w:w="795" w:type="pct"/>
          </w:tcPr>
          <w:p w14:paraId="09464035" w14:textId="77777777" w:rsidR="00D36AE9" w:rsidRPr="00636CCE" w:rsidRDefault="00D36AE9" w:rsidP="00DA3FAD">
            <w:pPr>
              <w:pStyle w:val="TableText"/>
            </w:pPr>
          </w:p>
        </w:tc>
      </w:tr>
      <w:tr w:rsidR="00D36AE9" w:rsidRPr="00636CCE" w14:paraId="240C598D" w14:textId="6719F450" w:rsidTr="00AB2340">
        <w:trPr>
          <w:trHeight w:val="239"/>
        </w:trPr>
        <w:tc>
          <w:tcPr>
            <w:tcW w:w="312" w:type="pct"/>
          </w:tcPr>
          <w:p w14:paraId="5630F9D2" w14:textId="392F4103" w:rsidR="00D36AE9" w:rsidRPr="00636CCE" w:rsidRDefault="00D36AE9" w:rsidP="00DA3FAD">
            <w:pPr>
              <w:pStyle w:val="TableText"/>
            </w:pPr>
            <w:r>
              <w:t>12</w:t>
            </w:r>
          </w:p>
        </w:tc>
        <w:tc>
          <w:tcPr>
            <w:tcW w:w="3098" w:type="pct"/>
          </w:tcPr>
          <w:p w14:paraId="2FECDFA2" w14:textId="77777777" w:rsidR="00D36AE9" w:rsidRPr="00636CCE" w:rsidRDefault="00D36AE9" w:rsidP="00DA3FAD">
            <w:pPr>
              <w:pStyle w:val="TableText"/>
            </w:pPr>
            <w:r w:rsidRPr="00636CCE">
              <w:t>Validate that the installation instructions are accurate in the Installation Guide and/or Patch Description.</w:t>
            </w:r>
          </w:p>
        </w:tc>
        <w:tc>
          <w:tcPr>
            <w:tcW w:w="795" w:type="pct"/>
          </w:tcPr>
          <w:p w14:paraId="2D4C045F" w14:textId="77777777" w:rsidR="00D36AE9" w:rsidRPr="00636CCE" w:rsidRDefault="00D36AE9" w:rsidP="00DA3FAD">
            <w:pPr>
              <w:pStyle w:val="TableText"/>
            </w:pPr>
          </w:p>
        </w:tc>
        <w:tc>
          <w:tcPr>
            <w:tcW w:w="795" w:type="pct"/>
          </w:tcPr>
          <w:p w14:paraId="69BE90B4" w14:textId="77777777" w:rsidR="00D36AE9" w:rsidRPr="00636CCE" w:rsidRDefault="00D36AE9" w:rsidP="00DA3FAD">
            <w:pPr>
              <w:pStyle w:val="TableText"/>
            </w:pPr>
          </w:p>
        </w:tc>
      </w:tr>
      <w:tr w:rsidR="00D36AE9" w:rsidRPr="00636CCE" w14:paraId="52B992EE" w14:textId="4EC23BF5" w:rsidTr="00AB2340">
        <w:tc>
          <w:tcPr>
            <w:tcW w:w="312" w:type="pct"/>
          </w:tcPr>
          <w:p w14:paraId="172C8714" w14:textId="77777777" w:rsidR="00D36AE9" w:rsidRDefault="00D36AE9" w:rsidP="00DA3FAD">
            <w:pPr>
              <w:pStyle w:val="TableText"/>
            </w:pPr>
            <w:r>
              <w:t>13</w:t>
            </w:r>
          </w:p>
          <w:p w14:paraId="38E45740" w14:textId="2246D725" w:rsidR="00D36AE9" w:rsidRPr="00636CCE" w:rsidRDefault="00D36AE9" w:rsidP="00DA3FAD">
            <w:pPr>
              <w:pStyle w:val="TableText"/>
            </w:pPr>
          </w:p>
        </w:tc>
        <w:tc>
          <w:tcPr>
            <w:tcW w:w="3098" w:type="pct"/>
          </w:tcPr>
          <w:p w14:paraId="055C07F7" w14:textId="77777777" w:rsidR="00D36AE9" w:rsidRDefault="00D36AE9" w:rsidP="002F2AAA">
            <w:pPr>
              <w:pStyle w:val="TableText"/>
            </w:pPr>
            <w:r w:rsidRPr="00636CCE">
              <w:t>Complete the Product Component Testing phase, including a test of all modifications.</w:t>
            </w:r>
          </w:p>
          <w:p w14:paraId="655201FA" w14:textId="77777777" w:rsidR="00D36AE9" w:rsidRDefault="00D36AE9" w:rsidP="002F2AAA">
            <w:pPr>
              <w:pStyle w:val="TableText"/>
            </w:pPr>
          </w:p>
          <w:p w14:paraId="6CFF9CDD" w14:textId="3A36D9E5" w:rsidR="00D36AE9" w:rsidRPr="00636CCE" w:rsidRDefault="00D36AE9" w:rsidP="002F2AAA">
            <w:pPr>
              <w:pStyle w:val="TableText"/>
            </w:pPr>
            <w:r w:rsidRPr="00636CCE">
              <w:t>A capture of the test results is required.  A copy is submitted to the Project Manager and if requested to SQA.</w:t>
            </w:r>
          </w:p>
        </w:tc>
        <w:tc>
          <w:tcPr>
            <w:tcW w:w="795" w:type="pct"/>
          </w:tcPr>
          <w:p w14:paraId="2531C851" w14:textId="77777777" w:rsidR="00D36AE9" w:rsidRPr="00636CCE" w:rsidRDefault="00D36AE9" w:rsidP="00DA3FAD">
            <w:pPr>
              <w:pStyle w:val="TableText"/>
            </w:pPr>
          </w:p>
        </w:tc>
        <w:tc>
          <w:tcPr>
            <w:tcW w:w="795" w:type="pct"/>
          </w:tcPr>
          <w:p w14:paraId="0C82F56E" w14:textId="77777777" w:rsidR="00D36AE9" w:rsidRPr="00636CCE" w:rsidRDefault="00D36AE9" w:rsidP="00DA3FAD">
            <w:pPr>
              <w:pStyle w:val="TableText"/>
            </w:pPr>
          </w:p>
        </w:tc>
      </w:tr>
      <w:tr w:rsidR="00D36AE9" w:rsidRPr="00DA3FAD" w14:paraId="7E54A934" w14:textId="170E451F" w:rsidTr="00AB2340">
        <w:tc>
          <w:tcPr>
            <w:tcW w:w="312" w:type="pct"/>
          </w:tcPr>
          <w:p w14:paraId="65693117" w14:textId="51C9C5C6" w:rsidR="00D36AE9" w:rsidRDefault="00D36AE9" w:rsidP="00DA3FAD">
            <w:pPr>
              <w:pStyle w:val="TableText"/>
            </w:pPr>
            <w:r>
              <w:t>14</w:t>
            </w:r>
          </w:p>
        </w:tc>
        <w:tc>
          <w:tcPr>
            <w:tcW w:w="3098" w:type="pct"/>
          </w:tcPr>
          <w:p w14:paraId="0F8D24E3" w14:textId="721D7666" w:rsidR="00D36AE9" w:rsidRPr="00636CCE" w:rsidRDefault="00D36AE9" w:rsidP="00DA3FAD">
            <w:pPr>
              <w:pStyle w:val="TableText"/>
            </w:pPr>
            <w:r>
              <w:t>An appropriate Back Out Plan has been identified, created, and tested.  The complexity of the plan is dependent upon the release and can range from steps in the patch description to a separate patch that automates the backout procedure.</w:t>
            </w:r>
          </w:p>
        </w:tc>
        <w:tc>
          <w:tcPr>
            <w:tcW w:w="795" w:type="pct"/>
          </w:tcPr>
          <w:p w14:paraId="34CCD0A9" w14:textId="77777777" w:rsidR="00D36AE9" w:rsidRPr="00DA3FAD" w:rsidRDefault="00D36AE9" w:rsidP="00DA3FAD">
            <w:pPr>
              <w:pStyle w:val="TableText"/>
            </w:pPr>
          </w:p>
        </w:tc>
        <w:tc>
          <w:tcPr>
            <w:tcW w:w="795" w:type="pct"/>
          </w:tcPr>
          <w:p w14:paraId="197E66AB" w14:textId="77777777" w:rsidR="00D36AE9" w:rsidRPr="00DA3FAD" w:rsidRDefault="00D36AE9" w:rsidP="00DA3FAD">
            <w:pPr>
              <w:pStyle w:val="TableText"/>
            </w:pPr>
          </w:p>
        </w:tc>
      </w:tr>
      <w:tr w:rsidR="00D36AE9" w:rsidRPr="00DA3FAD" w14:paraId="7A440B66" w14:textId="21356EA3" w:rsidTr="00AB2340">
        <w:tc>
          <w:tcPr>
            <w:tcW w:w="312" w:type="pct"/>
          </w:tcPr>
          <w:p w14:paraId="11EDABEA" w14:textId="1BC75708" w:rsidR="00D36AE9" w:rsidRDefault="00D36AE9" w:rsidP="00DA3FAD">
            <w:pPr>
              <w:pStyle w:val="TableText"/>
            </w:pPr>
            <w:r>
              <w:t>15</w:t>
            </w:r>
          </w:p>
        </w:tc>
        <w:tc>
          <w:tcPr>
            <w:tcW w:w="3098" w:type="pct"/>
          </w:tcPr>
          <w:p w14:paraId="65E8E2E2" w14:textId="61AC8C69" w:rsidR="00D36AE9" w:rsidRPr="00636CCE" w:rsidRDefault="00D36AE9" w:rsidP="00DA3FAD">
            <w:pPr>
              <w:pStyle w:val="TableText"/>
            </w:pPr>
            <w:r w:rsidRPr="00636CCE">
              <w:t xml:space="preserve">Create </w:t>
            </w:r>
            <w:r>
              <w:t>the draft of the</w:t>
            </w:r>
            <w:r w:rsidRPr="00636CCE">
              <w:t xml:space="preserve"> patch-tracking message on FORUM</w:t>
            </w:r>
            <w:r>
              <w:t>, Outlook, or SharePoint (based on your Product Line’s approach)</w:t>
            </w:r>
            <w:r w:rsidRPr="00636CCE">
              <w:t xml:space="preserve">. </w:t>
            </w:r>
            <w:r>
              <w:t>Patch Tracking should i</w:t>
            </w:r>
            <w:r w:rsidRPr="00636CCE">
              <w:t>nclude the test site</w:t>
            </w:r>
            <w:r>
              <w:t>’s points of contact</w:t>
            </w:r>
            <w:r w:rsidRPr="00636CCE">
              <w:t xml:space="preserve">, </w:t>
            </w:r>
            <w:r>
              <w:t xml:space="preserve">the </w:t>
            </w:r>
            <w:r w:rsidRPr="00636CCE">
              <w:t xml:space="preserve">SQA Analyst, the </w:t>
            </w:r>
            <w:r>
              <w:t>Enterprise Portfolio Management Division (EPMD)</w:t>
            </w:r>
            <w:r w:rsidRPr="00636CCE">
              <w:t xml:space="preserve"> </w:t>
            </w:r>
            <w:r>
              <w:t>Application</w:t>
            </w:r>
            <w:r w:rsidRPr="00636CCE">
              <w:t xml:space="preserve"> Coordinator, and other team members.</w:t>
            </w:r>
          </w:p>
        </w:tc>
        <w:tc>
          <w:tcPr>
            <w:tcW w:w="795" w:type="pct"/>
          </w:tcPr>
          <w:p w14:paraId="3254DEC1" w14:textId="77777777" w:rsidR="00D36AE9" w:rsidRPr="00DA3FAD" w:rsidRDefault="00D36AE9" w:rsidP="00DA3FAD">
            <w:pPr>
              <w:pStyle w:val="TableText"/>
            </w:pPr>
          </w:p>
        </w:tc>
        <w:tc>
          <w:tcPr>
            <w:tcW w:w="795" w:type="pct"/>
          </w:tcPr>
          <w:p w14:paraId="19E225C1" w14:textId="77777777" w:rsidR="00D36AE9" w:rsidRPr="00DA3FAD" w:rsidRDefault="00D36AE9" w:rsidP="00DA3FAD">
            <w:pPr>
              <w:pStyle w:val="TableText"/>
            </w:pPr>
          </w:p>
        </w:tc>
      </w:tr>
      <w:tr w:rsidR="00D36AE9" w:rsidRPr="00DA3FAD" w14:paraId="0A1DEF6D" w14:textId="13CF1BFB" w:rsidTr="00AB2340">
        <w:tc>
          <w:tcPr>
            <w:tcW w:w="312" w:type="pct"/>
          </w:tcPr>
          <w:p w14:paraId="344695F2" w14:textId="12B867DB" w:rsidR="00D36AE9" w:rsidRPr="00636CCE" w:rsidRDefault="00D36AE9" w:rsidP="00DA3FAD">
            <w:pPr>
              <w:pStyle w:val="TableText"/>
            </w:pPr>
            <w:r>
              <w:t>16</w:t>
            </w:r>
          </w:p>
        </w:tc>
        <w:tc>
          <w:tcPr>
            <w:tcW w:w="3098" w:type="pct"/>
          </w:tcPr>
          <w:p w14:paraId="12F33B76" w14:textId="77777777" w:rsidR="00D36AE9" w:rsidRPr="00636CCE" w:rsidRDefault="00D36AE9" w:rsidP="00DA3FAD">
            <w:pPr>
              <w:pStyle w:val="TableText"/>
            </w:pPr>
            <w:r w:rsidRPr="00636CCE">
              <w:t>Upon completion, the following items will be submitted to the Project Manager via Outlook:</w:t>
            </w:r>
          </w:p>
          <w:p w14:paraId="183CC97A" w14:textId="77777777" w:rsidR="00D36AE9" w:rsidRPr="00636CCE" w:rsidRDefault="00D36AE9" w:rsidP="008A0871">
            <w:pPr>
              <w:pStyle w:val="TableText"/>
              <w:numPr>
                <w:ilvl w:val="0"/>
                <w:numId w:val="38"/>
              </w:numPr>
            </w:pPr>
            <w:r w:rsidRPr="00636CCE">
              <w:t xml:space="preserve">Primary Developer Checklist </w:t>
            </w:r>
          </w:p>
          <w:p w14:paraId="6F0A1C38" w14:textId="6AE62D77" w:rsidR="00D36AE9" w:rsidRPr="00636CCE" w:rsidRDefault="00D36AE9" w:rsidP="008A0871">
            <w:pPr>
              <w:pStyle w:val="TableText"/>
              <w:numPr>
                <w:ilvl w:val="0"/>
                <w:numId w:val="38"/>
              </w:numPr>
            </w:pPr>
            <w:r w:rsidRPr="00636CCE">
              <w:t>FORUM Patch Tracking Message Number</w:t>
            </w:r>
            <w:r>
              <w:t xml:space="preserve"> (if applicable)</w:t>
            </w:r>
          </w:p>
          <w:p w14:paraId="71E97472" w14:textId="2074C820" w:rsidR="00D36AE9" w:rsidRPr="00636CCE" w:rsidRDefault="00D36AE9" w:rsidP="008A0871">
            <w:pPr>
              <w:pStyle w:val="TableText"/>
              <w:numPr>
                <w:ilvl w:val="0"/>
                <w:numId w:val="38"/>
              </w:numPr>
            </w:pPr>
            <w:r w:rsidRPr="00636CCE">
              <w:t>Data Dictionary Approval Message</w:t>
            </w:r>
            <w:r>
              <w:t xml:space="preserve"> (if applicable)</w:t>
            </w:r>
          </w:p>
          <w:p w14:paraId="24252D08" w14:textId="3B2E283A" w:rsidR="00D36AE9" w:rsidRPr="00636CCE" w:rsidRDefault="00D36AE9" w:rsidP="008A0871">
            <w:pPr>
              <w:pStyle w:val="TableText"/>
              <w:numPr>
                <w:ilvl w:val="0"/>
                <w:numId w:val="38"/>
              </w:numPr>
            </w:pPr>
            <w:r w:rsidRPr="00636CCE">
              <w:lastRenderedPageBreak/>
              <w:t>Location of the host file, if being released via a host file</w:t>
            </w:r>
            <w:r>
              <w:t xml:space="preserve"> </w:t>
            </w:r>
          </w:p>
          <w:p w14:paraId="413D49DF" w14:textId="77777777" w:rsidR="00D36AE9" w:rsidRPr="00636CCE" w:rsidRDefault="00D36AE9" w:rsidP="008A0871">
            <w:pPr>
              <w:pStyle w:val="TableText"/>
              <w:numPr>
                <w:ilvl w:val="0"/>
                <w:numId w:val="38"/>
              </w:numPr>
            </w:pPr>
            <w:r w:rsidRPr="00636CCE">
              <w:t>Installation Guide (when applicable)</w:t>
            </w:r>
          </w:p>
          <w:p w14:paraId="6747D22A" w14:textId="77777777" w:rsidR="00D36AE9" w:rsidRPr="00636CCE" w:rsidRDefault="00D36AE9" w:rsidP="008A0871">
            <w:pPr>
              <w:pStyle w:val="TableText"/>
              <w:numPr>
                <w:ilvl w:val="0"/>
                <w:numId w:val="38"/>
              </w:numPr>
            </w:pPr>
            <w:r w:rsidRPr="00636CCE">
              <w:t>HL7 Messaging Approval (when applicable)</w:t>
            </w:r>
          </w:p>
          <w:p w14:paraId="49569383" w14:textId="54A06A67" w:rsidR="00D36AE9" w:rsidRDefault="00D36AE9" w:rsidP="008A0871">
            <w:pPr>
              <w:pStyle w:val="TableText"/>
              <w:numPr>
                <w:ilvl w:val="0"/>
                <w:numId w:val="38"/>
              </w:numPr>
            </w:pPr>
            <w:r w:rsidRPr="00636CCE">
              <w:t>Testing Service Report (when applicable)</w:t>
            </w:r>
          </w:p>
          <w:p w14:paraId="291EC63D" w14:textId="13012035" w:rsidR="00D36AE9" w:rsidRDefault="00D36AE9" w:rsidP="008A0871">
            <w:pPr>
              <w:pStyle w:val="TableText"/>
              <w:numPr>
                <w:ilvl w:val="0"/>
                <w:numId w:val="38"/>
              </w:numPr>
            </w:pPr>
            <w:r>
              <w:t>ICR approvals (when applicable)</w:t>
            </w:r>
          </w:p>
          <w:p w14:paraId="2D3D5969" w14:textId="2DBB41F9" w:rsidR="00D36AE9" w:rsidRPr="00636CCE" w:rsidRDefault="00D36AE9" w:rsidP="008A0871">
            <w:pPr>
              <w:pStyle w:val="TableText"/>
              <w:numPr>
                <w:ilvl w:val="0"/>
                <w:numId w:val="38"/>
              </w:numPr>
            </w:pPr>
            <w:r>
              <w:t>Back-Out Plan has been created</w:t>
            </w:r>
          </w:p>
          <w:p w14:paraId="1965E4E7" w14:textId="77777777" w:rsidR="00D36AE9" w:rsidRPr="00636CCE" w:rsidRDefault="00D36AE9" w:rsidP="009F44A7">
            <w:pPr>
              <w:pStyle w:val="TableText"/>
              <w:ind w:left="720"/>
            </w:pPr>
          </w:p>
          <w:p w14:paraId="750B435D" w14:textId="77777777" w:rsidR="00D36AE9" w:rsidRPr="00DA3FAD" w:rsidRDefault="00D36AE9" w:rsidP="00DA3FAD">
            <w:pPr>
              <w:pStyle w:val="TableText"/>
            </w:pPr>
            <w:r w:rsidRPr="00636CCE">
              <w:t>The Project Manager will notify SQA that the patch is ready for review via Outlook.</w:t>
            </w:r>
          </w:p>
        </w:tc>
        <w:tc>
          <w:tcPr>
            <w:tcW w:w="795" w:type="pct"/>
          </w:tcPr>
          <w:p w14:paraId="4C2431A2" w14:textId="77777777" w:rsidR="00D36AE9" w:rsidRPr="00DA3FAD" w:rsidRDefault="00D36AE9" w:rsidP="00DA3FAD">
            <w:pPr>
              <w:pStyle w:val="TableText"/>
            </w:pPr>
          </w:p>
        </w:tc>
        <w:tc>
          <w:tcPr>
            <w:tcW w:w="795" w:type="pct"/>
          </w:tcPr>
          <w:p w14:paraId="0B712EE0" w14:textId="77777777" w:rsidR="00D36AE9" w:rsidRPr="00DA3FAD" w:rsidRDefault="00D36AE9" w:rsidP="00DA3FAD">
            <w:pPr>
              <w:pStyle w:val="TableText"/>
            </w:pPr>
          </w:p>
        </w:tc>
      </w:tr>
    </w:tbl>
    <w:p w14:paraId="14DA9754" w14:textId="77777777" w:rsidR="0048060D" w:rsidRPr="0048060D" w:rsidRDefault="0048060D" w:rsidP="0048060D">
      <w:pPr>
        <w:pStyle w:val="BodyText"/>
      </w:pPr>
      <w:bookmarkStart w:id="4" w:name="ColumnTitle_08"/>
      <w:bookmarkEnd w:id="4"/>
    </w:p>
    <w:sectPr w:rsidR="0048060D" w:rsidRPr="0048060D" w:rsidSect="003E2FC6">
      <w:type w:val="continuous"/>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6F4C7" w14:textId="77777777" w:rsidR="008C0B9B" w:rsidRDefault="008C0B9B">
      <w:r>
        <w:separator/>
      </w:r>
    </w:p>
    <w:p w14:paraId="23095335" w14:textId="77777777" w:rsidR="008C0B9B" w:rsidRDefault="008C0B9B"/>
  </w:endnote>
  <w:endnote w:type="continuationSeparator" w:id="0">
    <w:p w14:paraId="54F28716" w14:textId="77777777" w:rsidR="008C0B9B" w:rsidRDefault="008C0B9B">
      <w:r>
        <w:continuationSeparator/>
      </w:r>
    </w:p>
    <w:p w14:paraId="77353493" w14:textId="77777777" w:rsidR="008C0B9B" w:rsidRDefault="008C0B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7CE0A" w14:textId="0E36F7CC" w:rsidR="00922D53" w:rsidRPr="00A077EE" w:rsidRDefault="00922D53" w:rsidP="00A077EE">
    <w:pPr>
      <w:pStyle w:val="Footer"/>
      <w:rPr>
        <w:rStyle w:val="PageNumbe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4BF4D" w14:textId="43E8AF49" w:rsidR="007B1745" w:rsidRDefault="007B1745" w:rsidP="007B1745">
    <w:pPr>
      <w:pStyle w:val="Footer"/>
    </w:pPr>
    <w:r>
      <w:t xml:space="preserve">Vista Primary Developer Checklist </w:t>
    </w:r>
    <w:r>
      <w:tab/>
    </w:r>
    <w:sdt>
      <w:sdtPr>
        <w:id w:val="26404046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ab/>
        </w:r>
        <w:r w:rsidR="00D36AE9">
          <w:rPr>
            <w:noProof/>
          </w:rPr>
          <w:t>October</w:t>
        </w:r>
        <w:r>
          <w:rPr>
            <w:noProof/>
          </w:rPr>
          <w:t xml:space="preserve"> 2022</w:t>
        </w:r>
      </w:sdtContent>
    </w:sdt>
  </w:p>
  <w:p w14:paraId="2DA1F4EC" w14:textId="6FDB9374" w:rsidR="0002382E" w:rsidRPr="00A077EE" w:rsidRDefault="0002382E" w:rsidP="00A077EE">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B1F8E" w14:textId="77777777" w:rsidR="008C0B9B" w:rsidRDefault="008C0B9B">
      <w:r>
        <w:separator/>
      </w:r>
    </w:p>
    <w:p w14:paraId="44D67210" w14:textId="77777777" w:rsidR="008C0B9B" w:rsidRDefault="008C0B9B"/>
  </w:footnote>
  <w:footnote w:type="continuationSeparator" w:id="0">
    <w:p w14:paraId="1EB0278F" w14:textId="77777777" w:rsidR="008C0B9B" w:rsidRDefault="008C0B9B">
      <w:r>
        <w:continuationSeparator/>
      </w:r>
    </w:p>
    <w:p w14:paraId="66EA5EB5" w14:textId="77777777" w:rsidR="008C0B9B" w:rsidRDefault="008C0B9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69pt;height:41.4pt" o:bullet="t">
        <v:imagedata r:id="rId1" o:title="pointing-finger-white-small"/>
      </v:shape>
    </w:pict>
  </w:numPicBullet>
  <w:abstractNum w:abstractNumId="0"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702378"/>
    <w:multiLevelType w:val="multilevel"/>
    <w:tmpl w:val="42FE56BC"/>
    <w:numStyleLink w:val="Appendices"/>
  </w:abstractNum>
  <w:abstractNum w:abstractNumId="3"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CFC423F"/>
    <w:multiLevelType w:val="multilevel"/>
    <w:tmpl w:val="42FE56BC"/>
    <w:numStyleLink w:val="Appendices"/>
  </w:abstractNum>
  <w:abstractNum w:abstractNumId="5" w15:restartNumberingAfterBreak="0">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4053DFE"/>
    <w:multiLevelType w:val="multilevel"/>
    <w:tmpl w:val="42FE56BC"/>
    <w:numStyleLink w:val="Appendices"/>
  </w:abstractNum>
  <w:abstractNum w:abstractNumId="7" w15:restartNumberingAfterBreak="0">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26073D4"/>
    <w:multiLevelType w:val="hybridMultilevel"/>
    <w:tmpl w:val="C51C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21A5E4D"/>
    <w:multiLevelType w:val="multilevel"/>
    <w:tmpl w:val="42FE56BC"/>
    <w:numStyleLink w:val="Appendices"/>
  </w:abstractNum>
  <w:abstractNum w:abstractNumId="15"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39036596"/>
    <w:multiLevelType w:val="hybridMultilevel"/>
    <w:tmpl w:val="D10C6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295AAC"/>
    <w:multiLevelType w:val="hybridMultilevel"/>
    <w:tmpl w:val="7ED4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734E95"/>
    <w:multiLevelType w:val="multilevel"/>
    <w:tmpl w:val="42FE56BC"/>
    <w:styleLink w:val="Appendices"/>
    <w:lvl w:ilvl="0">
      <w:start w:val="1"/>
      <w:numFmt w:val="upperLetter"/>
      <w:pStyle w:val="Appendix1"/>
      <w:lvlText w:val="Appendix %1."/>
      <w:lvlJc w:val="left"/>
      <w:pPr>
        <w:ind w:left="360" w:hanging="360"/>
      </w:pPr>
      <w:rPr>
        <w:rFonts w:hint="default"/>
      </w:rPr>
    </w:lvl>
    <w:lvl w:ilvl="1">
      <w:start w:val="1"/>
      <w:numFmt w:val="decimal"/>
      <w:pStyle w:val="Appendix11"/>
      <w:lvlText w:val="Appendix %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BC63E69"/>
    <w:multiLevelType w:val="multilevel"/>
    <w:tmpl w:val="58E47D88"/>
    <w:lvl w:ilvl="0">
      <w:start w:val="1"/>
      <w:numFmt w:val="upperLetter"/>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1"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8543DB"/>
    <w:multiLevelType w:val="hybridMultilevel"/>
    <w:tmpl w:val="E1644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4"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6"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7" w15:restartNumberingAfterBreak="0">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9" w15:restartNumberingAfterBreak="0">
    <w:nsid w:val="748F5401"/>
    <w:multiLevelType w:val="multilevel"/>
    <w:tmpl w:val="42FE56BC"/>
    <w:numStyleLink w:val="Appendices"/>
  </w:abstractNum>
  <w:abstractNum w:abstractNumId="30" w15:restartNumberingAfterBreak="0">
    <w:nsid w:val="75092893"/>
    <w:multiLevelType w:val="hybridMultilevel"/>
    <w:tmpl w:val="6E821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25"/>
  </w:num>
  <w:num w:numId="3">
    <w:abstractNumId w:val="3"/>
  </w:num>
  <w:num w:numId="4">
    <w:abstractNumId w:val="28"/>
  </w:num>
  <w:num w:numId="5">
    <w:abstractNumId w:val="31"/>
  </w:num>
  <w:num w:numId="6">
    <w:abstractNumId w:val="21"/>
  </w:num>
  <w:num w:numId="7">
    <w:abstractNumId w:val="12"/>
  </w:num>
  <w:num w:numId="8">
    <w:abstractNumId w:val="9"/>
  </w:num>
  <w:num w:numId="9">
    <w:abstractNumId w:val="15"/>
  </w:num>
  <w:num w:numId="10">
    <w:abstractNumId w:val="20"/>
  </w:num>
  <w:num w:numId="11">
    <w:abstractNumId w:val="5"/>
  </w:num>
  <w:num w:numId="12">
    <w:abstractNumId w:val="13"/>
  </w:num>
  <w:num w:numId="13">
    <w:abstractNumId w:val="23"/>
  </w:num>
  <w:num w:numId="14">
    <w:abstractNumId w:val="19"/>
  </w:num>
  <w:num w:numId="15">
    <w:abstractNumId w:val="8"/>
  </w:num>
  <w:num w:numId="16">
    <w:abstractNumId w:val="10"/>
  </w:num>
  <w:num w:numId="17">
    <w:abstractNumId w:val="27"/>
  </w:num>
  <w:num w:numId="18">
    <w:abstractNumId w:val="1"/>
  </w:num>
  <w:num w:numId="19">
    <w:abstractNumId w:val="1"/>
  </w:num>
  <w:num w:numId="20">
    <w:abstractNumId w:val="24"/>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26"/>
    <w:lvlOverride w:ilvl="0">
      <w:startOverride w:val="1"/>
    </w:lvlOverride>
  </w:num>
  <w:num w:numId="25">
    <w:abstractNumId w:val="26"/>
    <w:lvlOverride w:ilvl="0">
      <w:startOverride w:val="1"/>
    </w:lvlOverride>
  </w:num>
  <w:num w:numId="26">
    <w:abstractNumId w:val="26"/>
    <w:lvlOverride w:ilvl="0">
      <w:startOverride w:val="1"/>
    </w:lvlOverride>
  </w:num>
  <w:num w:numId="27">
    <w:abstractNumId w:val="26"/>
    <w:lvlOverride w:ilvl="0">
      <w:startOverride w:val="1"/>
    </w:lvlOverride>
  </w:num>
  <w:num w:numId="28">
    <w:abstractNumId w:val="26"/>
    <w:lvlOverride w:ilvl="0">
      <w:startOverride w:val="1"/>
    </w:lvlOverride>
  </w:num>
  <w:num w:numId="29">
    <w:abstractNumId w:val="18"/>
  </w:num>
  <w:num w:numId="30">
    <w:abstractNumId w:val="14"/>
  </w:num>
  <w:num w:numId="31">
    <w:abstractNumId w:val="29"/>
    <w:lvlOverride w:ilvl="0">
      <w:lvl w:ilvl="0">
        <w:start w:val="1"/>
        <w:numFmt w:val="upperLetter"/>
        <w:pStyle w:val="Appendix1"/>
        <w:lvlText w:val="Appendix %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2">
    <w:abstractNumId w:val="4"/>
  </w:num>
  <w:num w:numId="33">
    <w:abstractNumId w:val="6"/>
  </w:num>
  <w:num w:numId="34">
    <w:abstractNumId w:val="2"/>
  </w:num>
  <w:num w:numId="35">
    <w:abstractNumId w:val="22"/>
  </w:num>
  <w:num w:numId="36">
    <w:abstractNumId w:val="30"/>
  </w:num>
  <w:num w:numId="37">
    <w:abstractNumId w:val="17"/>
  </w:num>
  <w:num w:numId="38">
    <w:abstractNumId w:val="11"/>
  </w:num>
  <w:num w:numId="39">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hideSpellingErrors/>
  <w:hideGrammaticalErrors/>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B2"/>
    <w:rsid w:val="000063A7"/>
    <w:rsid w:val="0000675B"/>
    <w:rsid w:val="00006DB8"/>
    <w:rsid w:val="00010140"/>
    <w:rsid w:val="000114B6"/>
    <w:rsid w:val="00011EE6"/>
    <w:rsid w:val="0001226E"/>
    <w:rsid w:val="000171DA"/>
    <w:rsid w:val="0002382E"/>
    <w:rsid w:val="00024F38"/>
    <w:rsid w:val="000263BB"/>
    <w:rsid w:val="00030C06"/>
    <w:rsid w:val="00040DCD"/>
    <w:rsid w:val="0004636C"/>
    <w:rsid w:val="000512B6"/>
    <w:rsid w:val="00051BC7"/>
    <w:rsid w:val="00060396"/>
    <w:rsid w:val="00071609"/>
    <w:rsid w:val="0007778C"/>
    <w:rsid w:val="00086D68"/>
    <w:rsid w:val="0009184E"/>
    <w:rsid w:val="000A59D1"/>
    <w:rsid w:val="000B23F8"/>
    <w:rsid w:val="000C7CAE"/>
    <w:rsid w:val="000D2A67"/>
    <w:rsid w:val="000F3438"/>
    <w:rsid w:val="00101B1F"/>
    <w:rsid w:val="0010320F"/>
    <w:rsid w:val="00104399"/>
    <w:rsid w:val="0010664C"/>
    <w:rsid w:val="00107971"/>
    <w:rsid w:val="0012060D"/>
    <w:rsid w:val="0013001F"/>
    <w:rsid w:val="00151087"/>
    <w:rsid w:val="0015365E"/>
    <w:rsid w:val="001574A4"/>
    <w:rsid w:val="00160824"/>
    <w:rsid w:val="00161ED8"/>
    <w:rsid w:val="001624C3"/>
    <w:rsid w:val="001645B5"/>
    <w:rsid w:val="00165AB8"/>
    <w:rsid w:val="00166430"/>
    <w:rsid w:val="00170E4B"/>
    <w:rsid w:val="00172D7F"/>
    <w:rsid w:val="00175C2D"/>
    <w:rsid w:val="00180235"/>
    <w:rsid w:val="001822B3"/>
    <w:rsid w:val="00186009"/>
    <w:rsid w:val="00193E9C"/>
    <w:rsid w:val="0019641B"/>
    <w:rsid w:val="00196445"/>
    <w:rsid w:val="001A237B"/>
    <w:rsid w:val="001A2744"/>
    <w:rsid w:val="001A37FC"/>
    <w:rsid w:val="001A3C5C"/>
    <w:rsid w:val="001A75D9"/>
    <w:rsid w:val="001C0940"/>
    <w:rsid w:val="001C6D26"/>
    <w:rsid w:val="001D3222"/>
    <w:rsid w:val="001D6650"/>
    <w:rsid w:val="001E2308"/>
    <w:rsid w:val="001E4B39"/>
    <w:rsid w:val="00212B15"/>
    <w:rsid w:val="00217034"/>
    <w:rsid w:val="002273CA"/>
    <w:rsid w:val="00232BF6"/>
    <w:rsid w:val="00234111"/>
    <w:rsid w:val="00252BD5"/>
    <w:rsid w:val="00256419"/>
    <w:rsid w:val="00256F04"/>
    <w:rsid w:val="00266D60"/>
    <w:rsid w:val="00274D40"/>
    <w:rsid w:val="00280A53"/>
    <w:rsid w:val="00282EDE"/>
    <w:rsid w:val="00292B10"/>
    <w:rsid w:val="002A0C8C"/>
    <w:rsid w:val="002A2EE5"/>
    <w:rsid w:val="002A4907"/>
    <w:rsid w:val="002A60B1"/>
    <w:rsid w:val="002C6335"/>
    <w:rsid w:val="002D0C49"/>
    <w:rsid w:val="002D1B52"/>
    <w:rsid w:val="002D309E"/>
    <w:rsid w:val="002D5204"/>
    <w:rsid w:val="002E1D8C"/>
    <w:rsid w:val="002E751D"/>
    <w:rsid w:val="002F0076"/>
    <w:rsid w:val="002F2AAA"/>
    <w:rsid w:val="002F424B"/>
    <w:rsid w:val="002F5410"/>
    <w:rsid w:val="00303850"/>
    <w:rsid w:val="003110DB"/>
    <w:rsid w:val="00314B90"/>
    <w:rsid w:val="0032241E"/>
    <w:rsid w:val="003224BE"/>
    <w:rsid w:val="00326966"/>
    <w:rsid w:val="003417C9"/>
    <w:rsid w:val="00342E0C"/>
    <w:rsid w:val="00346959"/>
    <w:rsid w:val="00352A0C"/>
    <w:rsid w:val="00353152"/>
    <w:rsid w:val="00356022"/>
    <w:rsid w:val="003561A5"/>
    <w:rsid w:val="003565ED"/>
    <w:rsid w:val="00372700"/>
    <w:rsid w:val="00376DD4"/>
    <w:rsid w:val="00392B05"/>
    <w:rsid w:val="003C2662"/>
    <w:rsid w:val="003C5BAC"/>
    <w:rsid w:val="003C7B01"/>
    <w:rsid w:val="003D59EF"/>
    <w:rsid w:val="003D7EA1"/>
    <w:rsid w:val="003E1F9E"/>
    <w:rsid w:val="003E2FC6"/>
    <w:rsid w:val="003E5E8D"/>
    <w:rsid w:val="003F30DB"/>
    <w:rsid w:val="003F4789"/>
    <w:rsid w:val="00400978"/>
    <w:rsid w:val="004145D9"/>
    <w:rsid w:val="00423003"/>
    <w:rsid w:val="004237DB"/>
    <w:rsid w:val="00423A58"/>
    <w:rsid w:val="00433816"/>
    <w:rsid w:val="004340F2"/>
    <w:rsid w:val="00437D36"/>
    <w:rsid w:val="00440A78"/>
    <w:rsid w:val="00451181"/>
    <w:rsid w:val="00452DB6"/>
    <w:rsid w:val="00467F6F"/>
    <w:rsid w:val="00474BBC"/>
    <w:rsid w:val="00475866"/>
    <w:rsid w:val="0048016C"/>
    <w:rsid w:val="0048060D"/>
    <w:rsid w:val="0048455F"/>
    <w:rsid w:val="004870E5"/>
    <w:rsid w:val="004929C8"/>
    <w:rsid w:val="004A1010"/>
    <w:rsid w:val="004A28E1"/>
    <w:rsid w:val="004B64EC"/>
    <w:rsid w:val="004D026F"/>
    <w:rsid w:val="004D1F3B"/>
    <w:rsid w:val="004D3CB7"/>
    <w:rsid w:val="004D3FB6"/>
    <w:rsid w:val="004D5CD2"/>
    <w:rsid w:val="004E0942"/>
    <w:rsid w:val="004F0FB3"/>
    <w:rsid w:val="004F123A"/>
    <w:rsid w:val="004F3A80"/>
    <w:rsid w:val="00501DE4"/>
    <w:rsid w:val="00504BC1"/>
    <w:rsid w:val="005100F6"/>
    <w:rsid w:val="00510914"/>
    <w:rsid w:val="00515F2A"/>
    <w:rsid w:val="005229DF"/>
    <w:rsid w:val="00524CCC"/>
    <w:rsid w:val="00527B5C"/>
    <w:rsid w:val="00530D34"/>
    <w:rsid w:val="00531CD9"/>
    <w:rsid w:val="005327F9"/>
    <w:rsid w:val="00532B92"/>
    <w:rsid w:val="00543B6B"/>
    <w:rsid w:val="00543E06"/>
    <w:rsid w:val="0054468F"/>
    <w:rsid w:val="00554B8F"/>
    <w:rsid w:val="00560721"/>
    <w:rsid w:val="005647C7"/>
    <w:rsid w:val="00566D6A"/>
    <w:rsid w:val="00567BAB"/>
    <w:rsid w:val="00575CFA"/>
    <w:rsid w:val="00576377"/>
    <w:rsid w:val="00577B5B"/>
    <w:rsid w:val="00584F2F"/>
    <w:rsid w:val="00585881"/>
    <w:rsid w:val="005862E8"/>
    <w:rsid w:val="00592D3D"/>
    <w:rsid w:val="00594383"/>
    <w:rsid w:val="005A1C16"/>
    <w:rsid w:val="005A722B"/>
    <w:rsid w:val="005B7CDD"/>
    <w:rsid w:val="005C50D2"/>
    <w:rsid w:val="005D18C5"/>
    <w:rsid w:val="005D3B22"/>
    <w:rsid w:val="005E2AF9"/>
    <w:rsid w:val="00600235"/>
    <w:rsid w:val="00606743"/>
    <w:rsid w:val="00614A5E"/>
    <w:rsid w:val="00620BFA"/>
    <w:rsid w:val="006244C7"/>
    <w:rsid w:val="00636CCE"/>
    <w:rsid w:val="00642849"/>
    <w:rsid w:val="00646072"/>
    <w:rsid w:val="0064769E"/>
    <w:rsid w:val="00647B03"/>
    <w:rsid w:val="0065443F"/>
    <w:rsid w:val="0066022A"/>
    <w:rsid w:val="00663B92"/>
    <w:rsid w:val="00665BF6"/>
    <w:rsid w:val="006670D2"/>
    <w:rsid w:val="00667E47"/>
    <w:rsid w:val="00677451"/>
    <w:rsid w:val="00680463"/>
    <w:rsid w:val="00680563"/>
    <w:rsid w:val="00691431"/>
    <w:rsid w:val="006A20A1"/>
    <w:rsid w:val="006A7603"/>
    <w:rsid w:val="006C321F"/>
    <w:rsid w:val="006C74F4"/>
    <w:rsid w:val="006C7ACD"/>
    <w:rsid w:val="006D2F04"/>
    <w:rsid w:val="006D4142"/>
    <w:rsid w:val="006D68DA"/>
    <w:rsid w:val="006E32E0"/>
    <w:rsid w:val="006E5523"/>
    <w:rsid w:val="006E5EF3"/>
    <w:rsid w:val="006F2EC3"/>
    <w:rsid w:val="006F497D"/>
    <w:rsid w:val="006F6D65"/>
    <w:rsid w:val="006F7F91"/>
    <w:rsid w:val="00714730"/>
    <w:rsid w:val="00715F75"/>
    <w:rsid w:val="007238FF"/>
    <w:rsid w:val="0072569B"/>
    <w:rsid w:val="00725C30"/>
    <w:rsid w:val="0073078F"/>
    <w:rsid w:val="00731440"/>
    <w:rsid w:val="007316E5"/>
    <w:rsid w:val="00736B0D"/>
    <w:rsid w:val="00742D4B"/>
    <w:rsid w:val="00744F0F"/>
    <w:rsid w:val="00750FDE"/>
    <w:rsid w:val="007537E2"/>
    <w:rsid w:val="00762B56"/>
    <w:rsid w:val="00763DBB"/>
    <w:rsid w:val="007654AB"/>
    <w:rsid w:val="00765E89"/>
    <w:rsid w:val="00767528"/>
    <w:rsid w:val="00772D8C"/>
    <w:rsid w:val="00776245"/>
    <w:rsid w:val="007762D6"/>
    <w:rsid w:val="007809A2"/>
    <w:rsid w:val="00781144"/>
    <w:rsid w:val="00785D3E"/>
    <w:rsid w:val="007864FA"/>
    <w:rsid w:val="0078769E"/>
    <w:rsid w:val="007926DE"/>
    <w:rsid w:val="007A090C"/>
    <w:rsid w:val="007A39CC"/>
    <w:rsid w:val="007A4CD4"/>
    <w:rsid w:val="007A6696"/>
    <w:rsid w:val="007B1745"/>
    <w:rsid w:val="007B2C43"/>
    <w:rsid w:val="007B3D18"/>
    <w:rsid w:val="007B5233"/>
    <w:rsid w:val="007B65D7"/>
    <w:rsid w:val="007C2637"/>
    <w:rsid w:val="007C79A5"/>
    <w:rsid w:val="007D2225"/>
    <w:rsid w:val="007D5E6A"/>
    <w:rsid w:val="007E05D4"/>
    <w:rsid w:val="007E4370"/>
    <w:rsid w:val="007E50A3"/>
    <w:rsid w:val="007F28AF"/>
    <w:rsid w:val="007F67CA"/>
    <w:rsid w:val="007F767C"/>
    <w:rsid w:val="00801B32"/>
    <w:rsid w:val="00821FD9"/>
    <w:rsid w:val="008241A1"/>
    <w:rsid w:val="00825350"/>
    <w:rsid w:val="008308C2"/>
    <w:rsid w:val="00845BB9"/>
    <w:rsid w:val="00846270"/>
    <w:rsid w:val="00847214"/>
    <w:rsid w:val="00851812"/>
    <w:rsid w:val="00856A08"/>
    <w:rsid w:val="00863B21"/>
    <w:rsid w:val="00871E3C"/>
    <w:rsid w:val="0088044F"/>
    <w:rsid w:val="00880C3D"/>
    <w:rsid w:val="008831EB"/>
    <w:rsid w:val="00886638"/>
    <w:rsid w:val="00887D77"/>
    <w:rsid w:val="008A0871"/>
    <w:rsid w:val="008A1731"/>
    <w:rsid w:val="008A4AE4"/>
    <w:rsid w:val="008A783A"/>
    <w:rsid w:val="008C0B9B"/>
    <w:rsid w:val="008C2304"/>
    <w:rsid w:val="008C4576"/>
    <w:rsid w:val="008C66FA"/>
    <w:rsid w:val="008D191D"/>
    <w:rsid w:val="008E3EF4"/>
    <w:rsid w:val="008E661A"/>
    <w:rsid w:val="008F298E"/>
    <w:rsid w:val="008F3A4A"/>
    <w:rsid w:val="008F43AA"/>
    <w:rsid w:val="008F65D8"/>
    <w:rsid w:val="009011D4"/>
    <w:rsid w:val="00901D12"/>
    <w:rsid w:val="00906711"/>
    <w:rsid w:val="00906870"/>
    <w:rsid w:val="009071B9"/>
    <w:rsid w:val="009114B7"/>
    <w:rsid w:val="00922D53"/>
    <w:rsid w:val="00936767"/>
    <w:rsid w:val="009453C1"/>
    <w:rsid w:val="00945C0C"/>
    <w:rsid w:val="009473AA"/>
    <w:rsid w:val="00947AE3"/>
    <w:rsid w:val="0095133D"/>
    <w:rsid w:val="00961FED"/>
    <w:rsid w:val="00967C1C"/>
    <w:rsid w:val="00972B0F"/>
    <w:rsid w:val="009763BD"/>
    <w:rsid w:val="00984DA0"/>
    <w:rsid w:val="00991613"/>
    <w:rsid w:val="009921F2"/>
    <w:rsid w:val="00996E0A"/>
    <w:rsid w:val="009A0140"/>
    <w:rsid w:val="009A09A6"/>
    <w:rsid w:val="009A3CF9"/>
    <w:rsid w:val="009A6D3C"/>
    <w:rsid w:val="009B1957"/>
    <w:rsid w:val="009B3CD1"/>
    <w:rsid w:val="009C154C"/>
    <w:rsid w:val="009C4C5F"/>
    <w:rsid w:val="009C53F3"/>
    <w:rsid w:val="009D368C"/>
    <w:rsid w:val="009D4125"/>
    <w:rsid w:val="009E27DE"/>
    <w:rsid w:val="009E67B2"/>
    <w:rsid w:val="009E7720"/>
    <w:rsid w:val="009F101D"/>
    <w:rsid w:val="009F12A6"/>
    <w:rsid w:val="009F44A7"/>
    <w:rsid w:val="009F5E75"/>
    <w:rsid w:val="009F77D2"/>
    <w:rsid w:val="00A04018"/>
    <w:rsid w:val="00A0550C"/>
    <w:rsid w:val="00A05CA6"/>
    <w:rsid w:val="00A077EE"/>
    <w:rsid w:val="00A07FCB"/>
    <w:rsid w:val="00A136DC"/>
    <w:rsid w:val="00A149C0"/>
    <w:rsid w:val="00A2382A"/>
    <w:rsid w:val="00A24CF9"/>
    <w:rsid w:val="00A30DBF"/>
    <w:rsid w:val="00A43AA1"/>
    <w:rsid w:val="00A736A3"/>
    <w:rsid w:val="00A753C8"/>
    <w:rsid w:val="00A76358"/>
    <w:rsid w:val="00A82F5C"/>
    <w:rsid w:val="00A83D56"/>
    <w:rsid w:val="00A83EB5"/>
    <w:rsid w:val="00A87F24"/>
    <w:rsid w:val="00AA0F64"/>
    <w:rsid w:val="00AA337E"/>
    <w:rsid w:val="00AA6982"/>
    <w:rsid w:val="00AA7363"/>
    <w:rsid w:val="00AB173C"/>
    <w:rsid w:val="00AB177C"/>
    <w:rsid w:val="00AB1FCC"/>
    <w:rsid w:val="00AB2340"/>
    <w:rsid w:val="00AB2C7C"/>
    <w:rsid w:val="00AB5882"/>
    <w:rsid w:val="00AB6213"/>
    <w:rsid w:val="00AC018B"/>
    <w:rsid w:val="00AD074D"/>
    <w:rsid w:val="00AD2556"/>
    <w:rsid w:val="00AD4E85"/>
    <w:rsid w:val="00AD50AE"/>
    <w:rsid w:val="00AD62EE"/>
    <w:rsid w:val="00AE0630"/>
    <w:rsid w:val="00AF6A4D"/>
    <w:rsid w:val="00B04771"/>
    <w:rsid w:val="00B140A4"/>
    <w:rsid w:val="00B14A2D"/>
    <w:rsid w:val="00B15A7C"/>
    <w:rsid w:val="00B254C3"/>
    <w:rsid w:val="00B3236E"/>
    <w:rsid w:val="00B3372D"/>
    <w:rsid w:val="00B373C2"/>
    <w:rsid w:val="00B43397"/>
    <w:rsid w:val="00B470C6"/>
    <w:rsid w:val="00B533A3"/>
    <w:rsid w:val="00B662D1"/>
    <w:rsid w:val="00B667B2"/>
    <w:rsid w:val="00B6706C"/>
    <w:rsid w:val="00B725E5"/>
    <w:rsid w:val="00B730E7"/>
    <w:rsid w:val="00B811B1"/>
    <w:rsid w:val="00B83F9C"/>
    <w:rsid w:val="00B84AAD"/>
    <w:rsid w:val="00B859DB"/>
    <w:rsid w:val="00B8745A"/>
    <w:rsid w:val="00B92868"/>
    <w:rsid w:val="00B959D1"/>
    <w:rsid w:val="00B95A94"/>
    <w:rsid w:val="00BA0504"/>
    <w:rsid w:val="00BB52EE"/>
    <w:rsid w:val="00BB6C5B"/>
    <w:rsid w:val="00BC2D41"/>
    <w:rsid w:val="00BD61CE"/>
    <w:rsid w:val="00BE23EE"/>
    <w:rsid w:val="00BE3288"/>
    <w:rsid w:val="00BE3AE9"/>
    <w:rsid w:val="00BE7AD9"/>
    <w:rsid w:val="00BF1EB7"/>
    <w:rsid w:val="00BF2C5A"/>
    <w:rsid w:val="00BF3A16"/>
    <w:rsid w:val="00C02ADC"/>
    <w:rsid w:val="00C033C1"/>
    <w:rsid w:val="00C03950"/>
    <w:rsid w:val="00C04CB2"/>
    <w:rsid w:val="00C13654"/>
    <w:rsid w:val="00C206A5"/>
    <w:rsid w:val="00C264B3"/>
    <w:rsid w:val="00C36612"/>
    <w:rsid w:val="00C36ED5"/>
    <w:rsid w:val="00C3721E"/>
    <w:rsid w:val="00C37EB4"/>
    <w:rsid w:val="00C43552"/>
    <w:rsid w:val="00C44C32"/>
    <w:rsid w:val="00C44E3B"/>
    <w:rsid w:val="00C54796"/>
    <w:rsid w:val="00C677EE"/>
    <w:rsid w:val="00C77323"/>
    <w:rsid w:val="00C84F82"/>
    <w:rsid w:val="00C854B1"/>
    <w:rsid w:val="00C91E34"/>
    <w:rsid w:val="00C93BF9"/>
    <w:rsid w:val="00C946FE"/>
    <w:rsid w:val="00C96FD1"/>
    <w:rsid w:val="00CA1477"/>
    <w:rsid w:val="00CA19F3"/>
    <w:rsid w:val="00CA5DF5"/>
    <w:rsid w:val="00CB195C"/>
    <w:rsid w:val="00CB2A72"/>
    <w:rsid w:val="00CC3B8D"/>
    <w:rsid w:val="00CC439B"/>
    <w:rsid w:val="00CC59EF"/>
    <w:rsid w:val="00CD4F2E"/>
    <w:rsid w:val="00CE61F4"/>
    <w:rsid w:val="00CF08BF"/>
    <w:rsid w:val="00CF0F76"/>
    <w:rsid w:val="00CF5A24"/>
    <w:rsid w:val="00D008F5"/>
    <w:rsid w:val="00D05A6C"/>
    <w:rsid w:val="00D2060D"/>
    <w:rsid w:val="00D25C9C"/>
    <w:rsid w:val="00D3172E"/>
    <w:rsid w:val="00D33CA8"/>
    <w:rsid w:val="00D34C52"/>
    <w:rsid w:val="00D3642C"/>
    <w:rsid w:val="00D36AE9"/>
    <w:rsid w:val="00D41E05"/>
    <w:rsid w:val="00D4529D"/>
    <w:rsid w:val="00D60C86"/>
    <w:rsid w:val="00D62331"/>
    <w:rsid w:val="00D672E7"/>
    <w:rsid w:val="00D713C8"/>
    <w:rsid w:val="00D71B75"/>
    <w:rsid w:val="00D82DF2"/>
    <w:rsid w:val="00D83562"/>
    <w:rsid w:val="00D87E85"/>
    <w:rsid w:val="00D93822"/>
    <w:rsid w:val="00D957C8"/>
    <w:rsid w:val="00DA3FAD"/>
    <w:rsid w:val="00DA7E40"/>
    <w:rsid w:val="00DB1637"/>
    <w:rsid w:val="00DB4A3F"/>
    <w:rsid w:val="00DC13CA"/>
    <w:rsid w:val="00DC3FD5"/>
    <w:rsid w:val="00DC49E2"/>
    <w:rsid w:val="00DC5861"/>
    <w:rsid w:val="00DD2947"/>
    <w:rsid w:val="00DD565E"/>
    <w:rsid w:val="00DD6972"/>
    <w:rsid w:val="00DE37FC"/>
    <w:rsid w:val="00DF2ED5"/>
    <w:rsid w:val="00DF6735"/>
    <w:rsid w:val="00E02B61"/>
    <w:rsid w:val="00E03070"/>
    <w:rsid w:val="00E05AEE"/>
    <w:rsid w:val="00E14BCB"/>
    <w:rsid w:val="00E15508"/>
    <w:rsid w:val="00E1768B"/>
    <w:rsid w:val="00E2245D"/>
    <w:rsid w:val="00E2381D"/>
    <w:rsid w:val="00E24621"/>
    <w:rsid w:val="00E2463A"/>
    <w:rsid w:val="00E24EB2"/>
    <w:rsid w:val="00E319D1"/>
    <w:rsid w:val="00E3221B"/>
    <w:rsid w:val="00E3386A"/>
    <w:rsid w:val="00E438B3"/>
    <w:rsid w:val="00E455AB"/>
    <w:rsid w:val="00E460DB"/>
    <w:rsid w:val="00E47D1B"/>
    <w:rsid w:val="00E53D55"/>
    <w:rsid w:val="00E54302"/>
    <w:rsid w:val="00E54E10"/>
    <w:rsid w:val="00E57CF1"/>
    <w:rsid w:val="00E648C4"/>
    <w:rsid w:val="00E72830"/>
    <w:rsid w:val="00E773E8"/>
    <w:rsid w:val="00E9007C"/>
    <w:rsid w:val="00E96B4B"/>
    <w:rsid w:val="00EA1C70"/>
    <w:rsid w:val="00EA4B53"/>
    <w:rsid w:val="00EA6E32"/>
    <w:rsid w:val="00EB45EC"/>
    <w:rsid w:val="00EB771E"/>
    <w:rsid w:val="00EB7F5F"/>
    <w:rsid w:val="00EC0593"/>
    <w:rsid w:val="00EC51AF"/>
    <w:rsid w:val="00ED36BC"/>
    <w:rsid w:val="00ED4712"/>
    <w:rsid w:val="00ED699D"/>
    <w:rsid w:val="00EE4C2A"/>
    <w:rsid w:val="00EE7CC8"/>
    <w:rsid w:val="00EF0C86"/>
    <w:rsid w:val="00EF65E6"/>
    <w:rsid w:val="00EF6F1A"/>
    <w:rsid w:val="00F02966"/>
    <w:rsid w:val="00F05CF9"/>
    <w:rsid w:val="00F214A8"/>
    <w:rsid w:val="00F225AF"/>
    <w:rsid w:val="00F243F5"/>
    <w:rsid w:val="00F33DEC"/>
    <w:rsid w:val="00F361F8"/>
    <w:rsid w:val="00F4062E"/>
    <w:rsid w:val="00F4182E"/>
    <w:rsid w:val="00F41862"/>
    <w:rsid w:val="00F47FD8"/>
    <w:rsid w:val="00F5014A"/>
    <w:rsid w:val="00F524D9"/>
    <w:rsid w:val="00F527C1"/>
    <w:rsid w:val="00F54831"/>
    <w:rsid w:val="00F5761E"/>
    <w:rsid w:val="00F57F42"/>
    <w:rsid w:val="00F601FD"/>
    <w:rsid w:val="00F6698D"/>
    <w:rsid w:val="00F7216E"/>
    <w:rsid w:val="00F741A0"/>
    <w:rsid w:val="00F752EB"/>
    <w:rsid w:val="00F866E3"/>
    <w:rsid w:val="00F879AC"/>
    <w:rsid w:val="00F91A26"/>
    <w:rsid w:val="00F94C8A"/>
    <w:rsid w:val="00F9794C"/>
    <w:rsid w:val="00FA1117"/>
    <w:rsid w:val="00FA25B6"/>
    <w:rsid w:val="00FA3E2A"/>
    <w:rsid w:val="00FA5B5C"/>
    <w:rsid w:val="00FA5EDC"/>
    <w:rsid w:val="00FA68BC"/>
    <w:rsid w:val="00FB0495"/>
    <w:rsid w:val="00FB5E57"/>
    <w:rsid w:val="00FD0C53"/>
    <w:rsid w:val="00FD2649"/>
    <w:rsid w:val="00FD2817"/>
    <w:rsid w:val="00FD3B27"/>
    <w:rsid w:val="00FE0067"/>
    <w:rsid w:val="00FE0A33"/>
    <w:rsid w:val="00FE1601"/>
    <w:rsid w:val="00FE1BAD"/>
    <w:rsid w:val="00FE37C8"/>
    <w:rsid w:val="00FE3863"/>
    <w:rsid w:val="00FF04BE"/>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28744B"/>
  <w15:docId w15:val="{1B191F63-F2E8-4DF8-9D05-584C58493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3EB5"/>
    <w:rPr>
      <w:sz w:val="22"/>
      <w:szCs w:val="24"/>
    </w:rPr>
  </w:style>
  <w:style w:type="paragraph" w:styleId="Heading1">
    <w:name w:val="heading 1"/>
    <w:next w:val="BodyText"/>
    <w:qFormat/>
    <w:rsid w:val="009E27DE"/>
    <w:pPr>
      <w:keepNext/>
      <w:numPr>
        <w:numId w:val="21"/>
      </w:numPr>
      <w:tabs>
        <w:tab w:val="left" w:pos="720"/>
      </w:tabs>
      <w:autoSpaceDE w:val="0"/>
      <w:autoSpaceDN w:val="0"/>
      <w:adjustRightInd w:val="0"/>
      <w:spacing w:before="120" w:after="120"/>
      <w:ind w:left="720" w:hanging="720"/>
      <w:outlineLvl w:val="0"/>
    </w:pPr>
    <w:rPr>
      <w:rFonts w:ascii="Arial" w:hAnsi="Arial" w:cs="Arial"/>
      <w:b/>
      <w:bCs/>
      <w:kern w:val="32"/>
      <w:sz w:val="32"/>
      <w:szCs w:val="32"/>
    </w:rPr>
  </w:style>
  <w:style w:type="paragraph" w:styleId="Heading2">
    <w:name w:val="heading 2"/>
    <w:basedOn w:val="Heading1"/>
    <w:next w:val="BodyText"/>
    <w:qFormat/>
    <w:rsid w:val="001C0940"/>
    <w:pPr>
      <w:numPr>
        <w:ilvl w:val="1"/>
      </w:numPr>
      <w:tabs>
        <w:tab w:val="clear" w:pos="720"/>
        <w:tab w:val="left" w:pos="900"/>
      </w:tabs>
      <w:spacing w:before="360"/>
      <w:ind w:left="907" w:hanging="907"/>
      <w:outlineLvl w:val="1"/>
    </w:pPr>
    <w:rPr>
      <w:iCs/>
      <w:sz w:val="28"/>
      <w:szCs w:val="28"/>
    </w:rPr>
  </w:style>
  <w:style w:type="paragraph" w:styleId="Heading3">
    <w:name w:val="heading 3"/>
    <w:basedOn w:val="Heading2"/>
    <w:next w:val="BodyText"/>
    <w:qFormat/>
    <w:rsid w:val="001C0940"/>
    <w:pPr>
      <w:numPr>
        <w:ilvl w:val="2"/>
      </w:numPr>
      <w:tabs>
        <w:tab w:val="clear" w:pos="900"/>
        <w:tab w:val="left" w:pos="1080"/>
      </w:tabs>
      <w:spacing w:before="240"/>
      <w:ind w:left="1080" w:hanging="1080"/>
      <w:outlineLvl w:val="2"/>
    </w:pPr>
    <w:rPr>
      <w:bCs w:val="0"/>
      <w:iCs w:val="0"/>
      <w:sz w:val="24"/>
      <w:szCs w:val="26"/>
    </w:rPr>
  </w:style>
  <w:style w:type="paragraph" w:styleId="Heading4">
    <w:name w:val="heading 4"/>
    <w:basedOn w:val="Heading3"/>
    <w:next w:val="BodyText"/>
    <w:qFormat/>
    <w:rsid w:val="001C0940"/>
    <w:pPr>
      <w:numPr>
        <w:ilvl w:val="3"/>
      </w:numPr>
      <w:ind w:left="648"/>
      <w:outlineLvl w:val="3"/>
    </w:pPr>
    <w:rPr>
      <w:sz w:val="22"/>
      <w:szCs w:val="28"/>
    </w:rPr>
  </w:style>
  <w:style w:type="paragraph" w:styleId="Heading5">
    <w:name w:val="heading 5"/>
    <w:basedOn w:val="Heading4"/>
    <w:next w:val="BodyText"/>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A07FCB"/>
    <w:pPr>
      <w:autoSpaceDE w:val="0"/>
      <w:autoSpaceDN w:val="0"/>
      <w:adjustRightInd w:val="0"/>
      <w:spacing w:after="360"/>
      <w:jc w:val="center"/>
    </w:pPr>
    <w:rPr>
      <w:rFonts w:ascii="Arial" w:hAnsi="Arial" w:cs="Arial"/>
      <w:b/>
      <w:bCs/>
      <w:sz w:val="36"/>
      <w:szCs w:val="32"/>
    </w:rPr>
  </w:style>
  <w:style w:type="paragraph" w:customStyle="1" w:styleId="Title2">
    <w:name w:val="Title 2"/>
    <w:rsid w:val="00A07FCB"/>
    <w:pPr>
      <w:spacing w:after="36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232BF6"/>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232BF6"/>
    <w:pPr>
      <w:numPr>
        <w:numId w:val="6"/>
      </w:numPr>
      <w:spacing w:before="60" w:after="60"/>
    </w:pPr>
    <w:rPr>
      <w:sz w:val="24"/>
    </w:rPr>
  </w:style>
  <w:style w:type="paragraph" w:customStyle="1" w:styleId="BodyTextNumbered1">
    <w:name w:val="Body Text Numbered 1"/>
    <w:rsid w:val="00232BF6"/>
    <w:pPr>
      <w:numPr>
        <w:numId w:val="1"/>
      </w:numPr>
      <w:spacing w:before="60" w:after="60"/>
    </w:pPr>
    <w:rPr>
      <w:sz w:val="24"/>
    </w:rPr>
  </w:style>
  <w:style w:type="paragraph" w:customStyle="1" w:styleId="BodyTextNumbered2">
    <w:name w:val="Body Text Numbered 2"/>
    <w:rsid w:val="00232BF6"/>
    <w:pPr>
      <w:numPr>
        <w:numId w:val="2"/>
      </w:numPr>
      <w:tabs>
        <w:tab w:val="clear" w:pos="1440"/>
        <w:tab w:val="num" w:pos="1080"/>
      </w:tabs>
      <w:spacing w:before="60" w:after="60"/>
      <w:ind w:left="1080"/>
    </w:pPr>
    <w:rPr>
      <w:sz w:val="24"/>
    </w:rPr>
  </w:style>
  <w:style w:type="paragraph" w:customStyle="1" w:styleId="BodyTextLettered1">
    <w:name w:val="Body Text Lettered 1"/>
    <w:rsid w:val="00232BF6"/>
    <w:pPr>
      <w:numPr>
        <w:numId w:val="3"/>
      </w:numPr>
      <w:tabs>
        <w:tab w:val="clear" w:pos="1080"/>
        <w:tab w:val="num" w:pos="720"/>
      </w:tabs>
      <w:spacing w:before="60" w:after="60"/>
      <w:ind w:left="720"/>
    </w:pPr>
    <w:rPr>
      <w:sz w:val="24"/>
    </w:rPr>
  </w:style>
  <w:style w:type="paragraph" w:customStyle="1" w:styleId="BodyTextLettered2">
    <w:name w:val="Body Text Lettered 2"/>
    <w:rsid w:val="00232BF6"/>
    <w:pPr>
      <w:numPr>
        <w:numId w:val="4"/>
      </w:numPr>
      <w:tabs>
        <w:tab w:val="clear" w:pos="1440"/>
        <w:tab w:val="num" w:pos="1080"/>
      </w:tabs>
      <w:spacing w:before="60" w:after="60"/>
      <w:ind w:left="1080"/>
    </w:pPr>
    <w:rPr>
      <w:sz w:val="24"/>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next w:val="BodyText"/>
    <w:link w:val="InstructionalText1Char"/>
    <w:rsid w:val="00232BF6"/>
    <w:pPr>
      <w:keepLines/>
      <w:autoSpaceDE w:val="0"/>
      <w:autoSpaceDN w:val="0"/>
      <w:adjustRightInd w:val="0"/>
      <w:spacing w:before="60" w:after="120" w:line="240" w:lineRule="atLeast"/>
    </w:pPr>
    <w:rPr>
      <w:i/>
      <w:iCs/>
      <w:color w:val="0000FF"/>
      <w:sz w:val="24"/>
    </w:rPr>
  </w:style>
  <w:style w:type="character" w:customStyle="1" w:styleId="InstructionalText1Char">
    <w:name w:val="Instructional Text 1 Char"/>
    <w:link w:val="InstructionalText1"/>
    <w:rsid w:val="00232BF6"/>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AC018B"/>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15365E"/>
    <w:pPr>
      <w:numPr>
        <w:numId w:val="31"/>
      </w:numPr>
    </w:pPr>
    <w:rPr>
      <w:rFonts w:ascii="Arial" w:hAnsi="Arial"/>
      <w:b/>
      <w:sz w:val="32"/>
      <w:szCs w:val="24"/>
    </w:r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232BF6"/>
    <w:pPr>
      <w:keepNext/>
      <w:keepLines/>
      <w:spacing w:before="240" w:after="60"/>
      <w:jc w:val="center"/>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9114B7"/>
    <w:pPr>
      <w:keepLines/>
      <w:numPr>
        <w:numId w:val="34"/>
      </w:numPr>
      <w:tabs>
        <w:tab w:val="clear" w:pos="900"/>
        <w:tab w:val="left" w:pos="720"/>
      </w:tabs>
      <w:spacing w:before="240"/>
      <w:ind w:left="360"/>
    </w:pPr>
    <w:rPr>
      <w:sz w:val="24"/>
    </w:r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next w:val="Title2"/>
    <w:qFormat/>
    <w:rsid w:val="00232BF6"/>
    <w:pPr>
      <w:jc w:val="center"/>
    </w:pPr>
    <w:rPr>
      <w:bCs/>
      <w:i/>
      <w:color w:val="0000FF"/>
      <w:sz w:val="24"/>
      <w:szCs w:val="22"/>
    </w:rPr>
  </w:style>
  <w:style w:type="numbering" w:customStyle="1" w:styleId="Headings">
    <w:name w:val="Headings"/>
    <w:uiPriority w:val="99"/>
    <w:rsid w:val="00C84F82"/>
    <w:pPr>
      <w:numPr>
        <w:numId w:val="21"/>
      </w:numPr>
    </w:pPr>
  </w:style>
  <w:style w:type="paragraph" w:customStyle="1" w:styleId="Appendix">
    <w:name w:val="Appendix"/>
    <w:basedOn w:val="Heading1"/>
    <w:next w:val="BodyText"/>
    <w:rsid w:val="007B2C43"/>
    <w:pPr>
      <w:numPr>
        <w:numId w:val="0"/>
      </w:numPr>
      <w:spacing w:before="360" w:after="360"/>
    </w:pPr>
    <w:rPr>
      <w:rFonts w:eastAsia="Arial Unicode MS"/>
      <w:bCs w:val="0"/>
    </w:rPr>
  </w:style>
  <w:style w:type="numbering" w:customStyle="1" w:styleId="Appendices">
    <w:name w:val="Appendices"/>
    <w:uiPriority w:val="99"/>
    <w:rsid w:val="009114B7"/>
    <w:pPr>
      <w:numPr>
        <w:numId w:val="29"/>
      </w:numPr>
    </w:pPr>
  </w:style>
  <w:style w:type="paragraph" w:styleId="ListParagraph">
    <w:name w:val="List Paragraph"/>
    <w:basedOn w:val="Normal"/>
    <w:uiPriority w:val="34"/>
    <w:qFormat/>
    <w:rsid w:val="009114B7"/>
    <w:pPr>
      <w:ind w:left="720"/>
      <w:contextualSpacing/>
    </w:pPr>
  </w:style>
  <w:style w:type="character" w:customStyle="1" w:styleId="TitleChar">
    <w:name w:val="Title Char"/>
    <w:basedOn w:val="DefaultParagraphFont"/>
    <w:link w:val="Title"/>
    <w:rsid w:val="00A07FCB"/>
    <w:rPr>
      <w:rFonts w:ascii="Arial" w:hAnsi="Arial" w:cs="Arial"/>
      <w:b/>
      <w:bCs/>
      <w:sz w:val="36"/>
      <w:szCs w:val="32"/>
    </w:rPr>
  </w:style>
  <w:style w:type="character" w:styleId="CommentReference">
    <w:name w:val="annotation reference"/>
    <w:basedOn w:val="DefaultParagraphFont"/>
    <w:semiHidden/>
    <w:unhideWhenUsed/>
    <w:rsid w:val="00E438B3"/>
    <w:rPr>
      <w:sz w:val="16"/>
      <w:szCs w:val="16"/>
    </w:rPr>
  </w:style>
  <w:style w:type="paragraph" w:styleId="CommentText">
    <w:name w:val="annotation text"/>
    <w:basedOn w:val="Normal"/>
    <w:link w:val="CommentTextChar"/>
    <w:semiHidden/>
    <w:unhideWhenUsed/>
    <w:rsid w:val="00E438B3"/>
    <w:rPr>
      <w:sz w:val="20"/>
      <w:szCs w:val="20"/>
    </w:rPr>
  </w:style>
  <w:style w:type="character" w:customStyle="1" w:styleId="CommentTextChar">
    <w:name w:val="Comment Text Char"/>
    <w:basedOn w:val="DefaultParagraphFont"/>
    <w:link w:val="CommentText"/>
    <w:semiHidden/>
    <w:rsid w:val="00E438B3"/>
  </w:style>
  <w:style w:type="paragraph" w:styleId="CommentSubject">
    <w:name w:val="annotation subject"/>
    <w:basedOn w:val="CommentText"/>
    <w:next w:val="CommentText"/>
    <w:link w:val="CommentSubjectChar"/>
    <w:semiHidden/>
    <w:unhideWhenUsed/>
    <w:rsid w:val="00E438B3"/>
    <w:rPr>
      <w:b/>
      <w:bCs/>
    </w:rPr>
  </w:style>
  <w:style w:type="character" w:customStyle="1" w:styleId="CommentSubjectChar">
    <w:name w:val="Comment Subject Char"/>
    <w:basedOn w:val="CommentTextChar"/>
    <w:link w:val="CommentSubject"/>
    <w:semiHidden/>
    <w:rsid w:val="00E438B3"/>
    <w:rPr>
      <w:b/>
      <w:bCs/>
    </w:rPr>
  </w:style>
  <w:style w:type="character" w:styleId="UnresolvedMention">
    <w:name w:val="Unresolved Mention"/>
    <w:basedOn w:val="DefaultParagraphFont"/>
    <w:uiPriority w:val="99"/>
    <w:semiHidden/>
    <w:unhideWhenUsed/>
    <w:rsid w:val="00FE1BAD"/>
    <w:rPr>
      <w:color w:val="605E5C"/>
      <w:shd w:val="clear" w:color="auto" w:fill="E1DFDD"/>
    </w:rPr>
  </w:style>
  <w:style w:type="table" w:styleId="GridTable1Light">
    <w:name w:val="Grid Table 1 Light"/>
    <w:basedOn w:val="TableNormal"/>
    <w:uiPriority w:val="46"/>
    <w:rsid w:val="00AB234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436210">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47656276">
      <w:bodyDiv w:val="1"/>
      <w:marLeft w:val="0"/>
      <w:marRight w:val="0"/>
      <w:marTop w:val="0"/>
      <w:marBottom w:val="0"/>
      <w:divBdr>
        <w:top w:val="none" w:sz="0" w:space="0" w:color="auto"/>
        <w:left w:val="none" w:sz="0" w:space="0" w:color="auto"/>
        <w:bottom w:val="none" w:sz="0" w:space="0" w:color="auto"/>
        <w:right w:val="none" w:sz="0" w:space="0" w:color="auto"/>
      </w:divBdr>
    </w:div>
    <w:div w:id="1698189083">
      <w:bodyDiv w:val="1"/>
      <w:marLeft w:val="0"/>
      <w:marRight w:val="0"/>
      <w:marTop w:val="0"/>
      <w:marBottom w:val="0"/>
      <w:divBdr>
        <w:top w:val="none" w:sz="0" w:space="0" w:color="auto"/>
        <w:left w:val="none" w:sz="0" w:space="0" w:color="auto"/>
        <w:bottom w:val="none" w:sz="0" w:space="0" w:color="auto"/>
        <w:right w:val="none" w:sz="0" w:space="0" w:color="auto"/>
      </w:divBdr>
      <w:divsChild>
        <w:div w:id="206333910">
          <w:marLeft w:val="0"/>
          <w:marRight w:val="0"/>
          <w:marTop w:val="1770"/>
          <w:marBottom w:val="240"/>
          <w:divBdr>
            <w:top w:val="none" w:sz="0" w:space="0" w:color="auto"/>
            <w:left w:val="none" w:sz="0" w:space="0" w:color="auto"/>
            <w:bottom w:val="none" w:sz="0" w:space="0" w:color="auto"/>
            <w:right w:val="none" w:sz="0" w:space="0" w:color="auto"/>
          </w:divBdr>
        </w:div>
      </w:divsChild>
    </w:div>
    <w:div w:id="197362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dvagov.sharepoint.com/sites/oitspmsaccom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trm.oit.va.gov/VAStandardPage.aspx?tid=13133" TargetMode="External"/><Relationship Id="rId2" Type="http://schemas.openxmlformats.org/officeDocument/2006/relationships/customXml" Target="../customXml/item2.xml"/><Relationship Id="rId16" Type="http://schemas.openxmlformats.org/officeDocument/2006/relationships/hyperlink" Target="file:///C:/Users/VHAISLREDINP/AppData/Local/Microsoft/Windows/INetCache/Content.Outlook/HYMOE38X/icrs@va.gov" TargetMode="External"/><Relationship Id="rId20" Type="http://schemas.openxmlformats.org/officeDocument/2006/relationships/hyperlink" Target="https://dvagov.sharepoint.com/sites/OITProcessAssetLibrary/home.aspx?OR=Teams-HL&amp;CT=163051206033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gif"/><Relationship Id="rId5" Type="http://schemas.openxmlformats.org/officeDocument/2006/relationships/numbering" Target="numbering.xml"/><Relationship Id="rId15" Type="http://schemas.openxmlformats.org/officeDocument/2006/relationships/hyperlink" Target="https://dvagov.sharepoint.com/sites/OITEPMOVistAOffice/SitePages/Integration%20Control%20Registration%20(ICR)%20Request%20Intake%20Form.aspx" TargetMode="External"/><Relationship Id="rId10" Type="http://schemas.openxmlformats.org/officeDocument/2006/relationships/endnotes" Target="endnotes.xml"/><Relationship Id="rId19" Type="http://schemas.openxmlformats.org/officeDocument/2006/relationships/hyperlink" Target="https://dvagov.sharepoint.com/sites/oitspmsaccom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itctxwbdcsp1.r02.med.va.gov/DDVR0TSVR/csp/r1icrlist/R1ICRList.csp"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97C18FF3C32646AECDA1ED198D253A" ma:contentTypeVersion="4" ma:contentTypeDescription="Create a new document." ma:contentTypeScope="" ma:versionID="3215a68280c45175d450b28eb6d750cd">
  <xsd:schema xmlns:xsd="http://www.w3.org/2001/XMLSchema" xmlns:xs="http://www.w3.org/2001/XMLSchema" xmlns:p="http://schemas.microsoft.com/office/2006/metadata/properties" xmlns:ns2="5c35b762-4d89-4b7e-9c15-3cbd8a0b9b99" xmlns:ns3="5991f424-a9a7-4f2b-8225-50859352f609" targetNamespace="http://schemas.microsoft.com/office/2006/metadata/properties" ma:root="true" ma:fieldsID="7b3e1677830736650d56724d97fc6848" ns2:_="" ns3:_="">
    <xsd:import namespace="5c35b762-4d89-4b7e-9c15-3cbd8a0b9b99"/>
    <xsd:import namespace="5991f424-a9a7-4f2b-8225-50859352f60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35b762-4d89-4b7e-9c15-3cbd8a0b9b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91f424-a9a7-4f2b-8225-50859352f60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7BB104-C963-43E5-93B8-C729C844783F}"/>
</file>

<file path=customXml/itemProps2.xml><?xml version="1.0" encoding="utf-8"?>
<ds:datastoreItem xmlns:ds="http://schemas.openxmlformats.org/officeDocument/2006/customXml" ds:itemID="{BC4FC64F-A2F4-4DC0-8349-5FC9CA1A54CA}">
  <ds:schemaRefs>
    <ds:schemaRef ds:uri="http://schemas.microsoft.com/sharepoint/v3/contenttype/forms"/>
  </ds:schemaRefs>
</ds:datastoreItem>
</file>

<file path=customXml/itemProps3.xml><?xml version="1.0" encoding="utf-8"?>
<ds:datastoreItem xmlns:ds="http://schemas.openxmlformats.org/officeDocument/2006/customXml" ds:itemID="{926C9F34-DB92-4D54-B0F1-CDC543CA1354}">
  <ds:schemaRefs>
    <ds:schemaRef ds:uri="http://schemas.openxmlformats.org/officeDocument/2006/bibliography"/>
  </ds:schemaRefs>
</ds:datastoreItem>
</file>

<file path=customXml/itemProps4.xml><?xml version="1.0" encoding="utf-8"?>
<ds:datastoreItem xmlns:ds="http://schemas.openxmlformats.org/officeDocument/2006/customXml" ds:itemID="{C381AD14-96B7-472F-93F2-6F638BF00DA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VistA Primary Developer Review Checklist</vt:lpstr>
    </vt:vector>
  </TitlesOfParts>
  <Company>Dept. of Veterans Affairs</Company>
  <LinksUpToDate>false</LinksUpToDate>
  <CharactersWithSpaces>7840</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Primary Developer Review Checklist</dc:title>
  <dc:subject>VistA Primary Developer Review Checklist</dc:subject>
  <dc:creator>OITQPRQCIO@va.gov</dc:creator>
  <cp:lastModifiedBy>Redington, Patrick</cp:lastModifiedBy>
  <cp:revision>5</cp:revision>
  <dcterms:created xsi:type="dcterms:W3CDTF">2022-10-28T19:56:00Z</dcterms:created>
  <dcterms:modified xsi:type="dcterms:W3CDTF">2022-12-19T18:44:00Z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by National Release">
    <vt:bool>false</vt:bool>
  </property>
  <property fmtid="{D5CDD505-2E9C-101B-9397-08002B2CF9AE}" pid="3" name="Category0">
    <vt:lpwstr>11</vt:lpwstr>
  </property>
  <property fmtid="{D5CDD505-2E9C-101B-9397-08002B2CF9AE}" pid="4" name="Required by Independent Testing">
    <vt:bool>false</vt:bool>
  </property>
  <property fmtid="{D5CDD505-2E9C-101B-9397-08002B2CF9AE}" pid="5" name="Required by Operational Readiness">
    <vt:bool>false</vt:bool>
  </property>
  <property fmtid="{D5CDD505-2E9C-101B-9397-08002B2CF9AE}" pid="6" name="Required for Operational Readiness Review">
    <vt:bool>false</vt:bool>
  </property>
  <property fmtid="{D5CDD505-2E9C-101B-9397-08002B2CF9AE}" pid="7" name="Required by PMAS">
    <vt:bool>false</vt:bool>
  </property>
  <property fmtid="{D5CDD505-2E9C-101B-9397-08002B2CF9AE}" pid="8" name="Required for Assessment and Authorizatio">
    <vt:bool>false</vt:bool>
  </property>
  <property fmtid="{D5CDD505-2E9C-101B-9397-08002B2CF9AE}" pid="9" name="Required by VHA Release Management">
    <vt:bool>false</vt:bool>
  </property>
  <property fmtid="{D5CDD505-2E9C-101B-9397-08002B2CF9AE}" pid="10" name="Required for Assessment and Authorization">
    <vt:bool>false</vt:bool>
  </property>
  <property fmtid="{D5CDD505-2E9C-101B-9397-08002B2CF9AE}" pid="11" name="_dlc_DocIdItemGuid">
    <vt:lpwstr>800793fb-7fe5-4c15-8c1e-fb512f45fbaf</vt:lpwstr>
  </property>
  <property fmtid="{D5CDD505-2E9C-101B-9397-08002B2CF9AE}" pid="12" name="Required by Enterprise Operations">
    <vt:bool>false</vt:bool>
  </property>
  <property fmtid="{D5CDD505-2E9C-101B-9397-08002B2CF9AE}" pid="13" name="Scope">
    <vt:lpwstr>2</vt:lpwstr>
  </property>
  <property fmtid="{D5CDD505-2E9C-101B-9397-08002B2CF9AE}" pid="14" name="WorkflowChangePath">
    <vt:lpwstr>ce6cb7d3-f4c9-419d-b355-eea5bf978f34,10;</vt:lpwstr>
  </property>
  <property fmtid="{D5CDD505-2E9C-101B-9397-08002B2CF9AE}" pid="15" name="Required for National Release">
    <vt:bool>false</vt:bool>
  </property>
  <property fmtid="{D5CDD505-2E9C-101B-9397-08002B2CF9AE}" pid="16" name="TaxKeyword">
    <vt:lpwstr/>
  </property>
  <property fmtid="{D5CDD505-2E9C-101B-9397-08002B2CF9AE}" pid="17" name="Associated PMAS Milestone">
    <vt:lpwstr>No</vt:lpwstr>
  </property>
  <property fmtid="{D5CDD505-2E9C-101B-9397-08002B2CF9AE}" pid="18" name="Purpose">
    <vt:lpwstr>Checklist to complete the primary developer’s activities including any additional items directed by your Development Manager or Team Leader.</vt:lpwstr>
  </property>
  <property fmtid="{D5CDD505-2E9C-101B-9397-08002B2CF9AE}" pid="19" name="Scope0">
    <vt:lpwstr>Cross-Cutting</vt:lpwstr>
  </property>
  <property fmtid="{D5CDD505-2E9C-101B-9397-08002B2CF9AE}" pid="20" name="External Link">
    <vt:bool>false</vt:bool>
  </property>
  <property fmtid="{D5CDD505-2E9C-101B-9397-08002B2CF9AE}" pid="21" name="VOA">
    <vt:lpwstr>Yes</vt:lpwstr>
  </property>
  <property fmtid="{D5CDD505-2E9C-101B-9397-08002B2CF9AE}" pid="22" name="ContentTypeId">
    <vt:lpwstr>0x010100F397C18FF3C32646AECDA1ED198D253A</vt:lpwstr>
  </property>
</Properties>
</file>