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proofErr w:type="spellStart"/>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proofErr w:type="spellEnd"/>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383203"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383203"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 xml:space="preserve">Shetty </w:t>
      </w:r>
      <w:proofErr w:type="spellStart"/>
      <w:r w:rsidRPr="00195C5A">
        <w:rPr>
          <w:rFonts w:asciiTheme="minorHAnsi" w:hAnsiTheme="minorHAnsi" w:cstheme="minorHAnsi"/>
          <w:b/>
          <w:bCs/>
          <w:color w:val="auto"/>
          <w:sz w:val="28"/>
          <w:szCs w:val="28"/>
        </w:rPr>
        <w:t>Yashas</w:t>
      </w:r>
      <w:proofErr w:type="spellEnd"/>
      <w:r w:rsidRPr="00195C5A">
        <w:rPr>
          <w:rFonts w:asciiTheme="minorHAnsi" w:hAnsiTheme="minorHAnsi" w:cstheme="minorHAnsi"/>
          <w:b/>
          <w:bCs/>
          <w:color w:val="auto"/>
          <w:sz w:val="28"/>
          <w:szCs w:val="28"/>
        </w:rPr>
        <w:t xml:space="preserve">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383203"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w:t>
      </w:r>
      <w:proofErr w:type="spellStart"/>
      <w:r w:rsidRPr="0072435F">
        <w:rPr>
          <w:rFonts w:asciiTheme="minorHAnsi" w:hAnsiTheme="minorHAnsi" w:cstheme="minorHAnsi"/>
        </w:rPr>
        <w:t>VizWiz</w:t>
      </w:r>
      <w:proofErr w:type="spellEnd"/>
      <w:r w:rsidRPr="0072435F">
        <w:rPr>
          <w:rFonts w:asciiTheme="minorHAnsi" w:hAnsiTheme="minorHAnsi" w:cstheme="minorHAnsi"/>
        </w:rPr>
        <w:t xml:space="preserve">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A person asked a visual question by taking a picture and then recording a spoken question.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w:t>
      </w:r>
      <w:proofErr w:type="spellStart"/>
      <w:r w:rsidR="000D56DE">
        <w:rPr>
          <w:rFonts w:asciiTheme="minorHAnsi" w:hAnsiTheme="minorHAnsi" w:cstheme="minorHAnsi"/>
        </w:rPr>
        <w:t>VizWiz</w:t>
      </w:r>
      <w:proofErr w:type="spellEnd"/>
      <w:r w:rsidR="000D56DE">
        <w:rPr>
          <w:rFonts w:asciiTheme="minorHAnsi" w:hAnsiTheme="minorHAnsi" w:cstheme="minorHAnsi"/>
        </w:rPr>
        <w:t xml:space="preserve">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1BD0C779"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A26C81">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19019F13" w:rsidR="00180D5A" w:rsidRDefault="0072435F" w:rsidP="008B42CA">
      <w:pPr>
        <w:spacing w:line="276" w:lineRule="auto"/>
        <w:jc w:val="both"/>
        <w:rPr>
          <w:rFonts w:asciiTheme="minorHAnsi" w:hAnsiTheme="minorHAnsi" w:cstheme="minorHAnsi"/>
        </w:rPr>
      </w:pPr>
      <w:r>
        <w:rPr>
          <w:rFonts w:asciiTheme="minorHAnsi" w:hAnsiTheme="minorHAnsi" w:cstheme="minorHAnsi"/>
        </w:rPr>
        <w:t xml:space="preserve">A blind person can ask a question to the chatbot through speech. This speech is converted into text using Google’s Speech API. The natural language question is then fed </w:t>
      </w:r>
      <w:r w:rsidR="009D723B">
        <w:rPr>
          <w:rFonts w:asciiTheme="minorHAnsi" w:hAnsiTheme="minorHAnsi" w:cstheme="minorHAnsi"/>
        </w:rPr>
        <w:t>to the</w:t>
      </w:r>
      <w:r>
        <w:rPr>
          <w:rFonts w:asciiTheme="minorHAnsi" w:hAnsiTheme="minorHAnsi" w:cstheme="minorHAnsi"/>
        </w:rPr>
        <w:t xml:space="preserve">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w:t>
      </w:r>
      <w:r w:rsidR="00527AC9">
        <w:rPr>
          <w:rFonts w:asciiTheme="minorHAnsi" w:hAnsiTheme="minorHAnsi" w:cstheme="minorHAnsi"/>
        </w:rPr>
        <w:t>The s</w:t>
      </w:r>
      <w:r>
        <w:rPr>
          <w:rFonts w:asciiTheme="minorHAnsi" w:hAnsiTheme="minorHAnsi" w:cstheme="minorHAnsi"/>
        </w:rPr>
        <w:t xml:space="preserve">cene change model is also implemented to alert </w:t>
      </w:r>
      <w:r w:rsidR="00527AC9">
        <w:rPr>
          <w:rFonts w:asciiTheme="minorHAnsi" w:hAnsiTheme="minorHAnsi" w:cstheme="minorHAnsi"/>
        </w:rPr>
        <w:t xml:space="preserve">the </w:t>
      </w:r>
      <w:r>
        <w:rPr>
          <w:rFonts w:asciiTheme="minorHAnsi" w:hAnsiTheme="minorHAnsi" w:cstheme="minorHAnsi"/>
        </w:rPr>
        <w:t>user in case of any scene change. The models can also be hosted in</w:t>
      </w:r>
      <w:r w:rsidR="00527AC9">
        <w:rPr>
          <w:rFonts w:asciiTheme="minorHAnsi" w:hAnsiTheme="minorHAnsi" w:cstheme="minorHAnsi"/>
        </w:rPr>
        <w:t xml:space="preserve"> the </w:t>
      </w:r>
      <w:r>
        <w:rPr>
          <w:rFonts w:asciiTheme="minorHAnsi" w:hAnsiTheme="minorHAnsi" w:cstheme="minorHAnsi"/>
        </w:rPr>
        <w:t xml:space="preserve">cloud and interface with </w:t>
      </w:r>
      <w:r w:rsidR="00527AC9">
        <w:rPr>
          <w:rFonts w:asciiTheme="minorHAnsi" w:hAnsiTheme="minorHAnsi" w:cstheme="minorHAnsi"/>
        </w:rPr>
        <w:t xml:space="preserve">the </w:t>
      </w:r>
      <w:r>
        <w:rPr>
          <w:rFonts w:asciiTheme="minorHAnsi" w:hAnsiTheme="minorHAnsi" w:cstheme="minorHAnsi"/>
        </w:rPr>
        <w:t>app can be provided using high bandwidth channels for optimal performance.</w:t>
      </w:r>
      <w:r w:rsidR="00C91E6E">
        <w:rPr>
          <w:rFonts w:asciiTheme="minorHAnsi" w:hAnsiTheme="minorHAnsi" w:cstheme="minorHAnsi"/>
        </w:rPr>
        <w:t xml:space="preserve"> The whole process of Visual Question Answering is shown in Figure 2. </w:t>
      </w:r>
      <w:r w:rsidR="00527AC9">
        <w:rPr>
          <w:rFonts w:asciiTheme="minorHAnsi" w:hAnsiTheme="minorHAnsi" w:cstheme="minorHAnsi"/>
        </w:rPr>
        <w:t>Here the model is run on a remote cloud server. The text and the image are transferred to the cloud and answer is obtained back to the user and converted into speech form.</w:t>
      </w:r>
    </w:p>
    <w:p w14:paraId="7E40647E" w14:textId="77777777" w:rsidR="00C91E6E" w:rsidRDefault="00C91E6E" w:rsidP="00C91E6E">
      <w:pPr>
        <w:keepNext/>
        <w:spacing w:line="276" w:lineRule="auto"/>
        <w:jc w:val="center"/>
      </w:pPr>
      <w:r>
        <w:rPr>
          <w:noProof/>
        </w:rPr>
        <w:lastRenderedPageBreak/>
        <w:drawing>
          <wp:inline distT="0" distB="0" distL="0" distR="0" wp14:anchorId="24C5798B" wp14:editId="541D672E">
            <wp:extent cx="375412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537" cy="3181249"/>
                    </a:xfrm>
                    <a:prstGeom prst="rect">
                      <a:avLst/>
                    </a:prstGeom>
                    <a:noFill/>
                    <a:ln>
                      <a:noFill/>
                    </a:ln>
                  </pic:spPr>
                </pic:pic>
              </a:graphicData>
            </a:graphic>
          </wp:inline>
        </w:drawing>
      </w:r>
    </w:p>
    <w:p w14:paraId="11E16D83" w14:textId="69DCA210" w:rsidR="00C91E6E" w:rsidRPr="00C91E6E" w:rsidRDefault="00C91E6E" w:rsidP="00C91E6E">
      <w:pPr>
        <w:pStyle w:val="Caption"/>
        <w:jc w:val="center"/>
        <w:rPr>
          <w:rFonts w:asciiTheme="minorHAnsi" w:hAnsiTheme="minorHAnsi" w:cstheme="minorHAnsi"/>
          <w:sz w:val="20"/>
          <w:szCs w:val="20"/>
        </w:rPr>
      </w:pPr>
      <w:r w:rsidRPr="00C91E6E">
        <w:rPr>
          <w:sz w:val="20"/>
          <w:szCs w:val="20"/>
        </w:rPr>
        <w:t xml:space="preserve">Figure </w:t>
      </w:r>
      <w:r w:rsidRPr="00C91E6E">
        <w:rPr>
          <w:sz w:val="20"/>
          <w:szCs w:val="20"/>
        </w:rPr>
        <w:fldChar w:fldCharType="begin"/>
      </w:r>
      <w:r w:rsidRPr="00C91E6E">
        <w:rPr>
          <w:sz w:val="20"/>
          <w:szCs w:val="20"/>
        </w:rPr>
        <w:instrText xml:space="preserve"> SEQ Figure \* ARABIC </w:instrText>
      </w:r>
      <w:r w:rsidRPr="00C91E6E">
        <w:rPr>
          <w:sz w:val="20"/>
          <w:szCs w:val="20"/>
        </w:rPr>
        <w:fldChar w:fldCharType="separate"/>
      </w:r>
      <w:r w:rsidR="00A26C81">
        <w:rPr>
          <w:noProof/>
          <w:sz w:val="20"/>
          <w:szCs w:val="20"/>
        </w:rPr>
        <w:t>2</w:t>
      </w:r>
      <w:r w:rsidRPr="00C91E6E">
        <w:rPr>
          <w:sz w:val="20"/>
          <w:szCs w:val="20"/>
        </w:rPr>
        <w:fldChar w:fldCharType="end"/>
      </w:r>
      <w:r w:rsidRPr="00C91E6E">
        <w:rPr>
          <w:sz w:val="20"/>
          <w:szCs w:val="20"/>
        </w:rPr>
        <w:t>. Visual Question Answering process</w:t>
      </w: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4E287F5F" w14:textId="070C34CB" w:rsidR="00253B05" w:rsidRPr="00A26C81" w:rsidRDefault="00180D5A" w:rsidP="00A26C81">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A26C81">
        <w:rPr>
          <w:noProof/>
          <w:sz w:val="20"/>
          <w:szCs w:val="20"/>
        </w:rPr>
        <w:t>1</w:t>
      </w:r>
      <w:r w:rsidRPr="00180D5A">
        <w:rPr>
          <w:sz w:val="20"/>
          <w:szCs w:val="20"/>
        </w:rPr>
        <w:fldChar w:fldCharType="end"/>
      </w:r>
      <w:r w:rsidRPr="00180D5A">
        <w:rPr>
          <w:sz w:val="20"/>
          <w:szCs w:val="20"/>
        </w:rPr>
        <w:t>. Evaluation metric</w:t>
      </w:r>
    </w:p>
    <w:p w14:paraId="136CA16A" w14:textId="56F4A2A2" w:rsidR="008E1247" w:rsidRDefault="008E1247" w:rsidP="008B42CA">
      <w:pPr>
        <w:spacing w:line="276" w:lineRule="auto"/>
        <w:jc w:val="both"/>
        <w:rPr>
          <w:rFonts w:asciiTheme="minorHAnsi" w:hAnsiTheme="minorHAnsi" w:cstheme="minorHAnsi"/>
        </w:rPr>
      </w:pPr>
      <w:r>
        <w:rPr>
          <w:rFonts w:asciiTheme="minorHAnsi" w:hAnsiTheme="minorHAnsi" w:cstheme="minorHAnsi"/>
        </w:rPr>
        <w:t>In the case of text summarization model, an intrinsic, content-based, n-gram evaluation is used. The model is also evaluated extrinsically on the basis of its task-specific summarization capabilities.</w:t>
      </w:r>
    </w:p>
    <w:p w14:paraId="7574ECD5" w14:textId="4E5E5195"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2D67E5FE" w14:textId="77777777" w:rsidR="00A26C81" w:rsidRDefault="00A26C81" w:rsidP="008B42CA">
      <w:pPr>
        <w:spacing w:line="276" w:lineRule="auto"/>
        <w:jc w:val="both"/>
        <w:rPr>
          <w:rFonts w:asciiTheme="minorHAnsi" w:hAnsiTheme="minorHAnsi" w:cstheme="minorHAnsi"/>
          <w:b/>
          <w:bCs/>
          <w:sz w:val="36"/>
          <w:szCs w:val="36"/>
        </w:rPr>
      </w:pPr>
    </w:p>
    <w:p w14:paraId="37FA91FF" w14:textId="3399C6AF"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23EDB409" w14:textId="2F50F2D3" w:rsidR="00A26C81" w:rsidRPr="00A26C81" w:rsidRDefault="00A26C81" w:rsidP="00A26C81">
      <w:pPr>
        <w:widowControl w:val="0"/>
        <w:autoSpaceDE w:val="0"/>
        <w:autoSpaceDN w:val="0"/>
        <w:adjustRightInd w:val="0"/>
        <w:ind w:left="640" w:hanging="640"/>
        <w:rPr>
          <w:rFonts w:ascii="Calibri" w:hAnsi="Calibri"/>
          <w:noProof/>
        </w:rPr>
      </w:pPr>
      <w:r>
        <w:rPr>
          <w:rFonts w:asciiTheme="minorHAnsi" w:hAnsiTheme="minorHAnsi" w:cstheme="minorHAnsi"/>
        </w:rPr>
        <w:fldChar w:fldCharType="begin" w:fldLock="1"/>
      </w:r>
      <w:r>
        <w:rPr>
          <w:rFonts w:asciiTheme="minorHAnsi" w:hAnsiTheme="minorHAnsi" w:cstheme="minorHAnsi"/>
        </w:rPr>
        <w:instrText xml:space="preserve">ADDIN Mendeley Bibliography CSL_BIBLIOGRAPHY </w:instrText>
      </w:r>
      <w:r>
        <w:rPr>
          <w:rFonts w:asciiTheme="minorHAnsi" w:hAnsiTheme="minorHAnsi" w:cstheme="minorHAnsi"/>
        </w:rPr>
        <w:fldChar w:fldCharType="separate"/>
      </w:r>
      <w:r w:rsidRPr="00A26C81">
        <w:rPr>
          <w:rFonts w:ascii="Calibri" w:hAnsi="Calibri"/>
          <w:noProof/>
        </w:rPr>
        <w:t>[1]</w:t>
      </w:r>
      <w:r w:rsidRPr="00A26C81">
        <w:rPr>
          <w:rFonts w:ascii="Calibri" w:hAnsi="Calibri"/>
          <w:noProof/>
        </w:rPr>
        <w:tab/>
        <w:t xml:space="preserve">D. Gurari </w:t>
      </w:r>
      <w:r w:rsidRPr="00A26C81">
        <w:rPr>
          <w:rFonts w:ascii="Calibri" w:hAnsi="Calibri"/>
          <w:i/>
          <w:iCs/>
          <w:noProof/>
        </w:rPr>
        <w:t>et al.</w:t>
      </w:r>
      <w:r w:rsidRPr="00A26C81">
        <w:rPr>
          <w:rFonts w:ascii="Calibri" w:hAnsi="Calibri"/>
          <w:noProof/>
        </w:rPr>
        <w:t xml:space="preserve">, “VizWiz Grand Challenge: Answering Visual Questions from Blind People,” in </w:t>
      </w:r>
      <w:r w:rsidRPr="00A26C81">
        <w:rPr>
          <w:rFonts w:ascii="Calibri" w:hAnsi="Calibri"/>
          <w:i/>
          <w:iCs/>
          <w:noProof/>
        </w:rPr>
        <w:t>Proceedings of the IEEE Computer Society Conference on Computer Vision and Pattern Recognition</w:t>
      </w:r>
      <w:r w:rsidRPr="00A26C81">
        <w:rPr>
          <w:rFonts w:ascii="Calibri" w:hAnsi="Calibri"/>
          <w:noProof/>
        </w:rPr>
        <w:t>, 2018.</w:t>
      </w:r>
    </w:p>
    <w:p w14:paraId="0D72D66E" w14:textId="09662974" w:rsidR="0034686C" w:rsidRPr="00180D5A" w:rsidRDefault="00A26C81" w:rsidP="008B42CA">
      <w:pPr>
        <w:spacing w:line="276" w:lineRule="auto"/>
        <w:jc w:val="both"/>
        <w:rPr>
          <w:rFonts w:asciiTheme="minorHAnsi" w:hAnsiTheme="minorHAnsi" w:cstheme="minorHAnsi"/>
        </w:rPr>
      </w:pPr>
      <w:r>
        <w:rPr>
          <w:rFonts w:asciiTheme="minorHAnsi" w:hAnsiTheme="minorHAnsi" w:cstheme="minorHAnsi"/>
        </w:rPr>
        <w:lastRenderedPageBreak/>
        <w:fldChar w:fldCharType="end"/>
      </w:r>
      <w:bookmarkStart w:id="1" w:name="_GoBack"/>
      <w:bookmarkEnd w:id="1"/>
    </w:p>
    <w:sectPr w:rsidR="0034686C" w:rsidRPr="00180D5A" w:rsidSect="004600D8">
      <w:headerReference w:type="defaul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7DD31" w14:textId="77777777" w:rsidR="00383203" w:rsidRDefault="00383203" w:rsidP="0094110A">
      <w:r>
        <w:separator/>
      </w:r>
    </w:p>
  </w:endnote>
  <w:endnote w:type="continuationSeparator" w:id="0">
    <w:p w14:paraId="777E4325" w14:textId="77777777" w:rsidR="00383203" w:rsidRDefault="00383203"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D3E5D" w14:textId="77777777" w:rsidR="00383203" w:rsidRDefault="00383203" w:rsidP="0094110A">
      <w:r>
        <w:separator/>
      </w:r>
    </w:p>
  </w:footnote>
  <w:footnote w:type="continuationSeparator" w:id="0">
    <w:p w14:paraId="35757262" w14:textId="77777777" w:rsidR="00383203" w:rsidRDefault="00383203"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316C"/>
    <w:rsid w:val="00005950"/>
    <w:rsid w:val="00027CB6"/>
    <w:rsid w:val="00067B9A"/>
    <w:rsid w:val="0007766C"/>
    <w:rsid w:val="00091926"/>
    <w:rsid w:val="000954D6"/>
    <w:rsid w:val="000A4E22"/>
    <w:rsid w:val="000B1619"/>
    <w:rsid w:val="000C1E82"/>
    <w:rsid w:val="000C2563"/>
    <w:rsid w:val="000D56DE"/>
    <w:rsid w:val="000F3F6D"/>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3203"/>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27AC9"/>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E1247"/>
    <w:rsid w:val="008F2886"/>
    <w:rsid w:val="00913E8B"/>
    <w:rsid w:val="00933AEC"/>
    <w:rsid w:val="0094110A"/>
    <w:rsid w:val="009428FB"/>
    <w:rsid w:val="00944CDB"/>
    <w:rsid w:val="00961D00"/>
    <w:rsid w:val="0097178D"/>
    <w:rsid w:val="009D0FE0"/>
    <w:rsid w:val="009D723B"/>
    <w:rsid w:val="009E200A"/>
    <w:rsid w:val="009F0145"/>
    <w:rsid w:val="009F738B"/>
    <w:rsid w:val="00A06878"/>
    <w:rsid w:val="00A120AB"/>
    <w:rsid w:val="00A26C81"/>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1533F"/>
    <w:rsid w:val="00C30EFB"/>
    <w:rsid w:val="00C36658"/>
    <w:rsid w:val="00C43328"/>
    <w:rsid w:val="00C47AA6"/>
    <w:rsid w:val="00C47BA4"/>
    <w:rsid w:val="00C57B7A"/>
    <w:rsid w:val="00C91E6E"/>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DEDC-3C5E-443D-B9E2-B0353968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935</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231</cp:revision>
  <cp:lastPrinted>2019-09-13T19:33:00Z</cp:lastPrinted>
  <dcterms:created xsi:type="dcterms:W3CDTF">2018-09-04T07:17:00Z</dcterms:created>
  <dcterms:modified xsi:type="dcterms:W3CDTF">2019-09-13T19:37:00Z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