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/>
    </w:p>
    <w:tbl>
      <w:tblPr>
        <w:tblW w:w="0" w:type="auto"/>
        <w:jc w:val=""/>
        <w:tblLayout w:type="fixed"/>
      </w:tblPr>
      <w:tblGrid>
        <w:gridCol w:w="1809"/>
        <w:gridCol w:w="1824"/>
        <w:gridCol w:w="1453"/>
        <w:gridCol w:w="1023"/>
        <w:gridCol w:w="1008"/>
        <w:gridCol w:w="1453"/>
        <w:gridCol w:w="1453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Pairwise Comparisons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shd w:color="auto" w:val="clear" w:fill="ffffff"/>
            <w:vAlign w:val="bottom"/>
            <w:vAlign w:val="bottom"/>
          </w:tcPr>
          <w:tcPr>
            <w:hMerge w:val="restart"/>
          </w:tcPr>
          <w:tcPr>
            <w:shd w:color="auto" w:val="clear" w:fill="ffffff"/>
          </w:tcPr>
          <w:tcPr>
            <w:hMerge w:val="restart"/>
          </w:tcPr>
          <w:p>
            <w:pPr>
              <w:spacing w:after="1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 xml:space="preserve">Measure: </w:t>
            </w:r>
            <w:r>
              <w:rPr>
                <w:rFonts w:ascii="Arial" w:hAnsi="Arial" w:cs="Arial" w:eastAsia="Arial"/>
                <w:sz w:val="24"/>
                <w:color w:val="010205"/>
              </w:rPr>
              <w:t>MEASURE_1</w:t>
            </w:r>
          </w:p>
        </w:tc>
        <w:tc>
          <w:tcPr>
            <w:hMerge w:val="continue"/>
          </w:tcPr>
          <w:tcPr>
            <w:hMerge w:val="continue"/>
          </w:tcPr>
          <w:p/>
        </w:tc>
        <w:tc>
          <w:tcPr>
            <w:hMerge w:val="continue"/>
          </w:tcPr>
          <w:tcPr>
            <w:hMerge w:val="continue"/>
          </w:tcPr>
          <w:p/>
        </w:tc>
        <w:tc>
          <w:tcPr>
            <w:hMerge w:val="continue"/>
          </w:tcPr>
          <w:tcPr>
            <w:hMerge w:val="continue"/>
          </w:tcPr>
          <w:p/>
        </w:tc>
        <w:tc>
          <w:tcPr>
            <w:hMerge w:val="continue"/>
          </w:tcPr>
          <w:tcPr>
            <w:hMerge w:val="continue"/>
          </w:tcPr>
          <w:p/>
        </w:tc>
        <w:tc>
          <w:tcPr>
            <w:hMerge w:val="continue"/>
          </w:tcPr>
          <w:tcPr>
            <w:hMerge w:val="continue"/>
          </w:tcPr>
          <w:p/>
        </w:tc>
        <w:tc>
          <w:tcPr>
            <w:hMerge w:val="continue"/>
          </w:tcPr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(I) MappingMethod</w:t>
            </w:r>
          </w:p>
        </w:tc>
        <w:tc>
          <w:tcPr>
            <w:vMerge w:val="restart"/>
            <w:tcBorders>
              <w:top w:val="non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(J) MappingMethod</w:t>
            </w:r>
          </w:p>
        </w:tc>
        <w:tc>
          <w:tcPr>
            <w:v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Mean Difference (I-J)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</w:t>
            </w:r>
            <w:r>
              <w:rPr>
                <w:vertAlign w:val="superscript"/>
              </w:rPr>
              <w:t>b</w:t>
            </w:r>
          </w:p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95% Confidence Interval for Difference</w:t>
            </w:r>
            <w:r>
              <w:rPr>
                <w:vertAlign w:val="superscript"/>
              </w:rPr>
              <w:t>b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righ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Lower Bound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Upper Bound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-,041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,068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,136</w:t>
            </w:r>
            <w:r>
              <w:rPr>
                <w:vertAlign w:val="superscript"/>
              </w:rPr>
              <w:t>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&lt;,001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,097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,175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1,000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-,068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,041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,123</w:t>
            </w:r>
            <w:r>
              <w:rPr>
                <w:vertAlign w:val="superscript"/>
              </w:rPr>
              <w:t>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&lt;,001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,068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,177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-,136</w:t>
            </w:r>
            <w:r>
              <w:rPr>
                <w:vertAlign w:val="superscript"/>
              </w:rPr>
              <w:t>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,015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&lt;,001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-,175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-,097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-,123</w:t>
            </w:r>
            <w:r>
              <w:rPr>
                <w:vertAlign w:val="superscript"/>
              </w:rPr>
              <w:t>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,021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&lt;,001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-,177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-,068</w:t>
            </w:r>
          </w:p>
        </w:tc>
      </w:tr>
    </w:tbl>
    <w:tbl>
      <w:tblPr>
        <w:tblW w:w="0" w:type="auto"/>
        <w:jc w:val=""/>
        <w:tblLayout w:type="fixed"/>
      </w:tblPr>
      <w:tblGrid>
        <w:gridCol w:w="1809"/>
        <w:gridCol w:w="1824"/>
        <w:gridCol w:w="1453"/>
        <w:gridCol w:w="1023"/>
        <w:gridCol w:w="1008"/>
        <w:gridCol w:w="1453"/>
        <w:gridCol w:w="1453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spacing w:after="5" w:before="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Based on estimated marginal means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*. The mean difference is significant at the ,05 level.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b. Adjustment for multiple comparisons: Bonferroni.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sectPr>
      <w:pgSz w:h="16840" w:w="11900" w:orient="portrait"/>
      <w:pgMar w:left="360" w:top="360" w:right="360" w:bottom="819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2025-06-05T11:54:09Z</dcterms:created>
  <dc:creator>IBM SPSS Statistics</dc:creator>
</cp:coreProperties>
</file>