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Reflection Live Notes</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2021-11-04</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Are other people interested in continuing this work? For this work to grow and thrive, the group of people involved needs to grow and change. What directions should it go? What are you interested in contributing?</w:t>
      </w:r>
    </w:p>
    <w:p w:rsidR="00000000" w:rsidDel="00000000" w:rsidP="00000000" w:rsidRDefault="00000000" w:rsidRPr="00000000" w14:paraId="00000005">
      <w:pPr>
        <w:numPr>
          <w:ilvl w:val="1"/>
          <w:numId w:val="1"/>
        </w:numPr>
        <w:ind w:left="1440" w:hanging="360"/>
        <w:rPr>
          <w:sz w:val="28"/>
          <w:szCs w:val="28"/>
          <w:u w:val="none"/>
        </w:rPr>
      </w:pPr>
      <w:r w:rsidDel="00000000" w:rsidR="00000000" w:rsidRPr="00000000">
        <w:rPr>
          <w:sz w:val="28"/>
          <w:szCs w:val="28"/>
          <w:rtl w:val="0"/>
        </w:rPr>
        <w:t xml:space="preserve">Yes! Absolutely. I think there a lot of ways to promote cross communication between institutions. I also think this can be done in a way to highlight voices of interest to the group, allowing for spotlights of activities which can inspire others and open up for broader collaboration. Monthly meetings might make sense, as would more firesides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What does infrastructure really mean, in terms of creating community? Whether it’s spaces, tools, technologies… what we have in our environment shapes what we talk about, who we talk to?</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We’ve started something, the seed has more than been planted. Where do people want to set up camp and hang out and work on things?</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Themes</w:t>
      </w:r>
    </w:p>
    <w:p w:rsidR="00000000" w:rsidDel="00000000" w:rsidP="00000000" w:rsidRDefault="00000000" w:rsidRPr="00000000" w14:paraId="00000009">
      <w:pPr>
        <w:numPr>
          <w:ilvl w:val="1"/>
          <w:numId w:val="1"/>
        </w:numPr>
        <w:ind w:left="1440" w:hanging="360"/>
        <w:rPr>
          <w:sz w:val="28"/>
          <w:szCs w:val="28"/>
        </w:rPr>
      </w:pPr>
      <w:r w:rsidDel="00000000" w:rsidR="00000000" w:rsidRPr="00000000">
        <w:rPr>
          <w:sz w:val="28"/>
          <w:szCs w:val="28"/>
          <w:rtl w:val="0"/>
        </w:rPr>
        <w:t xml:space="preserve">Who gets counted in our data?</w:t>
      </w:r>
    </w:p>
    <w:p w:rsidR="00000000" w:rsidDel="00000000" w:rsidP="00000000" w:rsidRDefault="00000000" w:rsidRPr="00000000" w14:paraId="0000000A">
      <w:pPr>
        <w:numPr>
          <w:ilvl w:val="1"/>
          <w:numId w:val="1"/>
        </w:numPr>
        <w:ind w:left="1440" w:hanging="360"/>
        <w:rPr>
          <w:sz w:val="28"/>
          <w:szCs w:val="28"/>
        </w:rPr>
      </w:pPr>
      <w:r w:rsidDel="00000000" w:rsidR="00000000" w:rsidRPr="00000000">
        <w:rPr>
          <w:sz w:val="28"/>
          <w:szCs w:val="28"/>
          <w:rtl w:val="0"/>
        </w:rPr>
        <w:t xml:space="preserve">What audiences are we designing (our visualizations, tools, instructional content) for?</w:t>
      </w:r>
    </w:p>
    <w:p w:rsidR="00000000" w:rsidDel="00000000" w:rsidP="00000000" w:rsidRDefault="00000000" w:rsidRPr="00000000" w14:paraId="0000000B">
      <w:pPr>
        <w:numPr>
          <w:ilvl w:val="1"/>
          <w:numId w:val="1"/>
        </w:numPr>
        <w:ind w:left="1440" w:hanging="360"/>
        <w:rPr>
          <w:sz w:val="28"/>
          <w:szCs w:val="28"/>
        </w:rPr>
      </w:pPr>
      <w:r w:rsidDel="00000000" w:rsidR="00000000" w:rsidRPr="00000000">
        <w:rPr>
          <w:sz w:val="28"/>
          <w:szCs w:val="28"/>
          <w:rtl w:val="0"/>
        </w:rPr>
        <w:t xml:space="preserve">How do we organize / resource the work we do in libraries?</w:t>
      </w:r>
    </w:p>
    <w:p w:rsidR="00000000" w:rsidDel="00000000" w:rsidP="00000000" w:rsidRDefault="00000000" w:rsidRPr="00000000" w14:paraId="0000000C">
      <w:pPr>
        <w:numPr>
          <w:ilvl w:val="1"/>
          <w:numId w:val="1"/>
        </w:numPr>
        <w:ind w:left="1440" w:hanging="360"/>
        <w:rPr>
          <w:sz w:val="28"/>
          <w:szCs w:val="28"/>
        </w:rPr>
      </w:pPr>
      <w:r w:rsidDel="00000000" w:rsidR="00000000" w:rsidRPr="00000000">
        <w:rPr>
          <w:sz w:val="28"/>
          <w:szCs w:val="28"/>
          <w:rtl w:val="0"/>
        </w:rPr>
        <w:t xml:space="preserve">How do we stay connected to others doing similar work?</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What is it that makes this community unique and different from other communities working on visualization and mapping? Compared to, say, Data Visualization Society, which doesn’t seem as tied to the library/academic community. What values can we connect to? What ethical commitments do we hold that make our approach unique?</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Ethics and code of conduct for the profession? </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There are so many people who came out for these sessions. The community and sense of what it means to be in this field is growing. There are opportunities for us to work together to continue adding ideas to these recommended practices for data visualisation best practices</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How can we keep learning, keep delving deeply into new issues?</w:t>
      </w:r>
    </w:p>
    <w:p w:rsidR="00000000" w:rsidDel="00000000" w:rsidP="00000000" w:rsidRDefault="00000000" w:rsidRPr="00000000" w14:paraId="00000011">
      <w:pPr>
        <w:numPr>
          <w:ilvl w:val="1"/>
          <w:numId w:val="1"/>
        </w:numPr>
        <w:ind w:left="1440" w:hanging="360"/>
        <w:rPr>
          <w:sz w:val="28"/>
          <w:szCs w:val="28"/>
          <w:u w:val="none"/>
        </w:rPr>
      </w:pPr>
      <w:r w:rsidDel="00000000" w:rsidR="00000000" w:rsidRPr="00000000">
        <w:rPr>
          <w:sz w:val="28"/>
          <w:szCs w:val="28"/>
          <w:rtl w:val="0"/>
        </w:rPr>
        <w:t xml:space="preserve">PhD?</w:t>
      </w:r>
    </w:p>
    <w:p w:rsidR="00000000" w:rsidDel="00000000" w:rsidP="00000000" w:rsidRDefault="00000000" w:rsidRPr="00000000" w14:paraId="00000012">
      <w:pPr>
        <w:numPr>
          <w:ilvl w:val="1"/>
          <w:numId w:val="1"/>
        </w:numPr>
        <w:ind w:left="1440" w:hanging="360"/>
        <w:rPr>
          <w:sz w:val="28"/>
          <w:szCs w:val="28"/>
          <w:u w:val="none"/>
        </w:rPr>
      </w:pPr>
      <w:r w:rsidDel="00000000" w:rsidR="00000000" w:rsidRPr="00000000">
        <w:rPr>
          <w:sz w:val="28"/>
          <w:szCs w:val="28"/>
          <w:rtl w:val="0"/>
        </w:rPr>
        <w:t xml:space="preserve">Auditing courses?</w:t>
      </w:r>
    </w:p>
    <w:p w:rsidR="00000000" w:rsidDel="00000000" w:rsidP="00000000" w:rsidRDefault="00000000" w:rsidRPr="00000000" w14:paraId="00000013">
      <w:pPr>
        <w:numPr>
          <w:ilvl w:val="1"/>
          <w:numId w:val="1"/>
        </w:numPr>
        <w:ind w:left="1440" w:hanging="360"/>
        <w:rPr>
          <w:sz w:val="28"/>
          <w:szCs w:val="28"/>
          <w:u w:val="none"/>
        </w:rPr>
      </w:pPr>
      <w:r w:rsidDel="00000000" w:rsidR="00000000" w:rsidRPr="00000000">
        <w:rPr>
          <w:sz w:val="28"/>
          <w:szCs w:val="28"/>
          <w:rtl w:val="0"/>
        </w:rPr>
        <w:t xml:space="preserve">Sabbaticals? Educational leave?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For playlist Marvin Gaye’s Got to Give it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