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ACUERDO DE CONFIDENCIALIDAD (NDA)</w:t>
      </w:r>
    </w:p>
    <w:p>
      <w:r>
        <w:t>Entre FUNDADOR 1, FUNDADOR 2 y cualquier tercero que se adhiera (las “Partes”), con fecha ___ de __________ de 2025.</w:t>
      </w:r>
    </w:p>
    <w:p>
      <w:pPr>
        <w:pStyle w:val="Heading2"/>
      </w:pPr>
      <w:r>
        <w:t>1. Información Confidencial</w:t>
      </w:r>
    </w:p>
    <w:p>
      <w:r>
        <w:t>Incluye código, prototipos, planes de negocio y datos de clientes.</w:t>
      </w:r>
    </w:p>
    <w:p>
      <w:pPr>
        <w:pStyle w:val="Heading2"/>
      </w:pPr>
      <w:r>
        <w:t>2. Obligaciones</w:t>
      </w:r>
    </w:p>
    <w:p>
      <w:r>
        <w:t>La información se usará sólo para la cooperación y no se divulgará sin permiso escrito.</w:t>
      </w:r>
    </w:p>
    <w:p>
      <w:pPr>
        <w:pStyle w:val="Heading2"/>
      </w:pPr>
      <w:r>
        <w:t>3. Excepciones</w:t>
      </w:r>
    </w:p>
    <w:p>
      <w:r>
        <w:t>No confidencial: dominio público, posesión previa legítima o requerimiento judicial.</w:t>
      </w:r>
    </w:p>
    <w:p>
      <w:pPr>
        <w:pStyle w:val="Heading2"/>
      </w:pPr>
      <w:r>
        <w:t>4. Vigencia</w:t>
      </w:r>
    </w:p>
    <w:p>
      <w:r>
        <w:t>Obligaciones vigentes por 5 años desde la última divulgación.</w:t>
      </w:r>
    </w:p>
    <w:p>
      <w:pPr>
        <w:pStyle w:val="Heading2"/>
      </w:pPr>
      <w:r>
        <w:t>5. Ley y Arbitraje</w:t>
      </w:r>
    </w:p>
    <w:p>
      <w:r>
        <w:t>Ley argentina. Arbitraje en CABA.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