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F91" w:rsidRPr="0098708B" w:rsidRDefault="00E87F91" w:rsidP="00227C85">
      <w:pPr>
        <w:spacing w:line="240" w:lineRule="auto"/>
        <w:jc w:val="center"/>
        <w:rPr>
          <w:rFonts w:ascii="Times New Roman" w:hAnsi="Times New Roman" w:cs="Times New Roman"/>
          <w:bCs/>
          <w:sz w:val="48"/>
          <w:szCs w:val="40"/>
        </w:rPr>
      </w:pPr>
      <w:r w:rsidRPr="0098708B">
        <w:rPr>
          <w:rFonts w:ascii="Times New Roman" w:hAnsi="Times New Roman" w:cs="Times New Roman"/>
          <w:bCs/>
          <w:sz w:val="48"/>
          <w:szCs w:val="40"/>
        </w:rPr>
        <w:t>Analysis of GAMIFICATION in E-COMMERCE using SWOT-AHP</w:t>
      </w:r>
    </w:p>
    <w:p w:rsidR="008B3BFC" w:rsidRPr="008B3BFC" w:rsidRDefault="008B3BFC" w:rsidP="00227C85">
      <w:pPr>
        <w:keepNext/>
        <w:suppressAutoHyphens/>
        <w:spacing w:after="160" w:line="240" w:lineRule="auto"/>
        <w:jc w:val="center"/>
        <w:rPr>
          <w:rFonts w:ascii="Times New Roman" w:eastAsia="Calibri" w:hAnsi="Times New Roman" w:cs="Times New Roman"/>
          <w:noProof/>
          <w:sz w:val="28"/>
          <w:vertAlign w:val="superscript"/>
          <w:lang w:val="en-US"/>
        </w:rPr>
      </w:pPr>
      <w:r>
        <w:rPr>
          <w:rFonts w:ascii="Times New Roman" w:eastAsia="Calibri" w:hAnsi="Times New Roman" w:cs="Times New Roman"/>
          <w:noProof/>
          <w:sz w:val="28"/>
          <w:lang w:val="en-US"/>
        </w:rPr>
        <w:t>Ramya R.</w:t>
      </w:r>
      <w:r w:rsidRPr="008B3BFC">
        <w:rPr>
          <w:rFonts w:ascii="Times New Roman" w:eastAsia="Calibri" w:hAnsi="Times New Roman" w:cs="Times New Roman"/>
          <w:noProof/>
          <w:sz w:val="28"/>
          <w:lang w:val="en-US"/>
        </w:rPr>
        <w:t xml:space="preserve"> </w:t>
      </w:r>
      <w:r w:rsidRPr="008B3BFC">
        <w:rPr>
          <w:rFonts w:ascii="Times New Roman" w:eastAsia="Calibri" w:hAnsi="Times New Roman" w:cs="Times New Roman"/>
          <w:noProof/>
          <w:sz w:val="28"/>
          <w:vertAlign w:val="superscript"/>
          <w:lang w:val="en-US"/>
        </w:rPr>
        <w:t>1</w:t>
      </w:r>
      <w:r w:rsidRPr="008B3BFC">
        <w:rPr>
          <w:rFonts w:ascii="Times New Roman" w:eastAsia="Calibri" w:hAnsi="Times New Roman" w:cs="Times New Roman"/>
          <w:noProof/>
          <w:sz w:val="28"/>
          <w:lang w:val="en-US"/>
        </w:rPr>
        <w:t>,</w:t>
      </w:r>
      <w:r w:rsidRPr="008B3BFC">
        <w:rPr>
          <w:rFonts w:ascii="Times New Roman" w:eastAsia="Times New Roman" w:hAnsi="Times New Roman" w:cs="Arial"/>
          <w:sz w:val="24"/>
          <w:szCs w:val="20"/>
          <w:lang w:val="en-IN" w:eastAsia="en-IN" w:bidi="ta-IN"/>
        </w:rPr>
        <w:t xml:space="preserve"> </w:t>
      </w:r>
      <w:r w:rsidRPr="008B3BFC">
        <w:rPr>
          <w:rFonts w:ascii="Times New Roman" w:eastAsia="Calibri" w:hAnsi="Times New Roman" w:cs="Times New Roman"/>
          <w:noProof/>
          <w:sz w:val="28"/>
          <w:lang w:val="en-IN"/>
        </w:rPr>
        <w:t>Visveshwar Nagarajan</w:t>
      </w:r>
      <w:r>
        <w:rPr>
          <w:rFonts w:ascii="Times New Roman" w:eastAsia="Calibri" w:hAnsi="Times New Roman" w:cs="Times New Roman"/>
          <w:noProof/>
          <w:sz w:val="28"/>
          <w:lang w:val="en-US"/>
        </w:rPr>
        <w:t xml:space="preserve"> </w:t>
      </w:r>
      <w:r w:rsidRPr="008B3BFC">
        <w:rPr>
          <w:rFonts w:ascii="Times New Roman" w:eastAsia="Calibri" w:hAnsi="Times New Roman" w:cs="Times New Roman"/>
          <w:noProof/>
          <w:sz w:val="28"/>
          <w:vertAlign w:val="superscript"/>
          <w:lang w:val="en-US"/>
        </w:rPr>
        <w:t>2</w:t>
      </w:r>
      <w:r w:rsidRPr="008B3BFC">
        <w:rPr>
          <w:rFonts w:ascii="Times New Roman" w:eastAsia="Calibri" w:hAnsi="Times New Roman" w:cs="Times New Roman"/>
          <w:noProof/>
          <w:sz w:val="28"/>
          <w:lang w:val="en-US"/>
        </w:rPr>
        <w:t xml:space="preserve">, </w:t>
      </w:r>
      <w:r w:rsidRPr="008B3BFC">
        <w:rPr>
          <w:rFonts w:ascii="Times New Roman" w:eastAsia="Calibri" w:hAnsi="Times New Roman" w:cs="Times New Roman"/>
          <w:noProof/>
          <w:sz w:val="28"/>
          <w:lang w:val="en-IN"/>
        </w:rPr>
        <w:t>Raghuveer Lalitha Sridhar</w:t>
      </w:r>
      <w:r w:rsidRPr="008B3BFC">
        <w:rPr>
          <w:rFonts w:ascii="Times New Roman" w:eastAsia="Calibri" w:hAnsi="Times New Roman" w:cs="Times New Roman"/>
          <w:noProof/>
          <w:sz w:val="28"/>
          <w:vertAlign w:val="superscript"/>
          <w:lang w:val="en-US"/>
        </w:rPr>
        <w:t xml:space="preserve"> </w:t>
      </w:r>
      <w:r w:rsidRPr="008B3BFC">
        <w:rPr>
          <w:rFonts w:ascii="Times New Roman" w:eastAsia="Calibri" w:hAnsi="Times New Roman" w:cs="Times New Roman"/>
          <w:noProof/>
          <w:sz w:val="28"/>
          <w:vertAlign w:val="superscript"/>
          <w:lang w:val="en-US"/>
        </w:rPr>
        <w:t>3</w:t>
      </w:r>
      <w:r>
        <w:rPr>
          <w:rFonts w:ascii="Times New Roman" w:eastAsia="Calibri" w:hAnsi="Times New Roman" w:cs="Times New Roman"/>
          <w:noProof/>
          <w:sz w:val="28"/>
          <w:lang w:val="en-US"/>
        </w:rPr>
        <w:t xml:space="preserve">, </w:t>
      </w:r>
      <w:r w:rsidRPr="008B3BFC">
        <w:rPr>
          <w:rFonts w:ascii="Times New Roman" w:eastAsia="Calibri" w:hAnsi="Times New Roman" w:cs="Times New Roman"/>
          <w:noProof/>
          <w:sz w:val="28"/>
          <w:lang w:val="en-IN"/>
        </w:rPr>
        <w:t>Joel Thomas Rathnesh</w:t>
      </w:r>
      <w:r>
        <w:rPr>
          <w:rFonts w:ascii="Times New Roman" w:eastAsia="Calibri" w:hAnsi="Times New Roman" w:cs="Times New Roman"/>
          <w:noProof/>
          <w:sz w:val="28"/>
          <w:lang w:val="en-IN"/>
        </w:rPr>
        <w:t xml:space="preserve"> </w:t>
      </w:r>
      <w:r>
        <w:rPr>
          <w:rFonts w:ascii="Times New Roman" w:eastAsia="Calibri" w:hAnsi="Times New Roman" w:cs="Times New Roman"/>
          <w:noProof/>
          <w:sz w:val="28"/>
          <w:vertAlign w:val="superscript"/>
          <w:lang w:val="en-IN"/>
        </w:rPr>
        <w:t>4</w:t>
      </w:r>
      <w:r>
        <w:rPr>
          <w:rFonts w:ascii="Times New Roman" w:eastAsia="Calibri" w:hAnsi="Times New Roman" w:cs="Times New Roman"/>
          <w:noProof/>
          <w:sz w:val="28"/>
          <w:lang w:val="en-IN"/>
        </w:rPr>
        <w:t xml:space="preserve">, </w:t>
      </w:r>
      <w:r w:rsidRPr="008B3BFC">
        <w:rPr>
          <w:rFonts w:ascii="Times New Roman" w:eastAsia="Calibri" w:hAnsi="Times New Roman" w:cs="Times New Roman"/>
          <w:noProof/>
          <w:sz w:val="28"/>
          <w:lang w:val="en-IN"/>
        </w:rPr>
        <w:t xml:space="preserve">Vimal </w:t>
      </w:r>
      <w:r>
        <w:rPr>
          <w:rFonts w:ascii="Times New Roman" w:eastAsia="Calibri" w:hAnsi="Times New Roman" w:cs="Times New Roman"/>
          <w:noProof/>
          <w:sz w:val="28"/>
          <w:lang w:val="en-IN"/>
        </w:rPr>
        <w:t xml:space="preserve">Samsingh </w:t>
      </w:r>
      <w:r>
        <w:rPr>
          <w:rFonts w:ascii="Times New Roman" w:eastAsia="Calibri" w:hAnsi="Times New Roman" w:cs="Times New Roman"/>
          <w:noProof/>
          <w:sz w:val="28"/>
          <w:vertAlign w:val="superscript"/>
          <w:lang w:val="en-IN"/>
        </w:rPr>
        <w:t>5</w:t>
      </w:r>
    </w:p>
    <w:p w:rsidR="008B3BFC" w:rsidRPr="008B3BFC" w:rsidRDefault="008B3BFC" w:rsidP="00227C85">
      <w:pPr>
        <w:suppressAutoHyphens/>
        <w:spacing w:after="0" w:line="240" w:lineRule="auto"/>
        <w:jc w:val="center"/>
        <w:rPr>
          <w:rFonts w:ascii="Times New Roman" w:eastAsia="Calibri" w:hAnsi="Times New Roman" w:cs="Times New Roman"/>
          <w:i/>
          <w:noProof/>
          <w:lang w:val="en-IN"/>
        </w:rPr>
      </w:pPr>
      <w:r w:rsidRPr="008B3BFC">
        <w:rPr>
          <w:rFonts w:ascii="Times New Roman" w:eastAsia="Calibri" w:hAnsi="Times New Roman" w:cs="Times New Roman"/>
          <w:i/>
          <w:noProof/>
          <w:vertAlign w:val="superscript"/>
          <w:lang w:val="en-US"/>
        </w:rPr>
        <w:t>1</w:t>
      </w:r>
      <w:r w:rsidRPr="008B3BFC">
        <w:rPr>
          <w:rFonts w:ascii="Times New Roman" w:eastAsia="Calibri" w:hAnsi="Times New Roman" w:cs="Times New Roman"/>
          <w:i/>
          <w:noProof/>
          <w:lang w:val="en-IN"/>
        </w:rPr>
        <w:t>Undergraduate Student in Mechanical Engineering, Sri Sivasubramaniya Nadar College of Engineering, Chennai,</w:t>
      </w:r>
      <w:r>
        <w:rPr>
          <w:rFonts w:ascii="Times New Roman" w:eastAsia="Calibri" w:hAnsi="Times New Roman" w:cs="Times New Roman"/>
          <w:i/>
          <w:noProof/>
          <w:lang w:val="en-IN"/>
        </w:rPr>
        <w:t xml:space="preserve"> </w:t>
      </w:r>
      <w:r w:rsidRPr="008B3BFC">
        <w:rPr>
          <w:rFonts w:ascii="Times New Roman" w:eastAsia="Calibri" w:hAnsi="Times New Roman" w:cs="Times New Roman"/>
          <w:i/>
          <w:noProof/>
          <w:lang w:val="en-IN"/>
        </w:rPr>
        <w:t>India.</w:t>
      </w:r>
      <w:r>
        <w:rPr>
          <w:rFonts w:ascii="Times New Roman" w:eastAsia="Calibri" w:hAnsi="Times New Roman" w:cs="Times New Roman"/>
          <w:i/>
          <w:noProof/>
          <w:lang w:val="en-IN"/>
        </w:rPr>
        <w:t xml:space="preserve"> (ramya13082@mech.ssn.edu.in)</w:t>
      </w:r>
    </w:p>
    <w:p w:rsidR="008B3BFC" w:rsidRDefault="0098708B" w:rsidP="00227C85">
      <w:pPr>
        <w:suppressAutoHyphens/>
        <w:spacing w:after="0" w:line="240" w:lineRule="auto"/>
        <w:jc w:val="center"/>
        <w:rPr>
          <w:rFonts w:ascii="Times New Roman" w:eastAsia="Calibri" w:hAnsi="Times New Roman" w:cs="Times New Roman"/>
          <w:i/>
          <w:noProof/>
          <w:lang w:val="en-IN"/>
        </w:rPr>
      </w:pPr>
      <w:r>
        <w:rPr>
          <w:rFonts w:ascii="Times New Roman" w:eastAsia="Calibri" w:hAnsi="Times New Roman" w:cs="Times New Roman"/>
          <w:i/>
          <w:noProof/>
          <w:vertAlign w:val="superscript"/>
          <w:lang w:val="en-US"/>
        </w:rPr>
        <w:t>2</w:t>
      </w:r>
      <w:r w:rsidR="008B3BFC" w:rsidRPr="008B3BFC">
        <w:rPr>
          <w:rFonts w:ascii="Times New Roman" w:eastAsia="Calibri" w:hAnsi="Times New Roman" w:cs="Times New Roman"/>
          <w:i/>
          <w:noProof/>
          <w:lang w:val="en-IN"/>
        </w:rPr>
        <w:t>Undergraduate Student in Mechanical Engineering, Sri Sivasubramaniya Nadar College of Engineering, Chennai,</w:t>
      </w:r>
      <w:r w:rsidR="008B3BFC">
        <w:rPr>
          <w:rFonts w:ascii="Times New Roman" w:eastAsia="Calibri" w:hAnsi="Times New Roman" w:cs="Times New Roman"/>
          <w:i/>
          <w:noProof/>
          <w:lang w:val="en-IN"/>
        </w:rPr>
        <w:t xml:space="preserve"> </w:t>
      </w:r>
      <w:r w:rsidR="008B3BFC" w:rsidRPr="008B3BFC">
        <w:rPr>
          <w:rFonts w:ascii="Times New Roman" w:eastAsia="Calibri" w:hAnsi="Times New Roman" w:cs="Times New Roman"/>
          <w:i/>
          <w:noProof/>
          <w:lang w:val="en-IN"/>
        </w:rPr>
        <w:t>India.</w:t>
      </w:r>
      <w:r w:rsidR="008B3BFC">
        <w:rPr>
          <w:rFonts w:ascii="Times New Roman" w:eastAsia="Calibri" w:hAnsi="Times New Roman" w:cs="Times New Roman"/>
          <w:i/>
          <w:noProof/>
          <w:lang w:val="en-IN"/>
        </w:rPr>
        <w:t xml:space="preserve"> (</w:t>
      </w:r>
      <w:r w:rsidR="008B3BFC" w:rsidRPr="008B3BFC">
        <w:rPr>
          <w:rFonts w:ascii="Times New Roman" w:eastAsia="Calibri" w:hAnsi="Times New Roman" w:cs="Times New Roman"/>
          <w:i/>
          <w:noProof/>
          <w:lang w:val="en-IN"/>
        </w:rPr>
        <w:t>visveshwar13124@mech.ssn.edu.in</w:t>
      </w:r>
      <w:r w:rsidR="008B3BFC">
        <w:rPr>
          <w:rFonts w:ascii="Times New Roman" w:eastAsia="Calibri" w:hAnsi="Times New Roman" w:cs="Times New Roman"/>
          <w:i/>
          <w:noProof/>
          <w:lang w:val="en-IN"/>
        </w:rPr>
        <w:t>)</w:t>
      </w:r>
    </w:p>
    <w:p w:rsidR="008B3BFC" w:rsidRPr="008B3BFC" w:rsidRDefault="0098708B" w:rsidP="00227C85">
      <w:pPr>
        <w:suppressAutoHyphens/>
        <w:spacing w:after="0" w:line="240" w:lineRule="auto"/>
        <w:jc w:val="center"/>
        <w:rPr>
          <w:rFonts w:ascii="Times New Roman" w:eastAsia="Calibri" w:hAnsi="Times New Roman" w:cs="Times New Roman"/>
          <w:i/>
          <w:noProof/>
          <w:lang w:val="en-IN"/>
        </w:rPr>
      </w:pPr>
      <w:r>
        <w:rPr>
          <w:rFonts w:ascii="Times New Roman" w:eastAsia="Calibri" w:hAnsi="Times New Roman" w:cs="Times New Roman"/>
          <w:i/>
          <w:noProof/>
          <w:vertAlign w:val="superscript"/>
          <w:lang w:val="en-US"/>
        </w:rPr>
        <w:t>3</w:t>
      </w:r>
      <w:r w:rsidR="008B3BFC" w:rsidRPr="008B3BFC">
        <w:rPr>
          <w:rFonts w:ascii="Times New Roman" w:eastAsia="Calibri" w:hAnsi="Times New Roman" w:cs="Times New Roman"/>
          <w:i/>
          <w:noProof/>
          <w:lang w:val="en-IN"/>
        </w:rPr>
        <w:t>Undergraduate Student in Mechanical Engineering, Sri Sivasubramaniya Nadar College of Engineering, Chennai,</w:t>
      </w:r>
      <w:r w:rsidR="008B3BFC">
        <w:rPr>
          <w:rFonts w:ascii="Times New Roman" w:eastAsia="Calibri" w:hAnsi="Times New Roman" w:cs="Times New Roman"/>
          <w:i/>
          <w:noProof/>
          <w:lang w:val="en-IN"/>
        </w:rPr>
        <w:t xml:space="preserve"> </w:t>
      </w:r>
      <w:r w:rsidR="008B3BFC" w:rsidRPr="008B3BFC">
        <w:rPr>
          <w:rFonts w:ascii="Times New Roman" w:eastAsia="Calibri" w:hAnsi="Times New Roman" w:cs="Times New Roman"/>
          <w:i/>
          <w:noProof/>
          <w:lang w:val="en-IN"/>
        </w:rPr>
        <w:t>India.</w:t>
      </w:r>
      <w:r w:rsidR="008B3BFC">
        <w:rPr>
          <w:rFonts w:ascii="Times New Roman" w:eastAsia="Calibri" w:hAnsi="Times New Roman" w:cs="Times New Roman"/>
          <w:i/>
          <w:noProof/>
          <w:lang w:val="en-IN"/>
        </w:rPr>
        <w:t xml:space="preserve"> (ra</w:t>
      </w:r>
      <w:r w:rsidR="008B3BFC">
        <w:rPr>
          <w:rFonts w:ascii="Times New Roman" w:eastAsia="Calibri" w:hAnsi="Times New Roman" w:cs="Times New Roman"/>
          <w:i/>
          <w:noProof/>
          <w:lang w:val="en-IN"/>
        </w:rPr>
        <w:t>ghuveer13075</w:t>
      </w:r>
      <w:r w:rsidR="008B3BFC">
        <w:rPr>
          <w:rFonts w:ascii="Times New Roman" w:eastAsia="Calibri" w:hAnsi="Times New Roman" w:cs="Times New Roman"/>
          <w:i/>
          <w:noProof/>
          <w:lang w:val="en-IN"/>
        </w:rPr>
        <w:t>@mech.ssn.edu.in)</w:t>
      </w:r>
    </w:p>
    <w:p w:rsidR="008B3BFC" w:rsidRPr="008B3BFC" w:rsidRDefault="0098708B" w:rsidP="00227C85">
      <w:pPr>
        <w:suppressAutoHyphens/>
        <w:spacing w:after="0" w:line="240" w:lineRule="auto"/>
        <w:jc w:val="center"/>
        <w:rPr>
          <w:rFonts w:ascii="Times New Roman" w:eastAsia="Calibri" w:hAnsi="Times New Roman" w:cs="Times New Roman"/>
          <w:i/>
          <w:noProof/>
          <w:lang w:val="en-IN"/>
        </w:rPr>
      </w:pPr>
      <w:r>
        <w:rPr>
          <w:rFonts w:ascii="Times New Roman" w:eastAsia="Calibri" w:hAnsi="Times New Roman" w:cs="Times New Roman"/>
          <w:i/>
          <w:noProof/>
          <w:vertAlign w:val="superscript"/>
          <w:lang w:val="en-US"/>
        </w:rPr>
        <w:t>4</w:t>
      </w:r>
      <w:r w:rsidR="008B3BFC" w:rsidRPr="008B3BFC">
        <w:rPr>
          <w:rFonts w:ascii="Times New Roman" w:eastAsia="Calibri" w:hAnsi="Times New Roman" w:cs="Times New Roman"/>
          <w:i/>
          <w:noProof/>
          <w:lang w:val="en-IN"/>
        </w:rPr>
        <w:t>Undergraduate Student in Mechanical Engineering, Sri Sivasubramaniya Nadar College of Engineering, Chennai,</w:t>
      </w:r>
      <w:r w:rsidR="008B3BFC">
        <w:rPr>
          <w:rFonts w:ascii="Times New Roman" w:eastAsia="Calibri" w:hAnsi="Times New Roman" w:cs="Times New Roman"/>
          <w:i/>
          <w:noProof/>
          <w:lang w:val="en-IN"/>
        </w:rPr>
        <w:t xml:space="preserve"> </w:t>
      </w:r>
      <w:r w:rsidR="008B3BFC" w:rsidRPr="008B3BFC">
        <w:rPr>
          <w:rFonts w:ascii="Times New Roman" w:eastAsia="Calibri" w:hAnsi="Times New Roman" w:cs="Times New Roman"/>
          <w:i/>
          <w:noProof/>
          <w:lang w:val="en-IN"/>
        </w:rPr>
        <w:t>India.</w:t>
      </w:r>
      <w:r w:rsidR="008B3BFC">
        <w:rPr>
          <w:rFonts w:ascii="Times New Roman" w:eastAsia="Calibri" w:hAnsi="Times New Roman" w:cs="Times New Roman"/>
          <w:i/>
          <w:noProof/>
          <w:lang w:val="en-IN"/>
        </w:rPr>
        <w:t xml:space="preserve"> (</w:t>
      </w:r>
      <w:r w:rsidRPr="0098708B">
        <w:rPr>
          <w:rFonts w:ascii="Times New Roman" w:eastAsia="Calibri" w:hAnsi="Times New Roman" w:cs="Times New Roman"/>
          <w:i/>
          <w:noProof/>
          <w:lang w:val="en-IN"/>
        </w:rPr>
        <w:t>joel13042@mech.ssn.edu.in</w:t>
      </w:r>
      <w:r w:rsidR="008B3BFC">
        <w:rPr>
          <w:rFonts w:ascii="Times New Roman" w:eastAsia="Calibri" w:hAnsi="Times New Roman" w:cs="Times New Roman"/>
          <w:i/>
          <w:noProof/>
          <w:lang w:val="en-IN"/>
        </w:rPr>
        <w:t>)</w:t>
      </w:r>
    </w:p>
    <w:p w:rsidR="008B3BFC" w:rsidRPr="008B3BFC" w:rsidRDefault="0098708B" w:rsidP="00227C85">
      <w:pPr>
        <w:suppressAutoHyphens/>
        <w:spacing w:after="0" w:line="240" w:lineRule="auto"/>
        <w:jc w:val="center"/>
        <w:rPr>
          <w:rFonts w:ascii="Times New Roman" w:eastAsia="Calibri" w:hAnsi="Times New Roman" w:cs="Times New Roman"/>
          <w:i/>
          <w:noProof/>
          <w:lang w:val="en-IN"/>
        </w:rPr>
      </w:pPr>
      <w:r>
        <w:rPr>
          <w:rFonts w:ascii="Times New Roman" w:eastAsia="Calibri" w:hAnsi="Times New Roman" w:cs="Times New Roman"/>
          <w:i/>
          <w:noProof/>
          <w:vertAlign w:val="superscript"/>
          <w:lang w:val="en-US"/>
        </w:rPr>
        <w:t>5</w:t>
      </w:r>
      <w:r>
        <w:rPr>
          <w:rFonts w:ascii="Times New Roman" w:eastAsia="Calibri" w:hAnsi="Times New Roman" w:cs="Times New Roman"/>
          <w:i/>
          <w:noProof/>
          <w:lang w:val="en-IN"/>
        </w:rPr>
        <w:t>Assistant Professor</w:t>
      </w:r>
      <w:r w:rsidR="008B3BFC" w:rsidRPr="008B3BFC">
        <w:rPr>
          <w:rFonts w:ascii="Times New Roman" w:eastAsia="Calibri" w:hAnsi="Times New Roman" w:cs="Times New Roman"/>
          <w:i/>
          <w:noProof/>
          <w:lang w:val="en-IN"/>
        </w:rPr>
        <w:t xml:space="preserve"> in Mechanical Engineering, Sri Sivasubramaniya Nadar College of Engineering, Chennai,</w:t>
      </w:r>
      <w:r w:rsidR="008B3BFC">
        <w:rPr>
          <w:rFonts w:ascii="Times New Roman" w:eastAsia="Calibri" w:hAnsi="Times New Roman" w:cs="Times New Roman"/>
          <w:i/>
          <w:noProof/>
          <w:lang w:val="en-IN"/>
        </w:rPr>
        <w:t xml:space="preserve"> </w:t>
      </w:r>
      <w:r w:rsidR="008B3BFC" w:rsidRPr="008B3BFC">
        <w:rPr>
          <w:rFonts w:ascii="Times New Roman" w:eastAsia="Calibri" w:hAnsi="Times New Roman" w:cs="Times New Roman"/>
          <w:i/>
          <w:noProof/>
          <w:lang w:val="en-IN"/>
        </w:rPr>
        <w:t>India.</w:t>
      </w:r>
      <w:r w:rsidR="008B3BFC">
        <w:rPr>
          <w:rFonts w:ascii="Times New Roman" w:eastAsia="Calibri" w:hAnsi="Times New Roman" w:cs="Times New Roman"/>
          <w:i/>
          <w:noProof/>
          <w:lang w:val="en-IN"/>
        </w:rPr>
        <w:t xml:space="preserve"> </w:t>
      </w:r>
      <w:r>
        <w:rPr>
          <w:rFonts w:ascii="Times New Roman" w:eastAsia="Calibri" w:hAnsi="Times New Roman" w:cs="Times New Roman"/>
          <w:i/>
          <w:noProof/>
          <w:lang w:val="en-IN"/>
        </w:rPr>
        <w:t>(</w:t>
      </w:r>
      <w:r w:rsidRPr="0098708B">
        <w:rPr>
          <w:rFonts w:ascii="Times New Roman" w:eastAsia="Calibri" w:hAnsi="Times New Roman" w:cs="Times New Roman"/>
          <w:i/>
          <w:noProof/>
          <w:lang w:val="en-IN"/>
        </w:rPr>
        <w:t>vimalsamsinghr@ssn.edu.in</w:t>
      </w:r>
      <w:r w:rsidR="008B3BFC">
        <w:rPr>
          <w:rFonts w:ascii="Times New Roman" w:eastAsia="Calibri" w:hAnsi="Times New Roman" w:cs="Times New Roman"/>
          <w:i/>
          <w:noProof/>
          <w:lang w:val="en-IN"/>
        </w:rPr>
        <w:t>)</w:t>
      </w:r>
    </w:p>
    <w:p w:rsidR="008B3BFC" w:rsidRDefault="008B3BFC" w:rsidP="00227C85">
      <w:pPr>
        <w:spacing w:line="240" w:lineRule="auto"/>
        <w:jc w:val="center"/>
        <w:rPr>
          <w:rFonts w:ascii="Times New Roman" w:hAnsi="Times New Roman" w:cs="Times New Roman"/>
        </w:rPr>
        <w:sectPr w:rsidR="008B3BFC" w:rsidSect="002D5390">
          <w:pgSz w:w="11906" w:h="16838"/>
          <w:pgMar w:top="1440" w:right="1440" w:bottom="1440" w:left="1440" w:header="708" w:footer="708" w:gutter="0"/>
          <w:cols w:space="708"/>
          <w:docGrid w:linePitch="360"/>
        </w:sectPr>
      </w:pPr>
    </w:p>
    <w:p w:rsidR="00E87F91" w:rsidRPr="00D36AA8" w:rsidRDefault="00E87F91" w:rsidP="00227C85">
      <w:pPr>
        <w:spacing w:line="240" w:lineRule="auto"/>
        <w:rPr>
          <w:rFonts w:ascii="Times New Roman" w:hAnsi="Times New Roman" w:cs="Times New Roman"/>
        </w:rPr>
      </w:pPr>
    </w:p>
    <w:p w:rsidR="00D36AA8" w:rsidRPr="00D36AA8" w:rsidRDefault="00D36AA8" w:rsidP="00227C85">
      <w:pPr>
        <w:spacing w:line="240" w:lineRule="auto"/>
        <w:rPr>
          <w:rFonts w:ascii="Times New Roman" w:hAnsi="Times New Roman" w:cs="Times New Roman"/>
          <w:b/>
        </w:rPr>
        <w:sectPr w:rsidR="00D36AA8" w:rsidRPr="00D36AA8" w:rsidSect="002D5390">
          <w:type w:val="continuous"/>
          <w:pgSz w:w="11906" w:h="16838"/>
          <w:pgMar w:top="1440" w:right="1440" w:bottom="1440" w:left="1440" w:header="708" w:footer="708" w:gutter="0"/>
          <w:cols w:num="2" w:space="708"/>
          <w:docGrid w:linePitch="360"/>
        </w:sectPr>
      </w:pPr>
    </w:p>
    <w:p w:rsidR="00E87F91" w:rsidRPr="00723BC4" w:rsidRDefault="00E87F91" w:rsidP="00227C85">
      <w:pPr>
        <w:spacing w:line="240" w:lineRule="auto"/>
        <w:jc w:val="both"/>
        <w:rPr>
          <w:rFonts w:ascii="Times New Roman" w:hAnsi="Times New Roman" w:cs="Times New Roman"/>
          <w:b/>
          <w:sz w:val="20"/>
          <w:szCs w:val="20"/>
        </w:rPr>
      </w:pPr>
      <w:r w:rsidRPr="00723BC4">
        <w:rPr>
          <w:rFonts w:ascii="Times New Roman" w:hAnsi="Times New Roman" w:cs="Times New Roman"/>
          <w:b/>
          <w:sz w:val="20"/>
          <w:szCs w:val="20"/>
        </w:rPr>
        <w:t>Abstract</w:t>
      </w:r>
    </w:p>
    <w:p w:rsidR="005D47FF" w:rsidRPr="00723BC4" w:rsidRDefault="005D47FF" w:rsidP="00227C85">
      <w:pPr>
        <w:autoSpaceDE w:val="0"/>
        <w:autoSpaceDN w:val="0"/>
        <w:adjustRightInd w:val="0"/>
        <w:spacing w:after="0" w:line="240" w:lineRule="auto"/>
        <w:jc w:val="both"/>
        <w:rPr>
          <w:rFonts w:ascii="Times New Roman" w:hAnsi="Times New Roman" w:cs="Times New Roman"/>
          <w:b/>
          <w:sz w:val="20"/>
          <w:szCs w:val="20"/>
          <w:lang w:val="en-IN"/>
        </w:rPr>
      </w:pPr>
      <w:r w:rsidRPr="00723BC4">
        <w:rPr>
          <w:rFonts w:ascii="Times New Roman" w:hAnsi="Times New Roman" w:cs="Times New Roman"/>
          <w:b/>
          <w:sz w:val="20"/>
          <w:szCs w:val="20"/>
          <w:lang w:val="en-IN"/>
        </w:rPr>
        <w:t>The e-commerce sector is an avenue where gaming elements have been widely used to ensure greater customer loyalty and create a more engaging platform to shop in, as opposed to the monotony of the catalogue-type websites. To understand the various aspects of gamification and the pros and cons of application in the e-commerce sector, an analysis of the Strengths, Weaknesses, Opportunities and Threats (SWOT) comes in handy. Criticality is used as the basis for ranking of the identified SWOT parameters. The Analytic Hierarchy Process (AHP) is an efficient tool used to compare the identified criteria in pairs, to prioritize them. The combination of SWOT and AHP can be utilized to assign quantitative values to qualitative SWOT parameters. This paper analyses the potential to gamify e-commerce platforms and identifies the Strengths, Weaknesses, Opportunities and Threats of its application. The parameters are then ranked using Analytic Hierarchy Process to ensure success of such an initiative.</w:t>
      </w:r>
    </w:p>
    <w:p w:rsidR="00E87F91" w:rsidRPr="00723BC4" w:rsidRDefault="00E87F91" w:rsidP="00227C85">
      <w:pPr>
        <w:autoSpaceDE w:val="0"/>
        <w:autoSpaceDN w:val="0"/>
        <w:adjustRightInd w:val="0"/>
        <w:spacing w:after="0" w:line="240" w:lineRule="auto"/>
        <w:jc w:val="both"/>
        <w:rPr>
          <w:rFonts w:ascii="Times New Roman" w:hAnsi="Times New Roman" w:cs="Times New Roman"/>
          <w:b/>
          <w:sz w:val="20"/>
          <w:szCs w:val="20"/>
        </w:rPr>
      </w:pPr>
    </w:p>
    <w:p w:rsidR="00E87F91" w:rsidRPr="00723BC4" w:rsidRDefault="00E87F91" w:rsidP="00227C85">
      <w:pPr>
        <w:autoSpaceDE w:val="0"/>
        <w:autoSpaceDN w:val="0"/>
        <w:adjustRightInd w:val="0"/>
        <w:spacing w:after="0" w:line="240" w:lineRule="auto"/>
        <w:jc w:val="both"/>
        <w:rPr>
          <w:rFonts w:ascii="Times New Roman" w:hAnsi="Times New Roman" w:cs="Times New Roman"/>
          <w:b/>
          <w:sz w:val="20"/>
          <w:szCs w:val="20"/>
        </w:rPr>
      </w:pPr>
      <w:r w:rsidRPr="00723BC4">
        <w:rPr>
          <w:rFonts w:ascii="Times New Roman" w:hAnsi="Times New Roman" w:cs="Times New Roman"/>
          <w:b/>
          <w:sz w:val="20"/>
          <w:szCs w:val="20"/>
        </w:rPr>
        <w:t xml:space="preserve">Keywords: </w:t>
      </w:r>
      <w:r w:rsidR="005D47FF" w:rsidRPr="00723BC4">
        <w:rPr>
          <w:rFonts w:ascii="Times New Roman" w:hAnsi="Times New Roman" w:cs="Times New Roman"/>
          <w:b/>
          <w:sz w:val="20"/>
          <w:szCs w:val="20"/>
          <w:lang w:val="en-IN"/>
        </w:rPr>
        <w:t>Keywords: Gamification, E-Commerce, Online Shopping, SWOT, AHP</w:t>
      </w:r>
    </w:p>
    <w:p w:rsidR="00E87F91" w:rsidRPr="000365C1" w:rsidRDefault="00E87F91" w:rsidP="00227C85">
      <w:pPr>
        <w:autoSpaceDE w:val="0"/>
        <w:autoSpaceDN w:val="0"/>
        <w:adjustRightInd w:val="0"/>
        <w:spacing w:after="0" w:line="240" w:lineRule="auto"/>
        <w:jc w:val="both"/>
        <w:rPr>
          <w:rFonts w:ascii="Times New Roman" w:hAnsi="Times New Roman" w:cs="Times New Roman"/>
        </w:rPr>
      </w:pPr>
    </w:p>
    <w:p w:rsidR="00E87F91" w:rsidRPr="000365C1" w:rsidRDefault="00E87F91" w:rsidP="00227C85">
      <w:pPr>
        <w:spacing w:line="240" w:lineRule="auto"/>
        <w:jc w:val="both"/>
        <w:rPr>
          <w:rFonts w:ascii="Times New Roman" w:hAnsi="Times New Roman" w:cs="Times New Roman"/>
          <w:b/>
        </w:rPr>
      </w:pPr>
      <w:r w:rsidRPr="000365C1">
        <w:rPr>
          <w:rFonts w:ascii="Times New Roman" w:hAnsi="Times New Roman" w:cs="Times New Roman"/>
          <w:b/>
        </w:rPr>
        <w:t>Introduction</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 xml:space="preserve">The popularity of online shopping has grown by leaps and bounds. The boom of such an industry brings with it its own share of drawbacks, the problem of plenty being one. Multiple platforms offer similar products with little to differentiate between them. With the issue of customer loyalty and customer retention </w:t>
      </w:r>
      <w:r w:rsidRPr="005D47FF">
        <w:rPr>
          <w:rFonts w:ascii="Times New Roman" w:hAnsi="Times New Roman" w:cs="Times New Roman"/>
          <w:lang w:val="en-IN"/>
        </w:rPr>
        <w:t>gaining prominence, companies are starting to shift</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bookmarkStart w:id="0" w:name="page7"/>
      <w:bookmarkEnd w:id="0"/>
      <w:r w:rsidRPr="005D47FF">
        <w:rPr>
          <w:rFonts w:ascii="Times New Roman" w:hAnsi="Times New Roman" w:cs="Times New Roman"/>
          <w:lang w:val="en-IN"/>
        </w:rPr>
        <w:t>their focus from pricing to user experience and creating an environment where the customer enjoys shopping.</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1.1 Gamification</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 xml:space="preserve">Gamification is the concept of applying elements from games in applications that traditionally do not make use of game structures (Smith, 2012). The process of using game mechanics for engaging users is referred to as gamification. The trend emerged in 2010 and has since revolutionized several sectors such as education and marketing. The world spends about 3 billion hours a </w:t>
      </w:r>
      <w:r w:rsidRPr="005D47FF">
        <w:rPr>
          <w:rFonts w:ascii="Times New Roman" w:hAnsi="Times New Roman" w:cs="Times New Roman"/>
          <w:i/>
          <w:lang w:val="en-IN"/>
        </w:rPr>
        <w:t>week</w:t>
      </w:r>
      <w:r w:rsidRPr="005D47FF">
        <w:rPr>
          <w:rFonts w:ascii="Times New Roman" w:hAnsi="Times New Roman" w:cs="Times New Roman"/>
          <w:lang w:val="en-IN"/>
        </w:rPr>
        <w:t xml:space="preserve"> gaming (McGonigal, 2011). The phenomenon of gaming has seen an upward trend with the advent of newer, better games and gaming technology. It is discernible from gaming statistics that well-developed video games have inherent motivating and engaging elements to keep players glued to their screens (Gee, 2003).</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Gamification works by creating an engagement loop- where motivation drives actions incentivised by rewards. Both psychological and behavioural engagement can help to positively influence purchase patterns (Cheung et. all, 2015). The rewards help players earn achievements which in turn reinforce the initial motivation. The benefits of such application include enhanced user experience, better engagement and increased customer loyalty.</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The core elements of gamification are: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numPr>
          <w:ilvl w:val="0"/>
          <w:numId w:val="8"/>
        </w:num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Desire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numPr>
          <w:ilvl w:val="0"/>
          <w:numId w:val="8"/>
        </w:num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Incentive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numPr>
          <w:ilvl w:val="0"/>
          <w:numId w:val="8"/>
        </w:num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Mastery</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numPr>
          <w:ilvl w:val="0"/>
          <w:numId w:val="8"/>
        </w:num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Challenge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numPr>
          <w:ilvl w:val="0"/>
          <w:numId w:val="8"/>
        </w:num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Reward</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numPr>
          <w:ilvl w:val="0"/>
          <w:numId w:val="8"/>
        </w:num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Feedback</w:t>
      </w:r>
    </w:p>
    <w:p w:rsidR="006E6475" w:rsidRDefault="006E6475" w:rsidP="00227C85">
      <w:pPr>
        <w:autoSpaceDE w:val="0"/>
        <w:autoSpaceDN w:val="0"/>
        <w:adjustRightInd w:val="0"/>
        <w:spacing w:after="0" w:line="240" w:lineRule="auto"/>
        <w:jc w:val="both"/>
        <w:rPr>
          <w:rFonts w:ascii="Times New Roman" w:hAnsi="Times New Roman" w:cs="Times New Roman"/>
          <w:lang w:val="en-US"/>
        </w:rPr>
      </w:pPr>
    </w:p>
    <w:p w:rsidR="006E6475" w:rsidRPr="00E956F1" w:rsidRDefault="005D47FF" w:rsidP="00227C85">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inline distT="0" distB="0" distL="0" distR="0" wp14:anchorId="79EB4C85">
            <wp:extent cx="3986229" cy="23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6552" t="-1176" r="-13005" b="-608"/>
                    <a:stretch/>
                  </pic:blipFill>
                  <pic:spPr bwMode="auto">
                    <a:xfrm>
                      <a:off x="0" y="0"/>
                      <a:ext cx="3986229" cy="2390632"/>
                    </a:xfrm>
                    <a:prstGeom prst="rect">
                      <a:avLst/>
                    </a:prstGeom>
                    <a:noFill/>
                    <a:ln>
                      <a:noFill/>
                    </a:ln>
                    <a:extLst>
                      <a:ext uri="{53640926-AAD7-44D8-BBD7-CCE9431645EC}">
                        <a14:shadowObscured xmlns:a14="http://schemas.microsoft.com/office/drawing/2010/main"/>
                      </a:ext>
                    </a:extLst>
                  </pic:spPr>
                </pic:pic>
              </a:graphicData>
            </a:graphic>
          </wp:inline>
        </w:drawing>
      </w:r>
    </w:p>
    <w:p w:rsidR="005D47FF" w:rsidRDefault="005D47FF" w:rsidP="00227C85">
      <w:pPr>
        <w:spacing w:line="240" w:lineRule="auto"/>
        <w:ind w:right="6"/>
        <w:jc w:val="center"/>
        <w:rPr>
          <w:rFonts w:ascii="Times New Roman" w:eastAsia="Times New Roman" w:hAnsi="Times New Roman"/>
          <w:i/>
          <w:iCs/>
          <w:sz w:val="20"/>
          <w:szCs w:val="18"/>
        </w:rPr>
      </w:pPr>
    </w:p>
    <w:p w:rsidR="00E87F91" w:rsidRPr="005D47FF" w:rsidRDefault="007A14C6" w:rsidP="00227C85">
      <w:pPr>
        <w:spacing w:line="240" w:lineRule="auto"/>
        <w:ind w:right="6"/>
        <w:jc w:val="center"/>
        <w:rPr>
          <w:rFonts w:ascii="Times New Roman" w:eastAsia="Times New Roman" w:hAnsi="Times New Roman"/>
          <w:i/>
          <w:iCs/>
          <w:sz w:val="20"/>
          <w:szCs w:val="18"/>
        </w:rPr>
      </w:pPr>
      <w:r>
        <w:rPr>
          <w:rFonts w:ascii="Times New Roman" w:eastAsia="Times New Roman" w:hAnsi="Times New Roman"/>
          <w:i/>
          <w:iCs/>
          <w:sz w:val="20"/>
          <w:szCs w:val="18"/>
        </w:rPr>
        <w:t xml:space="preserve">Figure 1: </w:t>
      </w:r>
      <w:r w:rsidR="005D47FF" w:rsidRPr="005D47FF">
        <w:rPr>
          <w:rFonts w:ascii="Times New Roman" w:eastAsia="Times New Roman" w:hAnsi="Times New Roman"/>
          <w:i/>
          <w:iCs/>
          <w:sz w:val="20"/>
          <w:szCs w:val="18"/>
        </w:rPr>
        <w:t>Core Elements of Gamification</w:t>
      </w:r>
    </w:p>
    <w:p w:rsidR="005D47FF" w:rsidRDefault="005D47FF" w:rsidP="00227C85">
      <w:pPr>
        <w:autoSpaceDE w:val="0"/>
        <w:autoSpaceDN w:val="0"/>
        <w:adjustRightInd w:val="0"/>
        <w:spacing w:after="0" w:line="240" w:lineRule="auto"/>
        <w:jc w:val="both"/>
        <w:rPr>
          <w:rFonts w:ascii="Times New Roman" w:hAnsi="Times New Roman" w:cs="Times New Roma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Game elements have been implemented successfully in several fields. Education is a field where the challenge lies in the ability of teachers to encourage passive students to become active learners (Ekahitanond, 2017). Gamified learning of college algebra (Faghihi, 2014), factory management education (Muller, 2015) and the French language (Perry, 2015) are testimonial to the effectiveness of the concept in the field of learning where game elements have been successfully used to improve student engagement. This is especially useful when teaching subjects with abstract concepts such as natural science, where teaching can be made more effective using non-conventional means such as animations (Karagozlu, Ozdamli, 2017). The concept has also made its way into tourism (Signoretti, 2015) and marketing (Freudmann, Bakamitsos, 2014).</w:t>
      </w: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1.2   Gamification in e-commerce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It is evident that gamification is a concept with endless possibilities for creativity and innovation and would be well suited for implementation in e-commerce platforms as they enhance: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1.2.1</w:t>
      </w:r>
      <w:r w:rsidRPr="005D47FF">
        <w:rPr>
          <w:rFonts w:ascii="Times New Roman" w:hAnsi="Times New Roman" w:cs="Times New Roman"/>
          <w:i/>
          <w:lang w:val="en-IN"/>
        </w:rPr>
        <w:tab/>
        <w:t>Involvement:</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Gamification increases consumer participation which enables better customer attraction and retention.</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bookmarkStart w:id="1" w:name="page9"/>
      <w:bookmarkEnd w:id="1"/>
      <w:r w:rsidRPr="005D47FF">
        <w:rPr>
          <w:rFonts w:ascii="Times New Roman" w:hAnsi="Times New Roman" w:cs="Times New Roman"/>
          <w:i/>
          <w:lang w:val="en-IN"/>
        </w:rPr>
        <w:t>1.2.2</w:t>
      </w:r>
      <w:r w:rsidRPr="005D47FF">
        <w:rPr>
          <w:rFonts w:ascii="Times New Roman" w:hAnsi="Times New Roman" w:cs="Times New Roman"/>
          <w:lang w:val="en-IN"/>
        </w:rPr>
        <w:tab/>
      </w:r>
      <w:r w:rsidRPr="005D47FF">
        <w:rPr>
          <w:rFonts w:ascii="Times New Roman" w:hAnsi="Times New Roman" w:cs="Times New Roman"/>
          <w:i/>
          <w:lang w:val="en-IN"/>
        </w:rPr>
        <w:t>Interaction</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Gamification connects customers with brands. By using a system of rewards and incentives, gamification engages players, thereby increasing the probability of purchase.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1.2.3</w:t>
      </w:r>
      <w:r w:rsidRPr="005D47FF">
        <w:rPr>
          <w:rFonts w:ascii="Times New Roman" w:hAnsi="Times New Roman" w:cs="Times New Roman"/>
          <w:i/>
          <w:lang w:val="en-IN"/>
        </w:rPr>
        <w:tab/>
        <w:t>Intimacy</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Making consumers connect with products is the primary focus of retailers. Gaming strategies make it possible for companies to forge trusted and long-lasting relationships with customers using game elements and incentives.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1.2.4</w:t>
      </w:r>
      <w:r w:rsidRPr="005D47FF">
        <w:rPr>
          <w:rFonts w:ascii="Times New Roman" w:hAnsi="Times New Roman" w:cs="Times New Roman"/>
          <w:i/>
          <w:lang w:val="en-IN"/>
        </w:rPr>
        <w:tab/>
        <w:t>Influence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Rewards such as tokens and badges encourage people to share their achievements on social media. This creates popularity by word-of-mouth and encourages peers to join them.</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1.3</w:t>
      </w:r>
      <w:r w:rsidRPr="005D47FF">
        <w:rPr>
          <w:rFonts w:ascii="Times New Roman" w:hAnsi="Times New Roman" w:cs="Times New Roman"/>
          <w:i/>
          <w:lang w:val="en-IN"/>
        </w:rPr>
        <w:tab/>
        <w:t>Requisites of game elements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1.3.1</w:t>
      </w:r>
      <w:r w:rsidRPr="005D47FF">
        <w:rPr>
          <w:rFonts w:ascii="Times New Roman" w:hAnsi="Times New Roman" w:cs="Times New Roman"/>
          <w:lang w:val="en-IN"/>
        </w:rPr>
        <w:tab/>
      </w:r>
      <w:r w:rsidRPr="005D47FF">
        <w:rPr>
          <w:rFonts w:ascii="Times New Roman" w:hAnsi="Times New Roman" w:cs="Times New Roman"/>
          <w:i/>
          <w:lang w:val="en-IN"/>
        </w:rPr>
        <w:t>Approach:</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The game experience should not be too easy or too overwhelming and it is extremely important to strike a balance between the two. An immersive experience involves a storyline or plot that focusses on the player’s journey from the beginning to the end, wherein players acquire new skills and knowledge to build his/her character and progress.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lang w:val="en-IN"/>
        </w:rPr>
        <w:t>1.3.2</w:t>
      </w:r>
      <w:r w:rsidRPr="005D47FF">
        <w:rPr>
          <w:rFonts w:ascii="Times New Roman" w:hAnsi="Times New Roman" w:cs="Times New Roman"/>
          <w:lang w:val="en-IN"/>
        </w:rPr>
        <w:tab/>
      </w:r>
      <w:r w:rsidRPr="005D47FF">
        <w:rPr>
          <w:rFonts w:ascii="Times New Roman" w:hAnsi="Times New Roman" w:cs="Times New Roman"/>
          <w:i/>
          <w:lang w:val="en-IN"/>
        </w:rPr>
        <w:t>Goal setting:</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 xml:space="preserve">Goals are effective motivators in that they pose a challenge for users to overcome. Gamification also finds potential use in Human Resources </w:t>
      </w:r>
      <w:r w:rsidRPr="005D47FF">
        <w:rPr>
          <w:rFonts w:ascii="Times New Roman" w:hAnsi="Times New Roman" w:cs="Times New Roman"/>
          <w:lang w:val="en-IN"/>
        </w:rPr>
        <w:lastRenderedPageBreak/>
        <w:t>departments of organizations wherein games can be used to ease the process of orientation of a new recruit, akin to tutorials in a video game.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bookmarkStart w:id="2" w:name="page10"/>
      <w:bookmarkEnd w:id="2"/>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lang w:val="en-IN"/>
        </w:rPr>
        <w:t>1.3.3</w:t>
      </w:r>
      <w:r w:rsidRPr="005D47FF">
        <w:rPr>
          <w:rFonts w:ascii="Times New Roman" w:hAnsi="Times New Roman" w:cs="Times New Roman"/>
          <w:lang w:val="en-IN"/>
        </w:rPr>
        <w:tab/>
      </w:r>
      <w:r w:rsidRPr="005D47FF">
        <w:rPr>
          <w:rFonts w:ascii="Times New Roman" w:hAnsi="Times New Roman" w:cs="Times New Roman"/>
          <w:i/>
          <w:lang w:val="en-IN"/>
        </w:rPr>
        <w:t>Reputation:</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Gaming ‘profiles’ are shaped by the user’s interests. Much similar to personalities, these profiles are also influenced by experiences and interactions of the past. Rewards are indicators of the expertise acquired and are tools for motivation and engagement of customers.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lang w:val="en-IN"/>
        </w:rPr>
        <w:t>1.3.4</w:t>
      </w:r>
      <w:r w:rsidRPr="005D47FF">
        <w:rPr>
          <w:rFonts w:ascii="Times New Roman" w:hAnsi="Times New Roman" w:cs="Times New Roman"/>
          <w:lang w:val="en-IN"/>
        </w:rPr>
        <w:tab/>
      </w:r>
      <w:r w:rsidRPr="005D47FF">
        <w:rPr>
          <w:rFonts w:ascii="Times New Roman" w:hAnsi="Times New Roman" w:cs="Times New Roman"/>
          <w:i/>
          <w:lang w:val="en-IN"/>
        </w:rPr>
        <w:t>Status: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Advertising a player’s accomplishments and communicating them to peers via social media builds him a reputation among peers and motivates him to achieve more.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1.4 SWOT Analysis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SWOT is a structured planning method that evaluates the strengths, weaknesses, opportunities and threats of a project/product. SWOT is commonly used as a precursor to decision making by enabling the analysis of internal and external environments (Ghazinoory et. al., 2007). By identifying and analysing the environment it is possible to build on strengths, capitalize on opportunities, strategize to overcome weaknesses and reduce threats (Dyson, 2004). SWOT analysis has been used in a multitude of areas, including universities and education (Dyson, 2004; Lee et. all, 2000), forest certification (Kurttila et. all, 2000), urban planning (Halla, 2007) and airline management (Ahmed et. all, 2006). While SWOT is an effective method to identify factors that impact the company, it does not provide a means for analytic assessment of their relative importance. (Kangas et. all, 2003).</w:t>
      </w: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bookmarkStart w:id="3" w:name="page11"/>
      <w:bookmarkEnd w:id="3"/>
      <w:r w:rsidRPr="005D47FF">
        <w:rPr>
          <w:rFonts w:ascii="Times New Roman" w:hAnsi="Times New Roman" w:cs="Times New Roman"/>
          <w:i/>
          <w:lang w:val="en-IN"/>
        </w:rPr>
        <w:t>1.5 Analytic Hierarchy Process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The Analytic Hierarchy Process (AHP) is a multi-</w:t>
      </w:r>
      <w:r w:rsidR="00227C85" w:rsidRPr="005D47FF">
        <w:rPr>
          <w:rFonts w:ascii="Times New Roman" w:hAnsi="Times New Roman" w:cs="Times New Roman"/>
          <w:lang w:val="en-IN"/>
        </w:rPr>
        <w:t>criteria decision-making</w:t>
      </w:r>
      <w:r w:rsidRPr="005D47FF">
        <w:rPr>
          <w:rFonts w:ascii="Times New Roman" w:hAnsi="Times New Roman" w:cs="Times New Roman"/>
          <w:lang w:val="en-IN"/>
        </w:rPr>
        <w:t xml:space="preserve"> method developed by Saaty (1980). AHP is used to obtain the relative importance of factors from paired comparisons in multilevel hierarchic structures (Saaty, 1996). The relative priorities are determined by assigning numbers from a comparison scale (Saaty, 1980). AHP is an effective </w:t>
      </w:r>
      <w:r w:rsidR="00227C85" w:rsidRPr="005D47FF">
        <w:rPr>
          <w:rFonts w:ascii="Times New Roman" w:hAnsi="Times New Roman" w:cs="Times New Roman"/>
          <w:lang w:val="en-IN"/>
        </w:rPr>
        <w:t>decision-making</w:t>
      </w:r>
      <w:r w:rsidRPr="005D47FF">
        <w:rPr>
          <w:rFonts w:ascii="Times New Roman" w:hAnsi="Times New Roman" w:cs="Times New Roman"/>
          <w:lang w:val="en-IN"/>
        </w:rPr>
        <w:t xml:space="preserve"> method in the case of </w:t>
      </w:r>
      <w:r w:rsidRPr="005D47FF">
        <w:rPr>
          <w:rFonts w:ascii="Times New Roman" w:hAnsi="Times New Roman" w:cs="Times New Roman"/>
          <w:lang w:val="en-IN"/>
        </w:rPr>
        <w:t>SWOT where the parameters identified are subjective. The application of SWOT with AHP has previously been attempted in the fields of manufacturing (Gorener et. all, 2012), telecommunication (Mehmooda et. all 2014) and tourism (Wickramasinghe &amp; Takano, 2010). This paper aims to use Analytic Hierarchy Process to analyze the Strengths, Weaknesses, Opportunities and Threats associated with gamification of the e-commerce sector.</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b/>
          <w:lang w:val="en-IN"/>
        </w:rPr>
      </w:pPr>
      <w:r w:rsidRPr="005D47FF">
        <w:rPr>
          <w:rFonts w:ascii="Times New Roman" w:hAnsi="Times New Roman" w:cs="Times New Roman"/>
          <w:b/>
          <w:lang w:val="en-IN"/>
        </w:rPr>
        <w:t>2.  Analysis of Strengths, Weaknesses, Opportunities and Threats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2.1 Strengths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The objective of advertising is to create awareness and association with the product or brand in question. Social media has a key role in this aspect. The linking of e-commerce and social media provides a platform for advertising a product to friends as an implicit outcome of peer recognition.</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Gamification can range from simple game elements such as scores and rewards to something as complex as a full-fledged game environment itself. Companies wishing to gamify their platforms seek to adopt simple and inexpensive elements, often on probation. The LinkedIn gamification strategy is a typical case in point where incorporating progress bars culminated in better profile completion and in turn higher returns for the company. The commonly used elements such as Points, Badges and Leaderboards or PBL elements are relatively easy to incorporate and are ideal for companies testing the waters as they typically</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bookmarkStart w:id="4" w:name="page12"/>
      <w:bookmarkEnd w:id="4"/>
      <w:r w:rsidRPr="005D47FF">
        <w:rPr>
          <w:rFonts w:ascii="Times New Roman" w:hAnsi="Times New Roman" w:cs="Times New Roman"/>
          <w:lang w:val="en-IN"/>
        </w:rPr>
        <w:t>do not require very high investment and can be achieved in short periods of time.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With game elements incorporated, online shopping becomes an immersive and engaging experience for the users rather than merely being a medium for purchase. It is a means of value addition and product differentiation. Hedonic features of an e-commerce website directly influence e-loyalty and engagement (Bilgihan, 2015). It enables them to attract more people, establish a larger customer base. Customers also competitively buy products and spend more time on the site thereby increasing the probability of purchase.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2.2</w:t>
      </w:r>
      <w:r w:rsidRPr="005D47FF">
        <w:rPr>
          <w:rFonts w:ascii="Times New Roman" w:hAnsi="Times New Roman" w:cs="Times New Roman"/>
          <w:lang w:val="en-IN"/>
        </w:rPr>
        <w:tab/>
      </w:r>
      <w:r w:rsidRPr="005D47FF">
        <w:rPr>
          <w:rFonts w:ascii="Times New Roman" w:hAnsi="Times New Roman" w:cs="Times New Roman"/>
          <w:i/>
          <w:lang w:val="en-IN"/>
        </w:rPr>
        <w:t>Weaknesses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While gamification of e-commerce websites will make attracting customers easier, securing their loyalty will force companies to spend large amounts of time and funds towards game development to remain best in the business. The fierce competition accompanying the large number of players in the market pushes up marketing and advertising expenditures (Kim, 2013</w:t>
      </w:r>
      <w:r w:rsidR="00617DF4" w:rsidRPr="005D47FF">
        <w:rPr>
          <w:rFonts w:ascii="Times New Roman" w:hAnsi="Times New Roman" w:cs="Times New Roman"/>
          <w:lang w:val="en-IN"/>
        </w:rPr>
        <w:t>). Even</w:t>
      </w:r>
      <w:r w:rsidRPr="005D47FF">
        <w:rPr>
          <w:rFonts w:ascii="Times New Roman" w:hAnsi="Times New Roman" w:cs="Times New Roman"/>
          <w:lang w:val="en-IN"/>
        </w:rPr>
        <w:t xml:space="preserve"> by doing so, the sheer volume of customers, forces companies to adopt a one-size-fits-all strategy. It would be highly impractical to design games particularly suited to each individual customer and hence will be based on a large demographic. This means that a part of the target audience might not find the game elements appealing. The loss of some part of the customer base is inevitable.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A reward or a gift to the top purchaser is profitably viable to the company only if a large number of users competed and purchased using the platform. Although unprofitable, the company is still obligated to reward its users in the event of purchase volume being low.</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Strategies for rewarding customers are based on assumptions that the engagement serves as motivation for customers to shop more. However, there is always the inherent uncertainty associated with the translation of customer engagement to increased expenditure.</w:t>
      </w: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bookmarkStart w:id="5" w:name="page13"/>
      <w:bookmarkEnd w:id="5"/>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2.3 Opportunities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Virtual Reality, used to develop game environments, can be extended to online shopping to create a virtual store that replicates real-time shopping experience instead of being a mere catalogue for customers to choose from. Gamification creates massive scope for partnerships between game developers/owners and e-commerce companies to create shopping interfaces with full-fledged storylines, levels, characters, etc. to play around with. A gamified website generates better web traffic and this phenomenon can be used to the strength of e-commerce companies as they tend to make better revenue from advertisements on their webpage. Furthermore, games today are in a state of constant improvement given their popularity among all age groups. This is a favourable trend for gamification of e-</w:t>
      </w:r>
      <w:r w:rsidRPr="005D47FF">
        <w:rPr>
          <w:rFonts w:ascii="Times New Roman" w:hAnsi="Times New Roman" w:cs="Times New Roman"/>
          <w:lang w:val="en-IN"/>
        </w:rPr>
        <w:t>commerce businesses as newer, better strategies to engage people emerge constantly.</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i/>
          <w:lang w:val="en-IN"/>
        </w:rPr>
      </w:pPr>
      <w:r w:rsidRPr="005D47FF">
        <w:rPr>
          <w:rFonts w:ascii="Times New Roman" w:hAnsi="Times New Roman" w:cs="Times New Roman"/>
          <w:i/>
          <w:lang w:val="en-IN"/>
        </w:rPr>
        <w:t>2.4 Threats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In 2012, Gartner predicted that “by 2014, 80 percent of current gamified applications will fail to meet business objectives primarily because of poor design” (Gartner, 2012). Rewards are often designed in a meaningless manner and obvious game elements (such as points, badges and leader-boards) are overused leading to redundancy. Further, gamification is often plagued by over-expectations. With endless opportunities that come with the gamification of ecommerce websites, there is also the issue of expecting too high and too quick returns. It is necessary to take into consideration the limitations of games in driving human behaviour and set reasonable benchmarks to achieve.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Gamification has also often been criticised to be a new form of hidden persuasion (Packard, 1957), as it exploits the competitive tendencies of humans to merely increase sales without actual improvement of user experience. A combination of multiple factors such as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bookmarkStart w:id="6" w:name="page14"/>
      <w:bookmarkEnd w:id="6"/>
      <w:r w:rsidRPr="005D47FF">
        <w:rPr>
          <w:rFonts w:ascii="Times New Roman" w:hAnsi="Times New Roman" w:cs="Times New Roman"/>
          <w:lang w:val="en-IN"/>
        </w:rPr>
        <w:t>creativity, game design and versatility of the interface is essential for the success of the gamification initiative.</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numPr>
          <w:ilvl w:val="0"/>
          <w:numId w:val="9"/>
        </w:numPr>
        <w:autoSpaceDE w:val="0"/>
        <w:autoSpaceDN w:val="0"/>
        <w:adjustRightInd w:val="0"/>
        <w:spacing w:after="0" w:line="240" w:lineRule="auto"/>
        <w:jc w:val="both"/>
        <w:rPr>
          <w:rFonts w:ascii="Times New Roman" w:hAnsi="Times New Roman" w:cs="Times New Roman"/>
          <w:b/>
          <w:i/>
          <w:lang w:val="en-IN"/>
        </w:rPr>
      </w:pPr>
      <w:r w:rsidRPr="005D47FF">
        <w:rPr>
          <w:rFonts w:ascii="Times New Roman" w:hAnsi="Times New Roman" w:cs="Times New Roman"/>
          <w:b/>
          <w:lang w:val="en-IN"/>
        </w:rPr>
        <w:t>AHP Methodology</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The direct pairwise comparison methodology and allocation of intensity values used in AHP tends to vary with judgement and perception. To eliminate this uncertainty, a method of weighted averages of the criteria that influence the identified SWOT parameters is used.</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 xml:space="preserve">In this method, the influencing criteria for each of the SWOT groups are identified. For example, the parameters Profits, Marketability, and Customer-centric Strategizing are recognized to be the main focus of strengths in an e-commerce industry. These parameters were then assigned weightages 3, 2 and 1 (scaling factors) respectively based on the relative importance to companies and the contribution of each of the influencing criteria to the identified strengths is ranked on a scale of 1-10. This is done using the consolidated results of a survey filled out by experts from the </w:t>
      </w:r>
      <w:r w:rsidRPr="005D47FF">
        <w:rPr>
          <w:rFonts w:ascii="Times New Roman" w:hAnsi="Times New Roman" w:cs="Times New Roman"/>
          <w:lang w:val="en-IN"/>
        </w:rPr>
        <w:lastRenderedPageBreak/>
        <w:t>industry. The formula for calculation is as follows:</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Let the Influencing Parameters be IP</w:t>
      </w:r>
      <w:r w:rsidRPr="005D47FF">
        <w:rPr>
          <w:rFonts w:ascii="Times New Roman" w:hAnsi="Times New Roman" w:cs="Times New Roman"/>
          <w:vertAlign w:val="subscript"/>
          <w:lang w:val="en-IN"/>
        </w:rPr>
        <w:t>1</w:t>
      </w:r>
      <w:r w:rsidRPr="005D47FF">
        <w:rPr>
          <w:rFonts w:ascii="Times New Roman" w:hAnsi="Times New Roman" w:cs="Times New Roman"/>
          <w:lang w:val="en-IN"/>
        </w:rPr>
        <w:t>, IP</w:t>
      </w:r>
      <w:r w:rsidRPr="005D47FF">
        <w:rPr>
          <w:rFonts w:ascii="Times New Roman" w:hAnsi="Times New Roman" w:cs="Times New Roman"/>
          <w:vertAlign w:val="subscript"/>
          <w:lang w:val="en-IN"/>
        </w:rPr>
        <w:t>2</w:t>
      </w:r>
      <w:r w:rsidRPr="005D47FF">
        <w:rPr>
          <w:rFonts w:ascii="Times New Roman" w:hAnsi="Times New Roman" w:cs="Times New Roman"/>
          <w:lang w:val="en-IN"/>
        </w:rPr>
        <w:t>, and IP</w:t>
      </w:r>
      <w:r w:rsidRPr="005D47FF">
        <w:rPr>
          <w:rFonts w:ascii="Times New Roman" w:hAnsi="Times New Roman" w:cs="Times New Roman"/>
          <w:vertAlign w:val="subscript"/>
          <w:lang w:val="en-IN"/>
        </w:rPr>
        <w:t>3</w:t>
      </w:r>
      <w:r w:rsidRPr="005D47FF">
        <w:rPr>
          <w:rFonts w:ascii="Times New Roman" w:hAnsi="Times New Roman" w:cs="Times New Roman"/>
          <w:lang w:val="en-IN"/>
        </w:rPr>
        <w:t>.</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Scaling factor of</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IP</w:t>
      </w:r>
      <w:r w:rsidRPr="005D47FF">
        <w:rPr>
          <w:rFonts w:ascii="Times New Roman" w:hAnsi="Times New Roman" w:cs="Times New Roman"/>
          <w:vertAlign w:val="subscript"/>
          <w:lang w:val="en-IN"/>
        </w:rPr>
        <w:t>1</w:t>
      </w:r>
      <w:r w:rsidRPr="005D47FF">
        <w:rPr>
          <w:rFonts w:ascii="Times New Roman" w:hAnsi="Times New Roman" w:cs="Times New Roman"/>
          <w:lang w:val="en-IN"/>
        </w:rPr>
        <w:t>=x</w:t>
      </w:r>
      <w:r w:rsidRPr="005D47FF">
        <w:rPr>
          <w:rFonts w:ascii="Times New Roman" w:hAnsi="Times New Roman" w:cs="Times New Roman"/>
          <w:vertAlign w:val="subscript"/>
          <w:lang w:val="en-IN"/>
        </w:rPr>
        <w:t>1</w:t>
      </w:r>
      <w:r w:rsidRPr="005D47FF">
        <w:rPr>
          <w:rFonts w:ascii="Times New Roman" w:hAnsi="Times New Roman" w:cs="Times New Roman"/>
          <w:lang w:val="en-IN"/>
        </w:rPr>
        <w:t>;</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IP</w:t>
      </w:r>
      <w:r w:rsidRPr="005D47FF">
        <w:rPr>
          <w:rFonts w:ascii="Times New Roman" w:hAnsi="Times New Roman" w:cs="Times New Roman"/>
          <w:vertAlign w:val="subscript"/>
          <w:lang w:val="en-IN"/>
        </w:rPr>
        <w:t>2</w:t>
      </w:r>
      <w:r w:rsidRPr="005D47FF">
        <w:rPr>
          <w:rFonts w:ascii="Times New Roman" w:hAnsi="Times New Roman" w:cs="Times New Roman"/>
          <w:lang w:val="en-IN"/>
        </w:rPr>
        <w:t>=x</w:t>
      </w:r>
      <w:r w:rsidRPr="005D47FF">
        <w:rPr>
          <w:rFonts w:ascii="Times New Roman" w:hAnsi="Times New Roman" w:cs="Times New Roman"/>
          <w:vertAlign w:val="subscript"/>
          <w:lang w:val="en-IN"/>
        </w:rPr>
        <w:t>2</w:t>
      </w:r>
      <w:r w:rsidRPr="005D47FF">
        <w:rPr>
          <w:rFonts w:ascii="Times New Roman" w:hAnsi="Times New Roman" w:cs="Times New Roman"/>
          <w:lang w:val="en-IN"/>
        </w:rPr>
        <w:t>;</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vertAlign w:val="subscript"/>
          <w:lang w:val="en-IN"/>
        </w:rPr>
      </w:pPr>
      <w:r w:rsidRPr="005D47FF">
        <w:rPr>
          <w:rFonts w:ascii="Times New Roman" w:hAnsi="Times New Roman" w:cs="Times New Roman"/>
          <w:lang w:val="en-IN"/>
        </w:rPr>
        <w:t>IP</w:t>
      </w:r>
      <w:r w:rsidRPr="005D47FF">
        <w:rPr>
          <w:rFonts w:ascii="Times New Roman" w:hAnsi="Times New Roman" w:cs="Times New Roman"/>
          <w:vertAlign w:val="subscript"/>
          <w:lang w:val="en-IN"/>
        </w:rPr>
        <w:t>3</w:t>
      </w:r>
      <w:r w:rsidRPr="005D47FF">
        <w:rPr>
          <w:rFonts w:ascii="Times New Roman" w:hAnsi="Times New Roman" w:cs="Times New Roman"/>
          <w:lang w:val="en-IN"/>
        </w:rPr>
        <w:t>=x</w:t>
      </w:r>
      <w:r w:rsidRPr="005D47FF">
        <w:rPr>
          <w:rFonts w:ascii="Times New Roman" w:hAnsi="Times New Roman" w:cs="Times New Roman"/>
          <w:vertAlign w:val="subscript"/>
          <w:lang w:val="en-IN"/>
        </w:rPr>
        <w:t>3</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Point scored by Strength 1 under</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IP</w:t>
      </w:r>
      <w:r w:rsidRPr="005D47FF">
        <w:rPr>
          <w:rFonts w:ascii="Times New Roman" w:hAnsi="Times New Roman" w:cs="Times New Roman"/>
          <w:vertAlign w:val="subscript"/>
          <w:lang w:val="en-IN"/>
        </w:rPr>
        <w:t>1</w:t>
      </w:r>
      <w:r w:rsidRPr="005D47FF">
        <w:rPr>
          <w:rFonts w:ascii="Times New Roman" w:hAnsi="Times New Roman" w:cs="Times New Roman"/>
          <w:lang w:val="en-IN"/>
        </w:rPr>
        <w:t>=y</w:t>
      </w:r>
      <w:r w:rsidRPr="005D47FF">
        <w:rPr>
          <w:rFonts w:ascii="Times New Roman" w:hAnsi="Times New Roman" w:cs="Times New Roman"/>
          <w:vertAlign w:val="subscript"/>
          <w:lang w:val="en-IN"/>
        </w:rPr>
        <w:t>1</w:t>
      </w:r>
      <w:r w:rsidRPr="005D47FF">
        <w:rPr>
          <w:rFonts w:ascii="Times New Roman" w:hAnsi="Times New Roman" w:cs="Times New Roman"/>
          <w:lang w:val="en-IN"/>
        </w:rPr>
        <w:t>;</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IP</w:t>
      </w:r>
      <w:r w:rsidRPr="005D47FF">
        <w:rPr>
          <w:rFonts w:ascii="Times New Roman" w:hAnsi="Times New Roman" w:cs="Times New Roman"/>
          <w:vertAlign w:val="subscript"/>
          <w:lang w:val="en-IN"/>
        </w:rPr>
        <w:t>2</w:t>
      </w:r>
      <w:r w:rsidRPr="005D47FF">
        <w:rPr>
          <w:rFonts w:ascii="Times New Roman" w:hAnsi="Times New Roman" w:cs="Times New Roman"/>
          <w:lang w:val="en-IN"/>
        </w:rPr>
        <w:t>=y</w:t>
      </w:r>
      <w:r w:rsidRPr="005D47FF">
        <w:rPr>
          <w:rFonts w:ascii="Times New Roman" w:hAnsi="Times New Roman" w:cs="Times New Roman"/>
          <w:vertAlign w:val="subscript"/>
          <w:lang w:val="en-IN"/>
        </w:rPr>
        <w:t>2</w:t>
      </w:r>
      <w:r w:rsidRPr="005D47FF">
        <w:rPr>
          <w:rFonts w:ascii="Times New Roman" w:hAnsi="Times New Roman" w:cs="Times New Roman"/>
          <w:lang w:val="en-IN"/>
        </w:rPr>
        <w:t>;</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vertAlign w:val="subscript"/>
          <w:lang w:val="en-IN"/>
        </w:rPr>
      </w:pPr>
      <w:r w:rsidRPr="005D47FF">
        <w:rPr>
          <w:rFonts w:ascii="Times New Roman" w:hAnsi="Times New Roman" w:cs="Times New Roman"/>
          <w:lang w:val="en-IN"/>
        </w:rPr>
        <w:t>IP</w:t>
      </w:r>
      <w:r w:rsidRPr="005D47FF">
        <w:rPr>
          <w:rFonts w:ascii="Times New Roman" w:hAnsi="Times New Roman" w:cs="Times New Roman"/>
          <w:vertAlign w:val="subscript"/>
          <w:lang w:val="en-IN"/>
        </w:rPr>
        <w:t>3</w:t>
      </w:r>
      <w:r w:rsidRPr="005D47FF">
        <w:rPr>
          <w:rFonts w:ascii="Times New Roman" w:hAnsi="Times New Roman" w:cs="Times New Roman"/>
          <w:lang w:val="en-IN"/>
        </w:rPr>
        <w:t>=y</w:t>
      </w:r>
      <w:r w:rsidRPr="005D47FF">
        <w:rPr>
          <w:rFonts w:ascii="Times New Roman" w:hAnsi="Times New Roman" w:cs="Times New Roman"/>
          <w:vertAlign w:val="subscript"/>
          <w:lang w:val="en-IN"/>
        </w:rPr>
        <w:t>3</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bookmarkStart w:id="7" w:name="page15"/>
      <w:bookmarkEnd w:id="7"/>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r w:rsidRPr="005D47FF">
        <w:rPr>
          <w:rFonts w:ascii="Times New Roman" w:hAnsi="Times New Roman" w:cs="Times New Roman"/>
          <w:lang w:val="en-IN"/>
        </w:rPr>
        <w:t>Total score assigned to that strength (TS) is given by,</w:t>
      </w:r>
    </w:p>
    <w:p w:rsidR="005D47FF" w:rsidRPr="005D47FF" w:rsidRDefault="005D47FF" w:rsidP="00227C85">
      <w:pPr>
        <w:autoSpaceDE w:val="0"/>
        <w:autoSpaceDN w:val="0"/>
        <w:adjustRightInd w:val="0"/>
        <w:spacing w:after="0" w:line="240" w:lineRule="auto"/>
        <w:jc w:val="both"/>
        <w:rPr>
          <w:rFonts w:ascii="Times New Roman" w:hAnsi="Times New Roman" w:cs="Times New Roman"/>
          <w:lang w:val="en-IN"/>
        </w:rPr>
      </w:pPr>
    </w:p>
    <w:p w:rsidR="005D47FF" w:rsidRPr="005D47FF" w:rsidRDefault="005D47FF" w:rsidP="00227C85">
      <w:pPr>
        <w:autoSpaceDE w:val="0"/>
        <w:autoSpaceDN w:val="0"/>
        <w:adjustRightInd w:val="0"/>
        <w:spacing w:after="0" w:line="240" w:lineRule="auto"/>
        <w:jc w:val="both"/>
        <w:rPr>
          <w:rFonts w:ascii="Times New Roman" w:hAnsi="Times New Roman" w:cs="Times New Roman"/>
        </w:rPr>
      </w:pPr>
      <w:r w:rsidRPr="005D47FF">
        <w:rPr>
          <w:rFonts w:ascii="Times New Roman" w:hAnsi="Times New Roman" w:cs="Times New Roman"/>
        </w:rPr>
        <w:t>TS</w:t>
      </w:r>
      <w:r w:rsidRPr="005D47FF">
        <w:rPr>
          <w:rFonts w:ascii="Times New Roman" w:hAnsi="Times New Roman" w:cs="Times New Roman"/>
          <w:vertAlign w:val="subscript"/>
        </w:rPr>
        <w:t>1</w:t>
      </w:r>
      <w:r w:rsidRPr="005D47FF">
        <w:rPr>
          <w:rFonts w:ascii="Times New Roman" w:hAnsi="Times New Roman" w:cs="Times New Roman"/>
        </w:rPr>
        <w:t>=</w:t>
      </w:r>
      <w:r w:rsidRPr="005D47FF">
        <w:rPr>
          <w:rFonts w:ascii="Times New Roman" w:hAnsi="Times New Roman" w:cs="Times New Roman"/>
        </w:rPr>
        <w:tab/>
      </w: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num>
          <m:den>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den>
        </m:f>
      </m:oMath>
      <w:r w:rsidRPr="005D47FF">
        <w:rPr>
          <w:rFonts w:ascii="Times New Roman" w:hAnsi="Times New Roman" w:cs="Times New Roman"/>
        </w:rPr>
        <w:t>.</w:t>
      </w:r>
      <w:r w:rsidRPr="005D47FF">
        <w:rPr>
          <w:rFonts w:ascii="Times New Roman" w:hAnsi="Times New Roman" w:cs="Times New Roman"/>
        </w:rPr>
        <w:br/>
        <w:t>This value is then rounded off to the nearest integer value.</w:t>
      </w:r>
    </w:p>
    <w:p w:rsidR="005D47FF" w:rsidRPr="005D47FF" w:rsidRDefault="005D47FF" w:rsidP="00227C85">
      <w:pPr>
        <w:autoSpaceDE w:val="0"/>
        <w:autoSpaceDN w:val="0"/>
        <w:adjustRightInd w:val="0"/>
        <w:spacing w:after="0" w:line="240" w:lineRule="auto"/>
        <w:jc w:val="both"/>
        <w:rPr>
          <w:rFonts w:ascii="Times New Roman" w:hAnsi="Times New Roman" w:cs="Times New Roman"/>
        </w:rPr>
      </w:pPr>
      <w:r w:rsidRPr="005D47FF">
        <w:rPr>
          <w:rFonts w:ascii="Times New Roman" w:hAnsi="Times New Roman" w:cs="Times New Roman"/>
        </w:rPr>
        <w:t>Thus, when the AHP table is created, the values to be entered in the table are calculated by finding the difference of their respective Total Scores arrived at by the weighted averages method</w:t>
      </w:r>
    </w:p>
    <w:p w:rsidR="00E87F91" w:rsidRDefault="00E87F91" w:rsidP="00227C85">
      <w:pPr>
        <w:autoSpaceDE w:val="0"/>
        <w:autoSpaceDN w:val="0"/>
        <w:adjustRightInd w:val="0"/>
        <w:spacing w:after="0" w:line="240" w:lineRule="auto"/>
        <w:rPr>
          <w:rFonts w:ascii="Times New Roman" w:hAnsi="Times New Roman" w:cs="Times New Roman"/>
          <w:color w:val="252525"/>
          <w:shd w:val="clear" w:color="auto" w:fill="FFFFFF"/>
        </w:rPr>
      </w:pPr>
    </w:p>
    <w:p w:rsidR="00916750" w:rsidRDefault="00916750" w:rsidP="00227C85">
      <w:pPr>
        <w:autoSpaceDE w:val="0"/>
        <w:autoSpaceDN w:val="0"/>
        <w:adjustRightInd w:val="0"/>
        <w:spacing w:after="0" w:line="240" w:lineRule="auto"/>
        <w:rPr>
          <w:rFonts w:ascii="Times New Roman" w:hAnsi="Times New Roman" w:cs="Times New Roman"/>
          <w:color w:val="252525"/>
          <w:shd w:val="clear" w:color="auto" w:fill="FFFFFF"/>
        </w:rPr>
        <w:sectPr w:rsidR="00916750" w:rsidSect="002D5390">
          <w:type w:val="continuous"/>
          <w:pgSz w:w="11906" w:h="16838"/>
          <w:pgMar w:top="1440" w:right="1440" w:bottom="1440" w:left="1440" w:header="708" w:footer="708" w:gutter="0"/>
          <w:cols w:num="2" w:space="708"/>
          <w:docGrid w:linePitch="360"/>
        </w:sectPr>
      </w:pPr>
    </w:p>
    <w:p w:rsidR="00077F81" w:rsidRDefault="00077F81" w:rsidP="00227C85">
      <w:pPr>
        <w:autoSpaceDE w:val="0"/>
        <w:autoSpaceDN w:val="0"/>
        <w:adjustRightInd w:val="0"/>
        <w:spacing w:after="0" w:line="240" w:lineRule="auto"/>
        <w:rPr>
          <w:rFonts w:ascii="Times New Roman" w:hAnsi="Times New Roman" w:cs="Times New Roman"/>
          <w:color w:val="252525"/>
          <w:shd w:val="clear" w:color="auto" w:fill="FFFFFF"/>
        </w:rPr>
      </w:pPr>
    </w:p>
    <w:p w:rsidR="00942FCF" w:rsidRDefault="00942FCF" w:rsidP="00227C85">
      <w:pPr>
        <w:autoSpaceDE w:val="0"/>
        <w:autoSpaceDN w:val="0"/>
        <w:adjustRightInd w:val="0"/>
        <w:spacing w:after="0" w:line="240" w:lineRule="auto"/>
        <w:rPr>
          <w:rFonts w:ascii="Times New Roman" w:hAnsi="Times New Roman" w:cs="Times New Roman"/>
          <w:color w:val="252525"/>
          <w:shd w:val="clear" w:color="auto" w:fill="FFFFFF"/>
        </w:rPr>
        <w:sectPr w:rsidR="00942FCF" w:rsidSect="002D5390">
          <w:type w:val="continuous"/>
          <w:pgSz w:w="11906" w:h="16838"/>
          <w:pgMar w:top="1440" w:right="1440" w:bottom="1440" w:left="1440" w:header="708" w:footer="708" w:gutter="0"/>
          <w:cols w:num="2" w:space="708"/>
          <w:docGrid w:linePitch="360"/>
        </w:sectPr>
      </w:pPr>
    </w:p>
    <w:p w:rsidR="007A14C6" w:rsidRDefault="007A14C6" w:rsidP="00227C85">
      <w:pPr>
        <w:autoSpaceDE w:val="0"/>
        <w:autoSpaceDN w:val="0"/>
        <w:adjustRightInd w:val="0"/>
        <w:spacing w:after="0" w:line="240" w:lineRule="auto"/>
        <w:rPr>
          <w:rFonts w:ascii="Times New Roman" w:hAnsi="Times New Roman" w:cs="Times New Roman"/>
          <w:i/>
          <w:color w:val="252525"/>
          <w:shd w:val="clear" w:color="auto" w:fill="FFFFFF"/>
        </w:rPr>
      </w:pPr>
    </w:p>
    <w:p w:rsidR="000C5CA8" w:rsidRPr="007A14C6" w:rsidRDefault="007A14C6" w:rsidP="00227C85">
      <w:pPr>
        <w:autoSpaceDE w:val="0"/>
        <w:autoSpaceDN w:val="0"/>
        <w:adjustRightInd w:val="0"/>
        <w:spacing w:after="0" w:line="240" w:lineRule="auto"/>
        <w:rPr>
          <w:rFonts w:ascii="Times New Roman" w:hAnsi="Times New Roman" w:cs="Times New Roman"/>
          <w:i/>
          <w:color w:val="252525"/>
          <w:sz w:val="20"/>
          <w:szCs w:val="20"/>
          <w:shd w:val="clear" w:color="auto" w:fill="FFFFFF"/>
        </w:rPr>
      </w:pPr>
      <w:r>
        <w:rPr>
          <w:rFonts w:ascii="Times New Roman" w:hAnsi="Times New Roman" w:cs="Times New Roman"/>
          <w:i/>
          <w:color w:val="252525"/>
          <w:sz w:val="20"/>
          <w:szCs w:val="20"/>
          <w:shd w:val="clear" w:color="auto" w:fill="FFFFFF"/>
        </w:rPr>
        <w:t xml:space="preserve">Table 1: </w:t>
      </w:r>
      <w:r w:rsidR="000C5CA8" w:rsidRPr="007A14C6">
        <w:rPr>
          <w:rFonts w:ascii="Times New Roman" w:hAnsi="Times New Roman" w:cs="Times New Roman"/>
          <w:i/>
          <w:color w:val="252525"/>
          <w:sz w:val="20"/>
          <w:szCs w:val="20"/>
          <w:shd w:val="clear" w:color="auto" w:fill="FFFFFF"/>
        </w:rPr>
        <w:t>Comparison table for AHP:</w:t>
      </w:r>
    </w:p>
    <w:p w:rsidR="000C5CA8" w:rsidRPr="00D36AA8" w:rsidRDefault="000C5CA8" w:rsidP="00227C85">
      <w:pPr>
        <w:autoSpaceDE w:val="0"/>
        <w:autoSpaceDN w:val="0"/>
        <w:adjustRightInd w:val="0"/>
        <w:spacing w:after="0" w:line="240" w:lineRule="auto"/>
        <w:rPr>
          <w:rFonts w:ascii="Times New Roman" w:hAnsi="Times New Roman" w:cs="Times New Roman"/>
          <w:color w:val="252525"/>
          <w:shd w:val="clear" w:color="auto" w:fill="FFFFFF"/>
        </w:rPr>
      </w:pPr>
    </w:p>
    <w:tbl>
      <w:tblPr>
        <w:tblStyle w:val="TableGrid"/>
        <w:tblW w:w="9214" w:type="dxa"/>
        <w:tblInd w:w="108" w:type="dxa"/>
        <w:tblLook w:val="04A0" w:firstRow="1" w:lastRow="0" w:firstColumn="1" w:lastColumn="0" w:noHBand="0" w:noVBand="1"/>
      </w:tblPr>
      <w:tblGrid>
        <w:gridCol w:w="1276"/>
        <w:gridCol w:w="7938"/>
      </w:tblGrid>
      <w:tr w:rsidR="000C5CA8" w:rsidRPr="00D36AA8" w:rsidTr="000C5CA8">
        <w:trPr>
          <w:trHeight w:val="250"/>
        </w:trPr>
        <w:tc>
          <w:tcPr>
            <w:tcW w:w="1276"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w:t>
            </w:r>
          </w:p>
        </w:tc>
        <w:tc>
          <w:tcPr>
            <w:tcW w:w="7938"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Two criteria contribute equally to the objective</w:t>
            </w:r>
          </w:p>
        </w:tc>
      </w:tr>
      <w:tr w:rsidR="000C5CA8" w:rsidRPr="00D36AA8" w:rsidTr="000C5CA8">
        <w:trPr>
          <w:trHeight w:val="239"/>
        </w:trPr>
        <w:tc>
          <w:tcPr>
            <w:tcW w:w="1276"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3</w:t>
            </w:r>
          </w:p>
        </w:tc>
        <w:tc>
          <w:tcPr>
            <w:tcW w:w="7938"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Experience and judgement slightly favour one over another</w:t>
            </w:r>
          </w:p>
        </w:tc>
      </w:tr>
      <w:tr w:rsidR="000C5CA8" w:rsidRPr="00D36AA8" w:rsidTr="000C5CA8">
        <w:trPr>
          <w:trHeight w:val="250"/>
        </w:trPr>
        <w:tc>
          <w:tcPr>
            <w:tcW w:w="1276"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5</w:t>
            </w:r>
          </w:p>
        </w:tc>
        <w:tc>
          <w:tcPr>
            <w:tcW w:w="7938"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Experience and judgment strongly favour one over another</w:t>
            </w:r>
          </w:p>
        </w:tc>
      </w:tr>
      <w:tr w:rsidR="000C5CA8" w:rsidRPr="00D36AA8" w:rsidTr="000C5CA8">
        <w:trPr>
          <w:trHeight w:val="239"/>
        </w:trPr>
        <w:tc>
          <w:tcPr>
            <w:tcW w:w="1276"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7</w:t>
            </w:r>
          </w:p>
        </w:tc>
        <w:tc>
          <w:tcPr>
            <w:tcW w:w="7938"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Criterion is strongly favo</w:t>
            </w:r>
            <w:r w:rsidR="000365C1">
              <w:rPr>
                <w:rFonts w:ascii="Times New Roman" w:hAnsi="Times New Roman" w:cs="Times New Roman"/>
              </w:rPr>
              <w:t>u</w:t>
            </w:r>
            <w:r w:rsidRPr="00D36AA8">
              <w:rPr>
                <w:rFonts w:ascii="Times New Roman" w:hAnsi="Times New Roman" w:cs="Times New Roman"/>
              </w:rPr>
              <w:t>red and its dominance is demonstrated in practice</w:t>
            </w:r>
          </w:p>
        </w:tc>
      </w:tr>
      <w:tr w:rsidR="000C5CA8" w:rsidRPr="00D36AA8" w:rsidTr="000C5CA8">
        <w:trPr>
          <w:trHeight w:val="250"/>
        </w:trPr>
        <w:tc>
          <w:tcPr>
            <w:tcW w:w="1276"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9</w:t>
            </w:r>
          </w:p>
        </w:tc>
        <w:tc>
          <w:tcPr>
            <w:tcW w:w="7938"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Importance of one over another affirmed on the highest possible order</w:t>
            </w:r>
          </w:p>
        </w:tc>
      </w:tr>
      <w:tr w:rsidR="000C5CA8" w:rsidRPr="00D36AA8" w:rsidTr="000C5CA8">
        <w:trPr>
          <w:trHeight w:val="250"/>
        </w:trPr>
        <w:tc>
          <w:tcPr>
            <w:tcW w:w="1276"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2, 4, 6, 8</w:t>
            </w:r>
          </w:p>
        </w:tc>
        <w:tc>
          <w:tcPr>
            <w:tcW w:w="7938" w:type="dxa"/>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Used to represent compromise between the priorities listed above</w:t>
            </w:r>
          </w:p>
        </w:tc>
      </w:tr>
    </w:tbl>
    <w:p w:rsidR="009F0BA4" w:rsidRDefault="009F0BA4" w:rsidP="00227C85">
      <w:pPr>
        <w:autoSpaceDE w:val="0"/>
        <w:autoSpaceDN w:val="0"/>
        <w:adjustRightInd w:val="0"/>
        <w:spacing w:after="0" w:line="240" w:lineRule="auto"/>
        <w:rPr>
          <w:rFonts w:ascii="Times New Roman" w:hAnsi="Times New Roman" w:cs="Times New Roman"/>
          <w:i/>
          <w:noProof/>
          <w:lang w:eastAsia="en-GB"/>
        </w:rPr>
      </w:pPr>
    </w:p>
    <w:p w:rsidR="009F0BA4" w:rsidRDefault="009F0BA4" w:rsidP="00227C85">
      <w:pPr>
        <w:autoSpaceDE w:val="0"/>
        <w:autoSpaceDN w:val="0"/>
        <w:adjustRightInd w:val="0"/>
        <w:spacing w:after="0" w:line="240" w:lineRule="auto"/>
        <w:rPr>
          <w:rFonts w:ascii="Times New Roman" w:hAnsi="Times New Roman" w:cs="Times New Roman"/>
          <w:i/>
          <w:noProof/>
          <w:lang w:eastAsia="en-GB"/>
        </w:rPr>
      </w:pPr>
    </w:p>
    <w:p w:rsidR="003410AB" w:rsidRDefault="007A14C6" w:rsidP="00227C85">
      <w:pPr>
        <w:autoSpaceDE w:val="0"/>
        <w:autoSpaceDN w:val="0"/>
        <w:adjustRightInd w:val="0"/>
        <w:spacing w:after="0" w:line="240" w:lineRule="auto"/>
        <w:jc w:val="center"/>
        <w:rPr>
          <w:rFonts w:ascii="Times New Roman" w:hAnsi="Times New Roman" w:cs="Times New Roman"/>
          <w:i/>
        </w:rPr>
      </w:pPr>
      <w:r>
        <w:rPr>
          <w:rFonts w:ascii="Times New Roman" w:hAnsi="Times New Roman" w:cs="Times New Roman"/>
          <w:iCs/>
          <w:noProof/>
          <w:sz w:val="24"/>
          <w:szCs w:val="24"/>
        </w:rPr>
        <w:drawing>
          <wp:inline distT="0" distB="0" distL="0" distR="0">
            <wp:extent cx="5962650" cy="260573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5932" cy="2615912"/>
                    </a:xfrm>
                    <a:prstGeom prst="rect">
                      <a:avLst/>
                    </a:prstGeom>
                    <a:noFill/>
                  </pic:spPr>
                </pic:pic>
              </a:graphicData>
            </a:graphic>
          </wp:inline>
        </w:drawing>
      </w:r>
    </w:p>
    <w:p w:rsidR="007A14C6" w:rsidRDefault="007A14C6" w:rsidP="00227C85">
      <w:pPr>
        <w:autoSpaceDE w:val="0"/>
        <w:autoSpaceDN w:val="0"/>
        <w:adjustRightInd w:val="0"/>
        <w:spacing w:after="0" w:line="240" w:lineRule="auto"/>
        <w:jc w:val="center"/>
        <w:rPr>
          <w:rFonts w:ascii="Times New Roman" w:hAnsi="Times New Roman" w:cs="Times New Roman"/>
          <w:i/>
        </w:rPr>
      </w:pPr>
    </w:p>
    <w:p w:rsidR="007A14C6" w:rsidRPr="007A14C6" w:rsidRDefault="007A14C6" w:rsidP="00227C85">
      <w:pPr>
        <w:autoSpaceDE w:val="0"/>
        <w:autoSpaceDN w:val="0"/>
        <w:adjustRightInd w:val="0"/>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 xml:space="preserve">Figure 2: </w:t>
      </w:r>
      <w:r w:rsidRPr="007A14C6">
        <w:rPr>
          <w:rFonts w:ascii="Times New Roman" w:hAnsi="Times New Roman" w:cs="Times New Roman"/>
          <w:i/>
          <w:sz w:val="20"/>
          <w:szCs w:val="20"/>
        </w:rPr>
        <w:t>Flowchart of SWOT-AHP</w:t>
      </w:r>
    </w:p>
    <w:p w:rsidR="00FA1EF7" w:rsidRDefault="00FA1EF7" w:rsidP="00227C85">
      <w:pPr>
        <w:autoSpaceDE w:val="0"/>
        <w:autoSpaceDN w:val="0"/>
        <w:adjustRightInd w:val="0"/>
        <w:spacing w:after="0" w:line="240" w:lineRule="auto"/>
        <w:rPr>
          <w:rFonts w:ascii="Times New Roman" w:hAnsi="Times New Roman" w:cs="Times New Roman"/>
          <w:i/>
        </w:rPr>
      </w:pPr>
    </w:p>
    <w:p w:rsidR="00851BD8" w:rsidRDefault="00851BD8" w:rsidP="00227C85">
      <w:pPr>
        <w:autoSpaceDE w:val="0"/>
        <w:autoSpaceDN w:val="0"/>
        <w:adjustRightInd w:val="0"/>
        <w:spacing w:after="0" w:line="240" w:lineRule="auto"/>
        <w:rPr>
          <w:rFonts w:ascii="Times New Roman" w:hAnsi="Times New Roman" w:cs="Times New Roman"/>
          <w:i/>
          <w:sz w:val="20"/>
          <w:szCs w:val="20"/>
        </w:rPr>
      </w:pPr>
    </w:p>
    <w:p w:rsidR="00BC1AC2" w:rsidRDefault="00BC1AC2" w:rsidP="00227C85">
      <w:pPr>
        <w:autoSpaceDE w:val="0"/>
        <w:autoSpaceDN w:val="0"/>
        <w:adjustRightInd w:val="0"/>
        <w:spacing w:after="0" w:line="240" w:lineRule="auto"/>
        <w:rPr>
          <w:rFonts w:ascii="Times New Roman" w:hAnsi="Times New Roman" w:cs="Times New Roman"/>
          <w:i/>
          <w:sz w:val="20"/>
          <w:szCs w:val="20"/>
        </w:rPr>
      </w:pPr>
    </w:p>
    <w:p w:rsidR="00BC1AC2" w:rsidRDefault="00BC1AC2" w:rsidP="00227C85">
      <w:pPr>
        <w:autoSpaceDE w:val="0"/>
        <w:autoSpaceDN w:val="0"/>
        <w:adjustRightInd w:val="0"/>
        <w:spacing w:after="0" w:line="240" w:lineRule="auto"/>
        <w:rPr>
          <w:rFonts w:ascii="Times New Roman" w:hAnsi="Times New Roman" w:cs="Times New Roman"/>
          <w:i/>
          <w:sz w:val="20"/>
          <w:szCs w:val="20"/>
        </w:rPr>
      </w:pPr>
    </w:p>
    <w:p w:rsidR="00BC1AC2" w:rsidRDefault="00BC1AC2" w:rsidP="00227C85">
      <w:pPr>
        <w:autoSpaceDE w:val="0"/>
        <w:autoSpaceDN w:val="0"/>
        <w:adjustRightInd w:val="0"/>
        <w:spacing w:after="0" w:line="240" w:lineRule="auto"/>
        <w:rPr>
          <w:rFonts w:ascii="Times New Roman" w:hAnsi="Times New Roman" w:cs="Times New Roman"/>
          <w:i/>
          <w:sz w:val="20"/>
          <w:szCs w:val="20"/>
        </w:rPr>
      </w:pPr>
    </w:p>
    <w:p w:rsidR="00851BD8" w:rsidRDefault="00851BD8" w:rsidP="00227C85">
      <w:pPr>
        <w:autoSpaceDE w:val="0"/>
        <w:autoSpaceDN w:val="0"/>
        <w:adjustRightInd w:val="0"/>
        <w:spacing w:after="0" w:line="240" w:lineRule="auto"/>
        <w:rPr>
          <w:rFonts w:ascii="Times New Roman" w:hAnsi="Times New Roman" w:cs="Times New Roman"/>
          <w:i/>
          <w:sz w:val="20"/>
          <w:szCs w:val="20"/>
        </w:rPr>
      </w:pPr>
    </w:p>
    <w:p w:rsidR="00851BD8" w:rsidRDefault="00851BD8" w:rsidP="00227C85">
      <w:pPr>
        <w:autoSpaceDE w:val="0"/>
        <w:autoSpaceDN w:val="0"/>
        <w:adjustRightInd w:val="0"/>
        <w:spacing w:after="0" w:line="240" w:lineRule="auto"/>
        <w:rPr>
          <w:rFonts w:ascii="Times New Roman" w:hAnsi="Times New Roman" w:cs="Times New Roman"/>
          <w:i/>
          <w:sz w:val="20"/>
          <w:szCs w:val="20"/>
        </w:rPr>
      </w:pPr>
    </w:p>
    <w:p w:rsidR="001850B8" w:rsidRPr="007A14C6" w:rsidRDefault="007A14C6" w:rsidP="00227C85">
      <w:pPr>
        <w:autoSpaceDE w:val="0"/>
        <w:autoSpaceDN w:val="0"/>
        <w:adjustRightInd w:val="0"/>
        <w:spacing w:after="0" w:line="240" w:lineRule="auto"/>
        <w:rPr>
          <w:rFonts w:ascii="Times New Roman" w:hAnsi="Times New Roman" w:cs="Times New Roman"/>
          <w:i/>
          <w:sz w:val="20"/>
          <w:szCs w:val="20"/>
        </w:rPr>
      </w:pPr>
      <w:r w:rsidRPr="007A14C6">
        <w:rPr>
          <w:rFonts w:ascii="Times New Roman" w:hAnsi="Times New Roman" w:cs="Times New Roman"/>
          <w:i/>
          <w:sz w:val="20"/>
          <w:szCs w:val="20"/>
        </w:rPr>
        <w:lastRenderedPageBreak/>
        <w:t xml:space="preserve">Table 2: </w:t>
      </w:r>
      <w:r w:rsidR="001850B8" w:rsidRPr="007A14C6">
        <w:rPr>
          <w:rFonts w:ascii="Times New Roman" w:hAnsi="Times New Roman" w:cs="Times New Roman"/>
          <w:i/>
          <w:sz w:val="20"/>
          <w:szCs w:val="20"/>
        </w:rPr>
        <w:t>Pairwise comparison of SWOT factors</w:t>
      </w:r>
    </w:p>
    <w:p w:rsidR="001850B8" w:rsidRPr="00D36AA8" w:rsidRDefault="001850B8" w:rsidP="00227C85">
      <w:pPr>
        <w:autoSpaceDE w:val="0"/>
        <w:autoSpaceDN w:val="0"/>
        <w:adjustRightInd w:val="0"/>
        <w:spacing w:after="0" w:line="240" w:lineRule="auto"/>
        <w:rPr>
          <w:rFonts w:ascii="Times New Roman" w:hAnsi="Times New Roman" w:cs="Times New Roman"/>
        </w:rPr>
      </w:pPr>
    </w:p>
    <w:tbl>
      <w:tblPr>
        <w:tblStyle w:val="TableGrid"/>
        <w:tblW w:w="9274" w:type="dxa"/>
        <w:tblLook w:val="04A0" w:firstRow="1" w:lastRow="0" w:firstColumn="1" w:lastColumn="0" w:noHBand="0" w:noVBand="1"/>
      </w:tblPr>
      <w:tblGrid>
        <w:gridCol w:w="2376"/>
        <w:gridCol w:w="1276"/>
        <w:gridCol w:w="1418"/>
        <w:gridCol w:w="1701"/>
        <w:gridCol w:w="992"/>
        <w:gridCol w:w="1511"/>
      </w:tblGrid>
      <w:tr w:rsidR="000C5CA8" w:rsidRPr="00D36AA8" w:rsidTr="00AC0885">
        <w:trPr>
          <w:trHeight w:val="531"/>
        </w:trPr>
        <w:tc>
          <w:tcPr>
            <w:tcW w:w="2376"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p>
        </w:tc>
        <w:tc>
          <w:tcPr>
            <w:tcW w:w="1276" w:type="dxa"/>
            <w:noWrap/>
            <w:vAlign w:val="center"/>
            <w:hideMark/>
          </w:tcPr>
          <w:p w:rsidR="000C5CA8" w:rsidRPr="00AC0885" w:rsidRDefault="000C5CA8" w:rsidP="00227C85">
            <w:pPr>
              <w:jc w:val="center"/>
              <w:rPr>
                <w:rFonts w:ascii="Times New Roman" w:hAnsi="Times New Roman" w:cs="Times New Roman"/>
                <w:b/>
                <w:color w:val="000000"/>
              </w:rPr>
            </w:pPr>
            <w:r w:rsidRPr="00AC0885">
              <w:rPr>
                <w:rFonts w:ascii="Times New Roman" w:hAnsi="Times New Roman" w:cs="Times New Roman"/>
                <w:b/>
                <w:color w:val="000000"/>
              </w:rPr>
              <w:t>Strengths</w:t>
            </w:r>
          </w:p>
        </w:tc>
        <w:tc>
          <w:tcPr>
            <w:tcW w:w="1418" w:type="dxa"/>
            <w:noWrap/>
            <w:vAlign w:val="center"/>
            <w:hideMark/>
          </w:tcPr>
          <w:p w:rsidR="000C5CA8" w:rsidRPr="00AC0885" w:rsidRDefault="000C5CA8" w:rsidP="00227C85">
            <w:pPr>
              <w:jc w:val="center"/>
              <w:rPr>
                <w:rFonts w:ascii="Times New Roman" w:hAnsi="Times New Roman" w:cs="Times New Roman"/>
                <w:b/>
                <w:color w:val="000000"/>
              </w:rPr>
            </w:pPr>
            <w:r w:rsidRPr="00AC0885">
              <w:rPr>
                <w:rFonts w:ascii="Times New Roman" w:hAnsi="Times New Roman" w:cs="Times New Roman"/>
                <w:b/>
                <w:color w:val="000000"/>
              </w:rPr>
              <w:t>Weaknesses</w:t>
            </w:r>
          </w:p>
        </w:tc>
        <w:tc>
          <w:tcPr>
            <w:tcW w:w="1701" w:type="dxa"/>
            <w:noWrap/>
            <w:vAlign w:val="center"/>
            <w:hideMark/>
          </w:tcPr>
          <w:p w:rsidR="000C5CA8" w:rsidRPr="00AC0885" w:rsidRDefault="000C5CA8" w:rsidP="00227C85">
            <w:pPr>
              <w:jc w:val="center"/>
              <w:rPr>
                <w:rFonts w:ascii="Times New Roman" w:hAnsi="Times New Roman" w:cs="Times New Roman"/>
                <w:b/>
                <w:color w:val="000000"/>
              </w:rPr>
            </w:pPr>
            <w:r w:rsidRPr="00AC0885">
              <w:rPr>
                <w:rFonts w:ascii="Times New Roman" w:hAnsi="Times New Roman" w:cs="Times New Roman"/>
                <w:b/>
                <w:color w:val="000000"/>
              </w:rPr>
              <w:t>Opportunities</w:t>
            </w:r>
          </w:p>
        </w:tc>
        <w:tc>
          <w:tcPr>
            <w:tcW w:w="992" w:type="dxa"/>
            <w:noWrap/>
            <w:vAlign w:val="center"/>
            <w:hideMark/>
          </w:tcPr>
          <w:p w:rsidR="000C5CA8" w:rsidRPr="00AC0885" w:rsidRDefault="000C5CA8" w:rsidP="00227C85">
            <w:pPr>
              <w:jc w:val="center"/>
              <w:rPr>
                <w:rFonts w:ascii="Times New Roman" w:hAnsi="Times New Roman" w:cs="Times New Roman"/>
                <w:b/>
                <w:color w:val="000000"/>
              </w:rPr>
            </w:pPr>
            <w:r w:rsidRPr="00AC0885">
              <w:rPr>
                <w:rFonts w:ascii="Times New Roman" w:hAnsi="Times New Roman" w:cs="Times New Roman"/>
                <w:b/>
                <w:color w:val="000000"/>
              </w:rPr>
              <w:t>Threats</w:t>
            </w:r>
          </w:p>
        </w:tc>
        <w:tc>
          <w:tcPr>
            <w:tcW w:w="1511" w:type="dxa"/>
            <w:noWrap/>
            <w:vAlign w:val="center"/>
            <w:hideMark/>
          </w:tcPr>
          <w:p w:rsidR="000C5CA8" w:rsidRPr="00D36AA8" w:rsidRDefault="00AC0885" w:rsidP="00227C85">
            <w:pPr>
              <w:autoSpaceDE w:val="0"/>
              <w:autoSpaceDN w:val="0"/>
              <w:adjustRightInd w:val="0"/>
              <w:jc w:val="center"/>
              <w:rPr>
                <w:rFonts w:ascii="Times New Roman" w:hAnsi="Times New Roman" w:cs="Times New Roman"/>
              </w:rPr>
            </w:pPr>
            <w:r>
              <w:rPr>
                <w:rFonts w:ascii="Times New Roman" w:hAnsi="Times New Roman" w:cs="Times New Roman"/>
                <w:b/>
              </w:rPr>
              <w:t>Local Weight</w:t>
            </w:r>
          </w:p>
        </w:tc>
      </w:tr>
      <w:tr w:rsidR="000C5CA8" w:rsidRPr="00D36AA8" w:rsidTr="00AC0885">
        <w:trPr>
          <w:trHeight w:val="199"/>
        </w:trPr>
        <w:tc>
          <w:tcPr>
            <w:tcW w:w="2376"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Strengths</w:t>
            </w:r>
          </w:p>
        </w:tc>
        <w:tc>
          <w:tcPr>
            <w:tcW w:w="1276"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1</w:t>
            </w:r>
          </w:p>
        </w:tc>
        <w:tc>
          <w:tcPr>
            <w:tcW w:w="1418"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4</w:t>
            </w:r>
          </w:p>
        </w:tc>
        <w:tc>
          <w:tcPr>
            <w:tcW w:w="1701"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0.25</w:t>
            </w:r>
          </w:p>
        </w:tc>
        <w:tc>
          <w:tcPr>
            <w:tcW w:w="992"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6</w:t>
            </w:r>
          </w:p>
        </w:tc>
        <w:tc>
          <w:tcPr>
            <w:tcW w:w="151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0.290596</w:t>
            </w:r>
          </w:p>
        </w:tc>
      </w:tr>
      <w:tr w:rsidR="000C5CA8" w:rsidRPr="00D36AA8" w:rsidTr="00AC0885">
        <w:trPr>
          <w:trHeight w:val="199"/>
        </w:trPr>
        <w:tc>
          <w:tcPr>
            <w:tcW w:w="2376"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Weaknesses</w:t>
            </w:r>
          </w:p>
        </w:tc>
        <w:tc>
          <w:tcPr>
            <w:tcW w:w="1276"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0.25</w:t>
            </w:r>
          </w:p>
        </w:tc>
        <w:tc>
          <w:tcPr>
            <w:tcW w:w="1418"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1</w:t>
            </w:r>
          </w:p>
        </w:tc>
        <w:tc>
          <w:tcPr>
            <w:tcW w:w="1701"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0.33</w:t>
            </w:r>
          </w:p>
        </w:tc>
        <w:tc>
          <w:tcPr>
            <w:tcW w:w="992"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3.00</w:t>
            </w:r>
          </w:p>
        </w:tc>
        <w:tc>
          <w:tcPr>
            <w:tcW w:w="151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0.133932</w:t>
            </w:r>
          </w:p>
        </w:tc>
      </w:tr>
      <w:tr w:rsidR="000C5CA8" w:rsidRPr="00D36AA8" w:rsidTr="00AC0885">
        <w:trPr>
          <w:trHeight w:val="199"/>
        </w:trPr>
        <w:tc>
          <w:tcPr>
            <w:tcW w:w="2376"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Opportunities</w:t>
            </w:r>
          </w:p>
        </w:tc>
        <w:tc>
          <w:tcPr>
            <w:tcW w:w="1276"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4</w:t>
            </w:r>
          </w:p>
        </w:tc>
        <w:tc>
          <w:tcPr>
            <w:tcW w:w="1418"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3</w:t>
            </w:r>
          </w:p>
        </w:tc>
        <w:tc>
          <w:tcPr>
            <w:tcW w:w="1701"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1</w:t>
            </w:r>
          </w:p>
        </w:tc>
        <w:tc>
          <w:tcPr>
            <w:tcW w:w="992"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7</w:t>
            </w:r>
          </w:p>
        </w:tc>
        <w:tc>
          <w:tcPr>
            <w:tcW w:w="151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0.522384</w:t>
            </w:r>
          </w:p>
        </w:tc>
      </w:tr>
      <w:tr w:rsidR="000C5CA8" w:rsidRPr="00D36AA8" w:rsidTr="00AC0885">
        <w:trPr>
          <w:trHeight w:val="199"/>
        </w:trPr>
        <w:tc>
          <w:tcPr>
            <w:tcW w:w="2376"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Threats</w:t>
            </w:r>
          </w:p>
        </w:tc>
        <w:tc>
          <w:tcPr>
            <w:tcW w:w="1276"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0.166667</w:t>
            </w:r>
          </w:p>
        </w:tc>
        <w:tc>
          <w:tcPr>
            <w:tcW w:w="1418"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0.333333</w:t>
            </w:r>
          </w:p>
        </w:tc>
        <w:tc>
          <w:tcPr>
            <w:tcW w:w="1701"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0.142857</w:t>
            </w:r>
          </w:p>
        </w:tc>
        <w:tc>
          <w:tcPr>
            <w:tcW w:w="992" w:type="dxa"/>
            <w:noWrap/>
            <w:vAlign w:val="center"/>
            <w:hideMark/>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1</w:t>
            </w:r>
          </w:p>
        </w:tc>
        <w:tc>
          <w:tcPr>
            <w:tcW w:w="151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0.053088</w:t>
            </w:r>
          </w:p>
        </w:tc>
      </w:tr>
    </w:tbl>
    <w:p w:rsidR="0090488D" w:rsidRDefault="0090488D" w:rsidP="00227C85">
      <w:pPr>
        <w:autoSpaceDE w:val="0"/>
        <w:autoSpaceDN w:val="0"/>
        <w:adjustRightInd w:val="0"/>
        <w:spacing w:after="0" w:line="240" w:lineRule="auto"/>
        <w:rPr>
          <w:rFonts w:ascii="Times New Roman" w:hAnsi="Times New Roman" w:cs="Times New Roman"/>
        </w:rPr>
      </w:pPr>
    </w:p>
    <w:p w:rsidR="0058221A" w:rsidRDefault="007A14C6" w:rsidP="00227C85">
      <w:pPr>
        <w:autoSpaceDE w:val="0"/>
        <w:autoSpaceDN w:val="0"/>
        <w:adjustRightInd w:val="0"/>
        <w:spacing w:after="0" w:line="240" w:lineRule="auto"/>
        <w:rPr>
          <w:rFonts w:ascii="Times New Roman" w:hAnsi="Times New Roman" w:cs="Times New Roman"/>
          <w:i/>
          <w:sz w:val="20"/>
          <w:szCs w:val="20"/>
        </w:rPr>
      </w:pPr>
      <w:r w:rsidRPr="007A14C6">
        <w:rPr>
          <w:rFonts w:ascii="Times New Roman" w:hAnsi="Times New Roman" w:cs="Times New Roman"/>
          <w:i/>
          <w:sz w:val="20"/>
          <w:szCs w:val="20"/>
        </w:rPr>
        <w:t xml:space="preserve">Table 3: </w:t>
      </w:r>
      <w:r w:rsidR="0090488D" w:rsidRPr="007A14C6">
        <w:rPr>
          <w:rFonts w:ascii="Times New Roman" w:hAnsi="Times New Roman" w:cs="Times New Roman"/>
          <w:i/>
          <w:sz w:val="20"/>
          <w:szCs w:val="20"/>
        </w:rPr>
        <w:t>Correlation between SWOT parameters and influencing criteria</w:t>
      </w:r>
    </w:p>
    <w:p w:rsidR="00617DF4" w:rsidRDefault="00617DF4" w:rsidP="00227C85">
      <w:pPr>
        <w:autoSpaceDE w:val="0"/>
        <w:autoSpaceDN w:val="0"/>
        <w:adjustRightInd w:val="0"/>
        <w:spacing w:after="0" w:line="240" w:lineRule="auto"/>
        <w:rPr>
          <w:rFonts w:ascii="Times New Roman" w:hAnsi="Times New Roman" w:cs="Times New Roman"/>
          <w:i/>
        </w:rPr>
      </w:pPr>
    </w:p>
    <w:tbl>
      <w:tblPr>
        <w:tblStyle w:val="TableGrid1"/>
        <w:tblW w:w="9356" w:type="dxa"/>
        <w:tblInd w:w="-147" w:type="dxa"/>
        <w:tblLayout w:type="fixed"/>
        <w:tblLook w:val="04A0" w:firstRow="1" w:lastRow="0" w:firstColumn="1" w:lastColumn="0" w:noHBand="0" w:noVBand="1"/>
      </w:tblPr>
      <w:tblGrid>
        <w:gridCol w:w="7372"/>
        <w:gridCol w:w="1984"/>
      </w:tblGrid>
      <w:tr w:rsidR="00512DC1" w:rsidRPr="00512DC1" w:rsidTr="00512DC1">
        <w:trPr>
          <w:trHeight w:val="433"/>
        </w:trPr>
        <w:tc>
          <w:tcPr>
            <w:tcW w:w="7372" w:type="dxa"/>
            <w:vAlign w:val="center"/>
            <w:hideMark/>
          </w:tcPr>
          <w:p w:rsidR="00512DC1" w:rsidRPr="00512DC1" w:rsidRDefault="00512DC1" w:rsidP="00512DC1">
            <w:pPr>
              <w:autoSpaceDE w:val="0"/>
              <w:autoSpaceDN w:val="0"/>
              <w:adjustRightInd w:val="0"/>
              <w:jc w:val="center"/>
              <w:rPr>
                <w:rFonts w:ascii="Times New Roman" w:eastAsia="Calibri" w:hAnsi="Times New Roman" w:cs="Times New Roman"/>
                <w:b/>
              </w:rPr>
            </w:pPr>
            <w:r w:rsidRPr="00512DC1">
              <w:rPr>
                <w:rFonts w:ascii="Times New Roman" w:eastAsia="Calibri" w:hAnsi="Times New Roman" w:cs="Times New Roman"/>
                <w:b/>
              </w:rPr>
              <w:t>Influencing Criteria</w:t>
            </w:r>
          </w:p>
        </w:tc>
        <w:tc>
          <w:tcPr>
            <w:tcW w:w="1984" w:type="dxa"/>
            <w:vAlign w:val="center"/>
            <w:hideMark/>
          </w:tcPr>
          <w:p w:rsidR="00512DC1" w:rsidRPr="00512DC1" w:rsidRDefault="00512DC1" w:rsidP="00512DC1">
            <w:pPr>
              <w:autoSpaceDE w:val="0"/>
              <w:autoSpaceDN w:val="0"/>
              <w:adjustRightInd w:val="0"/>
              <w:jc w:val="center"/>
              <w:rPr>
                <w:rFonts w:ascii="Times New Roman" w:eastAsia="Calibri" w:hAnsi="Times New Roman" w:cs="Times New Roman"/>
                <w:b/>
              </w:rPr>
            </w:pPr>
            <w:r w:rsidRPr="00512DC1">
              <w:rPr>
                <w:rFonts w:ascii="Times New Roman" w:eastAsia="Calibri" w:hAnsi="Times New Roman" w:cs="Times New Roman"/>
                <w:b/>
              </w:rPr>
              <w:t>Scaling factor</w:t>
            </w:r>
          </w:p>
        </w:tc>
      </w:tr>
      <w:tr w:rsidR="00512DC1" w:rsidRPr="00512DC1" w:rsidTr="00512DC1">
        <w:trPr>
          <w:trHeight w:val="385"/>
        </w:trPr>
        <w:tc>
          <w:tcPr>
            <w:tcW w:w="7372" w:type="dxa"/>
            <w:noWrap/>
            <w:vAlign w:val="center"/>
            <w:hideMark/>
          </w:tcPr>
          <w:p w:rsidR="00512DC1" w:rsidRPr="00512DC1" w:rsidRDefault="00512DC1" w:rsidP="00512DC1">
            <w:pPr>
              <w:autoSpaceDE w:val="0"/>
              <w:autoSpaceDN w:val="0"/>
              <w:adjustRightInd w:val="0"/>
              <w:jc w:val="center"/>
              <w:rPr>
                <w:rFonts w:ascii="Times New Roman" w:eastAsia="Calibri" w:hAnsi="Times New Roman" w:cs="Times New Roman"/>
              </w:rPr>
            </w:pPr>
            <w:r w:rsidRPr="00512DC1">
              <w:rPr>
                <w:rFonts w:ascii="Times New Roman" w:eastAsia="Calibri" w:hAnsi="Times New Roman" w:cs="Times New Roman"/>
              </w:rPr>
              <w:t>Increased profitability of venture (C1)</w:t>
            </w:r>
          </w:p>
        </w:tc>
        <w:tc>
          <w:tcPr>
            <w:tcW w:w="1984" w:type="dxa"/>
            <w:noWrap/>
            <w:vAlign w:val="center"/>
            <w:hideMark/>
          </w:tcPr>
          <w:p w:rsidR="00512DC1" w:rsidRPr="00512DC1" w:rsidRDefault="00512DC1" w:rsidP="00512DC1">
            <w:pPr>
              <w:autoSpaceDE w:val="0"/>
              <w:autoSpaceDN w:val="0"/>
              <w:adjustRightInd w:val="0"/>
              <w:jc w:val="center"/>
              <w:rPr>
                <w:rFonts w:ascii="Times New Roman" w:eastAsia="Calibri" w:hAnsi="Times New Roman" w:cs="Times New Roman"/>
              </w:rPr>
            </w:pPr>
            <w:r w:rsidRPr="00512DC1">
              <w:rPr>
                <w:rFonts w:ascii="Times New Roman" w:eastAsia="Calibri" w:hAnsi="Times New Roman" w:cs="Times New Roman"/>
              </w:rPr>
              <w:t>3</w:t>
            </w:r>
          </w:p>
        </w:tc>
      </w:tr>
      <w:tr w:rsidR="00512DC1" w:rsidRPr="00512DC1" w:rsidTr="00512DC1">
        <w:trPr>
          <w:trHeight w:val="405"/>
        </w:trPr>
        <w:tc>
          <w:tcPr>
            <w:tcW w:w="7372" w:type="dxa"/>
            <w:vAlign w:val="center"/>
            <w:hideMark/>
          </w:tcPr>
          <w:p w:rsidR="00512DC1" w:rsidRPr="00512DC1" w:rsidRDefault="00512DC1" w:rsidP="00512DC1">
            <w:pPr>
              <w:autoSpaceDE w:val="0"/>
              <w:autoSpaceDN w:val="0"/>
              <w:adjustRightInd w:val="0"/>
              <w:jc w:val="center"/>
              <w:rPr>
                <w:rFonts w:ascii="Times New Roman" w:eastAsia="Calibri" w:hAnsi="Times New Roman" w:cs="Times New Roman"/>
              </w:rPr>
            </w:pPr>
            <w:r w:rsidRPr="00512DC1">
              <w:rPr>
                <w:rFonts w:ascii="Times New Roman" w:eastAsia="Calibri" w:hAnsi="Times New Roman" w:cs="Times New Roman"/>
              </w:rPr>
              <w:t>Customer-centric strategizing (C2)</w:t>
            </w:r>
          </w:p>
        </w:tc>
        <w:tc>
          <w:tcPr>
            <w:tcW w:w="1984" w:type="dxa"/>
            <w:noWrap/>
            <w:vAlign w:val="center"/>
            <w:hideMark/>
          </w:tcPr>
          <w:p w:rsidR="00512DC1" w:rsidRPr="00512DC1" w:rsidRDefault="00512DC1" w:rsidP="00512DC1">
            <w:pPr>
              <w:autoSpaceDE w:val="0"/>
              <w:autoSpaceDN w:val="0"/>
              <w:adjustRightInd w:val="0"/>
              <w:jc w:val="center"/>
              <w:rPr>
                <w:rFonts w:ascii="Times New Roman" w:eastAsia="Calibri" w:hAnsi="Times New Roman" w:cs="Times New Roman"/>
              </w:rPr>
            </w:pPr>
            <w:r w:rsidRPr="00512DC1">
              <w:rPr>
                <w:rFonts w:ascii="Times New Roman" w:eastAsia="Calibri" w:hAnsi="Times New Roman" w:cs="Times New Roman"/>
              </w:rPr>
              <w:t>1</w:t>
            </w:r>
          </w:p>
        </w:tc>
      </w:tr>
      <w:tr w:rsidR="00512DC1" w:rsidRPr="00512DC1" w:rsidTr="00512DC1">
        <w:trPr>
          <w:trHeight w:val="424"/>
        </w:trPr>
        <w:tc>
          <w:tcPr>
            <w:tcW w:w="7372" w:type="dxa"/>
            <w:noWrap/>
            <w:vAlign w:val="center"/>
            <w:hideMark/>
          </w:tcPr>
          <w:p w:rsidR="00512DC1" w:rsidRPr="00512DC1" w:rsidRDefault="00512DC1" w:rsidP="00512DC1">
            <w:pPr>
              <w:autoSpaceDE w:val="0"/>
              <w:autoSpaceDN w:val="0"/>
              <w:adjustRightInd w:val="0"/>
              <w:jc w:val="center"/>
              <w:rPr>
                <w:rFonts w:ascii="Times New Roman" w:eastAsia="Calibri" w:hAnsi="Times New Roman" w:cs="Times New Roman"/>
              </w:rPr>
            </w:pPr>
            <w:r w:rsidRPr="00512DC1">
              <w:rPr>
                <w:rFonts w:ascii="Times New Roman" w:eastAsia="Calibri" w:hAnsi="Times New Roman" w:cs="Times New Roman"/>
              </w:rPr>
              <w:t>Marketability and product differentiation of platform (C3)</w:t>
            </w:r>
          </w:p>
        </w:tc>
        <w:tc>
          <w:tcPr>
            <w:tcW w:w="1984" w:type="dxa"/>
            <w:noWrap/>
            <w:vAlign w:val="center"/>
            <w:hideMark/>
          </w:tcPr>
          <w:p w:rsidR="00512DC1" w:rsidRPr="00512DC1" w:rsidRDefault="00512DC1" w:rsidP="00512DC1">
            <w:pPr>
              <w:autoSpaceDE w:val="0"/>
              <w:autoSpaceDN w:val="0"/>
              <w:adjustRightInd w:val="0"/>
              <w:jc w:val="center"/>
              <w:rPr>
                <w:rFonts w:ascii="Times New Roman" w:eastAsia="Calibri" w:hAnsi="Times New Roman" w:cs="Times New Roman"/>
              </w:rPr>
            </w:pPr>
            <w:r w:rsidRPr="00512DC1">
              <w:rPr>
                <w:rFonts w:ascii="Times New Roman" w:eastAsia="Calibri" w:hAnsi="Times New Roman" w:cs="Times New Roman"/>
              </w:rPr>
              <w:t>2</w:t>
            </w:r>
          </w:p>
        </w:tc>
      </w:tr>
    </w:tbl>
    <w:p w:rsidR="00B378C6" w:rsidRDefault="00B378C6" w:rsidP="00227C85">
      <w:pPr>
        <w:autoSpaceDE w:val="0"/>
        <w:autoSpaceDN w:val="0"/>
        <w:adjustRightInd w:val="0"/>
        <w:spacing w:after="0" w:line="240" w:lineRule="auto"/>
        <w:rPr>
          <w:rFonts w:ascii="Times New Roman" w:hAnsi="Times New Roman" w:cs="Times New Roman"/>
          <w:iCs/>
        </w:rPr>
      </w:pPr>
    </w:p>
    <w:p w:rsidR="00617DF4" w:rsidRPr="00617DF4" w:rsidRDefault="00617DF4" w:rsidP="00227C85">
      <w:pPr>
        <w:autoSpaceDE w:val="0"/>
        <w:autoSpaceDN w:val="0"/>
        <w:adjustRightInd w:val="0"/>
        <w:spacing w:after="0" w:line="240" w:lineRule="auto"/>
        <w:rPr>
          <w:rFonts w:ascii="Times New Roman" w:hAnsi="Times New Roman" w:cs="Times New Roman"/>
          <w:i/>
          <w:sz w:val="20"/>
          <w:szCs w:val="20"/>
        </w:rPr>
      </w:pPr>
      <w:r w:rsidRPr="00617DF4">
        <w:rPr>
          <w:rFonts w:ascii="Times New Roman" w:hAnsi="Times New Roman" w:cs="Times New Roman"/>
          <w:i/>
          <w:sz w:val="20"/>
          <w:szCs w:val="20"/>
        </w:rPr>
        <w:t>Table 4:</w:t>
      </w:r>
      <w:r w:rsidRPr="00617DF4">
        <w:rPr>
          <w:rFonts w:ascii="Times New Roman" w:hAnsi="Times New Roman" w:cs="Times New Roman"/>
          <w:i/>
          <w:sz w:val="20"/>
          <w:szCs w:val="20"/>
        </w:rPr>
        <w:t xml:space="preserve"> Computation of overall Strength scores</w:t>
      </w:r>
    </w:p>
    <w:p w:rsidR="00617DF4" w:rsidRDefault="00617DF4" w:rsidP="00227C85">
      <w:pPr>
        <w:autoSpaceDE w:val="0"/>
        <w:autoSpaceDN w:val="0"/>
        <w:adjustRightInd w:val="0"/>
        <w:spacing w:after="0" w:line="240" w:lineRule="auto"/>
        <w:rPr>
          <w:rFonts w:ascii="Times New Roman" w:hAnsi="Times New Roman" w:cs="Times New Roman"/>
          <w:iCs/>
        </w:rPr>
      </w:pPr>
    </w:p>
    <w:p w:rsidR="00617DF4" w:rsidRDefault="00617DF4" w:rsidP="00227C85">
      <w:pPr>
        <w:autoSpaceDE w:val="0"/>
        <w:autoSpaceDN w:val="0"/>
        <w:adjustRightInd w:val="0"/>
        <w:spacing w:after="0" w:line="240" w:lineRule="auto"/>
        <w:rPr>
          <w:rFonts w:ascii="Times New Roman" w:hAnsi="Times New Roman" w:cs="Times New Roman"/>
          <w:iCs/>
        </w:rPr>
      </w:pPr>
    </w:p>
    <w:tbl>
      <w:tblPr>
        <w:tblStyle w:val="TableGrid"/>
        <w:tblpPr w:leftFromText="180" w:rightFromText="180" w:vertAnchor="text" w:horzAnchor="page" w:tblpX="1318" w:tblpY="-337"/>
        <w:tblW w:w="5186" w:type="pct"/>
        <w:tblLook w:val="04A0" w:firstRow="1" w:lastRow="0" w:firstColumn="1" w:lastColumn="0" w:noHBand="0" w:noVBand="1"/>
      </w:tblPr>
      <w:tblGrid>
        <w:gridCol w:w="908"/>
        <w:gridCol w:w="979"/>
        <w:gridCol w:w="979"/>
        <w:gridCol w:w="979"/>
        <w:gridCol w:w="1450"/>
        <w:gridCol w:w="2100"/>
        <w:gridCol w:w="1956"/>
      </w:tblGrid>
      <w:tr w:rsidR="00617DF4" w:rsidRPr="00A31D47" w:rsidTr="00ED4DB6">
        <w:trPr>
          <w:trHeight w:val="695"/>
        </w:trPr>
        <w:tc>
          <w:tcPr>
            <w:tcW w:w="485" w:type="pct"/>
            <w:noWrap/>
            <w:vAlign w:val="center"/>
            <w:hideMark/>
          </w:tcPr>
          <w:p w:rsidR="00617DF4" w:rsidRPr="00A31D47" w:rsidRDefault="00617DF4" w:rsidP="00ED4DB6">
            <w:pPr>
              <w:pStyle w:val="ICESTTitle"/>
              <w:tabs>
                <w:tab w:val="left" w:pos="500"/>
              </w:tabs>
              <w:jc w:val="left"/>
              <w:rPr>
                <w:b/>
                <w:sz w:val="22"/>
                <w:szCs w:val="10"/>
                <w:lang w:val="en-GB"/>
              </w:rPr>
            </w:pPr>
          </w:p>
        </w:tc>
        <w:tc>
          <w:tcPr>
            <w:tcW w:w="523" w:type="pct"/>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C1</w:t>
            </w:r>
          </w:p>
        </w:tc>
        <w:tc>
          <w:tcPr>
            <w:tcW w:w="523" w:type="pct"/>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C2</w:t>
            </w:r>
          </w:p>
        </w:tc>
        <w:tc>
          <w:tcPr>
            <w:tcW w:w="523" w:type="pct"/>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C3</w:t>
            </w:r>
          </w:p>
        </w:tc>
        <w:tc>
          <w:tcPr>
            <w:tcW w:w="775" w:type="pct"/>
            <w:noWrap/>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Total</w:t>
            </w:r>
          </w:p>
        </w:tc>
        <w:tc>
          <w:tcPr>
            <w:tcW w:w="1123" w:type="pct"/>
            <w:noWrap/>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Score</w:t>
            </w:r>
          </w:p>
        </w:tc>
        <w:tc>
          <w:tcPr>
            <w:tcW w:w="1046" w:type="pct"/>
            <w:noWrap/>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Points</w:t>
            </w:r>
          </w:p>
        </w:tc>
      </w:tr>
      <w:tr w:rsidR="00617DF4" w:rsidRPr="00A31D47" w:rsidTr="00ED4DB6">
        <w:trPr>
          <w:trHeight w:val="378"/>
        </w:trPr>
        <w:tc>
          <w:tcPr>
            <w:tcW w:w="485" w:type="pct"/>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S1</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8</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2</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4</w:t>
            </w:r>
          </w:p>
        </w:tc>
        <w:tc>
          <w:tcPr>
            <w:tcW w:w="775"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34</w:t>
            </w:r>
          </w:p>
        </w:tc>
        <w:tc>
          <w:tcPr>
            <w:tcW w:w="11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5.666667</w:t>
            </w:r>
          </w:p>
        </w:tc>
        <w:tc>
          <w:tcPr>
            <w:tcW w:w="1046"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6</w:t>
            </w:r>
          </w:p>
        </w:tc>
      </w:tr>
      <w:tr w:rsidR="00617DF4" w:rsidRPr="00A31D47" w:rsidTr="00ED4DB6">
        <w:trPr>
          <w:trHeight w:val="314"/>
        </w:trPr>
        <w:tc>
          <w:tcPr>
            <w:tcW w:w="485" w:type="pct"/>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S2</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9</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9</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6</w:t>
            </w:r>
          </w:p>
        </w:tc>
        <w:tc>
          <w:tcPr>
            <w:tcW w:w="775"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48</w:t>
            </w:r>
          </w:p>
        </w:tc>
        <w:tc>
          <w:tcPr>
            <w:tcW w:w="11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8</w:t>
            </w:r>
          </w:p>
        </w:tc>
        <w:tc>
          <w:tcPr>
            <w:tcW w:w="1046"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8</w:t>
            </w:r>
          </w:p>
        </w:tc>
      </w:tr>
      <w:tr w:rsidR="00617DF4" w:rsidRPr="00A31D47" w:rsidTr="00ED4DB6">
        <w:trPr>
          <w:trHeight w:val="274"/>
        </w:trPr>
        <w:tc>
          <w:tcPr>
            <w:tcW w:w="485" w:type="pct"/>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S3</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6</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0</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1</w:t>
            </w:r>
          </w:p>
        </w:tc>
        <w:tc>
          <w:tcPr>
            <w:tcW w:w="775"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20</w:t>
            </w:r>
          </w:p>
        </w:tc>
        <w:tc>
          <w:tcPr>
            <w:tcW w:w="11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3.333333</w:t>
            </w:r>
          </w:p>
        </w:tc>
        <w:tc>
          <w:tcPr>
            <w:tcW w:w="1046"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3</w:t>
            </w:r>
          </w:p>
        </w:tc>
      </w:tr>
      <w:tr w:rsidR="00617DF4" w:rsidRPr="00A31D47" w:rsidTr="00ED4DB6">
        <w:trPr>
          <w:trHeight w:val="305"/>
        </w:trPr>
        <w:tc>
          <w:tcPr>
            <w:tcW w:w="485" w:type="pct"/>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S4</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7</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7</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1</w:t>
            </w:r>
          </w:p>
        </w:tc>
        <w:tc>
          <w:tcPr>
            <w:tcW w:w="775"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30</w:t>
            </w:r>
          </w:p>
        </w:tc>
        <w:tc>
          <w:tcPr>
            <w:tcW w:w="11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5</w:t>
            </w:r>
          </w:p>
        </w:tc>
        <w:tc>
          <w:tcPr>
            <w:tcW w:w="1046"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5</w:t>
            </w:r>
          </w:p>
        </w:tc>
      </w:tr>
      <w:tr w:rsidR="00617DF4" w:rsidRPr="00A31D47" w:rsidTr="00617DF4">
        <w:trPr>
          <w:trHeight w:val="384"/>
        </w:trPr>
        <w:tc>
          <w:tcPr>
            <w:tcW w:w="485" w:type="pct"/>
            <w:vAlign w:val="center"/>
            <w:hideMark/>
          </w:tcPr>
          <w:p w:rsidR="00617DF4" w:rsidRPr="00A31D47" w:rsidRDefault="00617DF4" w:rsidP="00ED4DB6">
            <w:pPr>
              <w:pStyle w:val="ICESTTitle"/>
              <w:tabs>
                <w:tab w:val="left" w:pos="500"/>
              </w:tabs>
              <w:jc w:val="left"/>
              <w:rPr>
                <w:b/>
                <w:sz w:val="22"/>
                <w:szCs w:val="10"/>
                <w:lang w:val="en-GB"/>
              </w:rPr>
            </w:pPr>
            <w:r w:rsidRPr="00A31D47">
              <w:rPr>
                <w:b/>
                <w:sz w:val="22"/>
                <w:szCs w:val="10"/>
                <w:lang w:val="en-GB"/>
              </w:rPr>
              <w:t>S5</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6</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5</w:t>
            </w:r>
          </w:p>
        </w:tc>
        <w:tc>
          <w:tcPr>
            <w:tcW w:w="5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8</w:t>
            </w:r>
          </w:p>
        </w:tc>
        <w:tc>
          <w:tcPr>
            <w:tcW w:w="775"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39</w:t>
            </w:r>
          </w:p>
        </w:tc>
        <w:tc>
          <w:tcPr>
            <w:tcW w:w="1123"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6.5</w:t>
            </w:r>
          </w:p>
        </w:tc>
        <w:tc>
          <w:tcPr>
            <w:tcW w:w="1046" w:type="pct"/>
            <w:noWrap/>
            <w:vAlign w:val="center"/>
            <w:hideMark/>
          </w:tcPr>
          <w:p w:rsidR="00617DF4" w:rsidRPr="00A31D47" w:rsidRDefault="00617DF4" w:rsidP="00ED4DB6">
            <w:pPr>
              <w:pStyle w:val="ICESTTitle"/>
              <w:tabs>
                <w:tab w:val="left" w:pos="500"/>
              </w:tabs>
              <w:jc w:val="left"/>
              <w:rPr>
                <w:sz w:val="22"/>
                <w:szCs w:val="10"/>
                <w:lang w:val="en-GB"/>
              </w:rPr>
            </w:pPr>
            <w:r w:rsidRPr="00A31D47">
              <w:rPr>
                <w:sz w:val="22"/>
                <w:szCs w:val="10"/>
                <w:lang w:val="en-GB"/>
              </w:rPr>
              <w:t>7</w:t>
            </w:r>
          </w:p>
        </w:tc>
      </w:tr>
    </w:tbl>
    <w:p w:rsidR="0090488D" w:rsidRPr="007A14C6" w:rsidRDefault="007A14C6" w:rsidP="00227C85">
      <w:pPr>
        <w:autoSpaceDE w:val="0"/>
        <w:autoSpaceDN w:val="0"/>
        <w:adjustRightInd w:val="0"/>
        <w:spacing w:after="0" w:line="240" w:lineRule="auto"/>
        <w:rPr>
          <w:rFonts w:ascii="Times New Roman" w:hAnsi="Times New Roman" w:cs="Times New Roman"/>
          <w:i/>
          <w:sz w:val="20"/>
          <w:szCs w:val="20"/>
        </w:rPr>
      </w:pPr>
      <w:r w:rsidRPr="007A14C6">
        <w:rPr>
          <w:rFonts w:ascii="Times New Roman" w:hAnsi="Times New Roman" w:cs="Times New Roman"/>
          <w:i/>
          <w:sz w:val="20"/>
          <w:szCs w:val="20"/>
        </w:rPr>
        <w:t xml:space="preserve">Table </w:t>
      </w:r>
      <w:r w:rsidR="00617DF4">
        <w:rPr>
          <w:rFonts w:ascii="Times New Roman" w:hAnsi="Times New Roman" w:cs="Times New Roman"/>
          <w:i/>
          <w:sz w:val="20"/>
          <w:szCs w:val="20"/>
        </w:rPr>
        <w:t>5</w:t>
      </w:r>
      <w:r w:rsidRPr="007A14C6">
        <w:rPr>
          <w:rFonts w:ascii="Times New Roman" w:hAnsi="Times New Roman" w:cs="Times New Roman"/>
          <w:i/>
          <w:sz w:val="20"/>
          <w:szCs w:val="20"/>
        </w:rPr>
        <w:t xml:space="preserve">: </w:t>
      </w:r>
      <w:r w:rsidR="00B378C6" w:rsidRPr="007A14C6">
        <w:rPr>
          <w:rFonts w:ascii="Times New Roman" w:hAnsi="Times New Roman" w:cs="Times New Roman"/>
          <w:i/>
          <w:sz w:val="20"/>
          <w:szCs w:val="20"/>
        </w:rPr>
        <w:t xml:space="preserve">Correlation of points to </w:t>
      </w:r>
      <w:r w:rsidR="00AC0885" w:rsidRPr="007A14C6">
        <w:rPr>
          <w:rFonts w:ascii="Times New Roman" w:hAnsi="Times New Roman" w:cs="Times New Roman"/>
          <w:i/>
          <w:sz w:val="20"/>
          <w:szCs w:val="20"/>
        </w:rPr>
        <w:t xml:space="preserve">corresponding </w:t>
      </w:r>
      <w:r w:rsidR="00B378C6" w:rsidRPr="007A14C6">
        <w:rPr>
          <w:rFonts w:ascii="Times New Roman" w:hAnsi="Times New Roman" w:cs="Times New Roman"/>
          <w:i/>
          <w:sz w:val="20"/>
          <w:szCs w:val="20"/>
        </w:rPr>
        <w:t>intensity values</w:t>
      </w:r>
    </w:p>
    <w:p w:rsidR="00512DC1" w:rsidRDefault="00512DC1" w:rsidP="00227C85">
      <w:pPr>
        <w:autoSpaceDE w:val="0"/>
        <w:autoSpaceDN w:val="0"/>
        <w:adjustRightInd w:val="0"/>
        <w:spacing w:after="0" w:line="240" w:lineRule="auto"/>
        <w:rPr>
          <w:rFonts w:ascii="Times New Roman" w:hAnsi="Times New Roman" w:cs="Times New Roman"/>
          <w:i/>
        </w:rPr>
      </w:pPr>
    </w:p>
    <w:tbl>
      <w:tblPr>
        <w:tblStyle w:val="TableGrid"/>
        <w:tblW w:w="9611" w:type="dxa"/>
        <w:tblInd w:w="-147" w:type="dxa"/>
        <w:tblLook w:val="04A0" w:firstRow="1" w:lastRow="0" w:firstColumn="1" w:lastColumn="0" w:noHBand="0" w:noVBand="1"/>
      </w:tblPr>
      <w:tblGrid>
        <w:gridCol w:w="2240"/>
        <w:gridCol w:w="6237"/>
        <w:gridCol w:w="1134"/>
      </w:tblGrid>
      <w:tr w:rsidR="00B378C6" w:rsidRPr="00B378C6" w:rsidTr="00512DC1">
        <w:trPr>
          <w:trHeight w:val="300"/>
        </w:trPr>
        <w:tc>
          <w:tcPr>
            <w:tcW w:w="2240" w:type="dxa"/>
            <w:noWrap/>
            <w:vAlign w:val="center"/>
            <w:hideMark/>
          </w:tcPr>
          <w:p w:rsidR="00B378C6" w:rsidRPr="00B378C6" w:rsidRDefault="00B378C6" w:rsidP="00227C85">
            <w:pPr>
              <w:autoSpaceDE w:val="0"/>
              <w:autoSpaceDN w:val="0"/>
              <w:adjustRightInd w:val="0"/>
              <w:jc w:val="center"/>
              <w:rPr>
                <w:rFonts w:ascii="Times New Roman" w:hAnsi="Times New Roman" w:cs="Times New Roman"/>
                <w:b/>
              </w:rPr>
            </w:pPr>
            <w:r w:rsidRPr="00B378C6">
              <w:rPr>
                <w:rFonts w:ascii="Times New Roman" w:hAnsi="Times New Roman" w:cs="Times New Roman"/>
                <w:b/>
              </w:rPr>
              <w:t>Difference between points of SWOT parameters</w:t>
            </w:r>
          </w:p>
        </w:tc>
        <w:tc>
          <w:tcPr>
            <w:tcW w:w="6237" w:type="dxa"/>
            <w:vAlign w:val="center"/>
          </w:tcPr>
          <w:p w:rsidR="00B378C6" w:rsidRPr="00B378C6" w:rsidRDefault="00B378C6" w:rsidP="00227C85">
            <w:pPr>
              <w:autoSpaceDE w:val="0"/>
              <w:autoSpaceDN w:val="0"/>
              <w:adjustRightInd w:val="0"/>
              <w:jc w:val="center"/>
              <w:rPr>
                <w:rFonts w:ascii="Times New Roman" w:hAnsi="Times New Roman" w:cs="Times New Roman"/>
                <w:b/>
              </w:rPr>
            </w:pPr>
            <w:r w:rsidRPr="00B378C6">
              <w:rPr>
                <w:rFonts w:ascii="Times New Roman" w:hAnsi="Times New Roman" w:cs="Times New Roman"/>
                <w:b/>
              </w:rPr>
              <w:t>Description</w:t>
            </w:r>
          </w:p>
        </w:tc>
        <w:tc>
          <w:tcPr>
            <w:tcW w:w="1134" w:type="dxa"/>
            <w:vAlign w:val="center"/>
          </w:tcPr>
          <w:p w:rsidR="00B378C6" w:rsidRPr="00B378C6" w:rsidRDefault="00B378C6" w:rsidP="00227C85">
            <w:pPr>
              <w:autoSpaceDE w:val="0"/>
              <w:autoSpaceDN w:val="0"/>
              <w:adjustRightInd w:val="0"/>
              <w:jc w:val="center"/>
              <w:rPr>
                <w:rFonts w:ascii="Times New Roman" w:hAnsi="Times New Roman" w:cs="Times New Roman"/>
                <w:b/>
              </w:rPr>
            </w:pPr>
            <w:r w:rsidRPr="00B378C6">
              <w:rPr>
                <w:rFonts w:ascii="Times New Roman" w:hAnsi="Times New Roman" w:cs="Times New Roman"/>
                <w:b/>
              </w:rPr>
              <w:t>AHP Intensity value</w:t>
            </w:r>
          </w:p>
        </w:tc>
      </w:tr>
      <w:tr w:rsidR="00B378C6" w:rsidRPr="00B378C6" w:rsidTr="00512DC1">
        <w:trPr>
          <w:trHeight w:val="300"/>
        </w:trPr>
        <w:tc>
          <w:tcPr>
            <w:tcW w:w="2240" w:type="dxa"/>
            <w:noWrap/>
            <w:vAlign w:val="center"/>
            <w:hideMark/>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0</w:t>
            </w:r>
          </w:p>
        </w:tc>
        <w:tc>
          <w:tcPr>
            <w:tcW w:w="6237"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Two criteria contribute equally to the objective</w:t>
            </w:r>
          </w:p>
        </w:tc>
        <w:tc>
          <w:tcPr>
            <w:tcW w:w="1134"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1</w:t>
            </w:r>
          </w:p>
        </w:tc>
      </w:tr>
      <w:tr w:rsidR="00B378C6" w:rsidRPr="00B378C6" w:rsidTr="00512DC1">
        <w:trPr>
          <w:trHeight w:val="330"/>
        </w:trPr>
        <w:tc>
          <w:tcPr>
            <w:tcW w:w="2240" w:type="dxa"/>
            <w:noWrap/>
            <w:vAlign w:val="center"/>
            <w:hideMark/>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2</w:t>
            </w:r>
          </w:p>
        </w:tc>
        <w:tc>
          <w:tcPr>
            <w:tcW w:w="6237"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Experience and judgement slightly favour one over another</w:t>
            </w:r>
          </w:p>
        </w:tc>
        <w:tc>
          <w:tcPr>
            <w:tcW w:w="1134"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3</w:t>
            </w:r>
          </w:p>
        </w:tc>
      </w:tr>
      <w:tr w:rsidR="00B378C6" w:rsidRPr="00B378C6" w:rsidTr="00512DC1">
        <w:trPr>
          <w:trHeight w:val="367"/>
        </w:trPr>
        <w:tc>
          <w:tcPr>
            <w:tcW w:w="2240" w:type="dxa"/>
            <w:noWrap/>
            <w:vAlign w:val="center"/>
            <w:hideMark/>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4</w:t>
            </w:r>
          </w:p>
        </w:tc>
        <w:tc>
          <w:tcPr>
            <w:tcW w:w="6237"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Experience and judgment strongly favour one over another</w:t>
            </w:r>
          </w:p>
        </w:tc>
        <w:tc>
          <w:tcPr>
            <w:tcW w:w="1134"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5</w:t>
            </w:r>
          </w:p>
        </w:tc>
      </w:tr>
      <w:tr w:rsidR="00B378C6" w:rsidRPr="00B378C6" w:rsidTr="00512DC1">
        <w:trPr>
          <w:trHeight w:val="287"/>
        </w:trPr>
        <w:tc>
          <w:tcPr>
            <w:tcW w:w="2240" w:type="dxa"/>
            <w:noWrap/>
            <w:vAlign w:val="center"/>
            <w:hideMark/>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6</w:t>
            </w:r>
          </w:p>
        </w:tc>
        <w:tc>
          <w:tcPr>
            <w:tcW w:w="6237"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Criterion is strongly favoured and its dominance is demonstrated in practice</w:t>
            </w:r>
          </w:p>
        </w:tc>
        <w:tc>
          <w:tcPr>
            <w:tcW w:w="1134"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7</w:t>
            </w:r>
          </w:p>
        </w:tc>
      </w:tr>
      <w:tr w:rsidR="00B378C6" w:rsidRPr="00B378C6" w:rsidTr="00512DC1">
        <w:trPr>
          <w:trHeight w:val="295"/>
        </w:trPr>
        <w:tc>
          <w:tcPr>
            <w:tcW w:w="2240" w:type="dxa"/>
            <w:noWrap/>
            <w:vAlign w:val="center"/>
            <w:hideMark/>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8</w:t>
            </w:r>
          </w:p>
        </w:tc>
        <w:tc>
          <w:tcPr>
            <w:tcW w:w="6237"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Importance of one over another affirmed on the highest possible order</w:t>
            </w:r>
          </w:p>
        </w:tc>
        <w:tc>
          <w:tcPr>
            <w:tcW w:w="1134"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9</w:t>
            </w:r>
          </w:p>
        </w:tc>
      </w:tr>
      <w:tr w:rsidR="00B378C6" w:rsidRPr="00B378C6" w:rsidTr="00512DC1">
        <w:trPr>
          <w:trHeight w:val="271"/>
        </w:trPr>
        <w:tc>
          <w:tcPr>
            <w:tcW w:w="2240" w:type="dxa"/>
            <w:noWrap/>
            <w:vAlign w:val="center"/>
            <w:hideMark/>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1,2,5,7</w:t>
            </w:r>
          </w:p>
        </w:tc>
        <w:tc>
          <w:tcPr>
            <w:tcW w:w="6237"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Used to represent compromise between the priorities listed above</w:t>
            </w:r>
          </w:p>
        </w:tc>
        <w:tc>
          <w:tcPr>
            <w:tcW w:w="1134" w:type="dxa"/>
            <w:vAlign w:val="center"/>
          </w:tcPr>
          <w:p w:rsidR="00B378C6" w:rsidRPr="00B378C6" w:rsidRDefault="00B378C6" w:rsidP="00227C85">
            <w:pPr>
              <w:autoSpaceDE w:val="0"/>
              <w:autoSpaceDN w:val="0"/>
              <w:adjustRightInd w:val="0"/>
              <w:jc w:val="center"/>
              <w:rPr>
                <w:rFonts w:ascii="Times New Roman" w:hAnsi="Times New Roman" w:cs="Times New Roman"/>
              </w:rPr>
            </w:pPr>
            <w:r w:rsidRPr="00B378C6">
              <w:rPr>
                <w:rFonts w:ascii="Times New Roman" w:hAnsi="Times New Roman" w:cs="Times New Roman"/>
              </w:rPr>
              <w:t>2,4,6,8</w:t>
            </w:r>
          </w:p>
        </w:tc>
      </w:tr>
    </w:tbl>
    <w:p w:rsidR="00B378C6" w:rsidRPr="0090488D" w:rsidRDefault="00B378C6" w:rsidP="00227C85">
      <w:pPr>
        <w:autoSpaceDE w:val="0"/>
        <w:autoSpaceDN w:val="0"/>
        <w:adjustRightInd w:val="0"/>
        <w:spacing w:after="0" w:line="240" w:lineRule="auto"/>
        <w:rPr>
          <w:rFonts w:ascii="Times New Roman" w:hAnsi="Times New Roman" w:cs="Times New Roman"/>
          <w:i/>
        </w:rPr>
      </w:pPr>
    </w:p>
    <w:p w:rsidR="00B378C6" w:rsidRPr="007A14C6" w:rsidRDefault="007A14C6" w:rsidP="00227C85">
      <w:pPr>
        <w:autoSpaceDE w:val="0"/>
        <w:autoSpaceDN w:val="0"/>
        <w:adjustRightInd w:val="0"/>
        <w:spacing w:after="0" w:line="240" w:lineRule="auto"/>
        <w:rPr>
          <w:rFonts w:ascii="Times New Roman" w:hAnsi="Times New Roman" w:cs="Times New Roman"/>
          <w:i/>
          <w:sz w:val="20"/>
          <w:szCs w:val="20"/>
        </w:rPr>
      </w:pPr>
      <w:r w:rsidRPr="007A14C6">
        <w:rPr>
          <w:rFonts w:ascii="Times New Roman" w:hAnsi="Times New Roman" w:cs="Times New Roman"/>
          <w:i/>
          <w:sz w:val="20"/>
          <w:szCs w:val="20"/>
        </w:rPr>
        <w:t xml:space="preserve">Table </w:t>
      </w:r>
      <w:r w:rsidR="00617DF4">
        <w:rPr>
          <w:rFonts w:ascii="Times New Roman" w:hAnsi="Times New Roman" w:cs="Times New Roman"/>
          <w:i/>
          <w:sz w:val="20"/>
          <w:szCs w:val="20"/>
        </w:rPr>
        <w:t>6</w:t>
      </w:r>
      <w:r w:rsidRPr="007A14C6">
        <w:rPr>
          <w:rFonts w:ascii="Times New Roman" w:hAnsi="Times New Roman" w:cs="Times New Roman"/>
          <w:i/>
          <w:sz w:val="20"/>
          <w:szCs w:val="20"/>
        </w:rPr>
        <w:t xml:space="preserve">: </w:t>
      </w:r>
      <w:r w:rsidR="00B378C6" w:rsidRPr="007A14C6">
        <w:rPr>
          <w:rFonts w:ascii="Times New Roman" w:hAnsi="Times New Roman" w:cs="Times New Roman"/>
          <w:i/>
          <w:sz w:val="20"/>
          <w:szCs w:val="20"/>
        </w:rPr>
        <w:t xml:space="preserve">Pairwise comparisons </w:t>
      </w:r>
      <w:r>
        <w:rPr>
          <w:rFonts w:ascii="Times New Roman" w:hAnsi="Times New Roman" w:cs="Times New Roman"/>
          <w:i/>
          <w:sz w:val="20"/>
          <w:szCs w:val="20"/>
        </w:rPr>
        <w:t>of strengths for</w:t>
      </w:r>
      <w:r w:rsidR="00B378C6" w:rsidRPr="007A14C6">
        <w:rPr>
          <w:rFonts w:ascii="Times New Roman" w:hAnsi="Times New Roman" w:cs="Times New Roman"/>
          <w:i/>
          <w:sz w:val="20"/>
          <w:szCs w:val="20"/>
        </w:rPr>
        <w:t xml:space="preserve"> AHP</w:t>
      </w:r>
    </w:p>
    <w:p w:rsidR="00B378C6" w:rsidRPr="00D36AA8" w:rsidRDefault="00B378C6" w:rsidP="00227C85">
      <w:pPr>
        <w:autoSpaceDE w:val="0"/>
        <w:autoSpaceDN w:val="0"/>
        <w:adjustRightInd w:val="0"/>
        <w:spacing w:after="0" w:line="240" w:lineRule="auto"/>
        <w:rPr>
          <w:rFonts w:ascii="Times New Roman" w:hAnsi="Times New Roman" w:cs="Times New Roman"/>
        </w:rPr>
      </w:pPr>
    </w:p>
    <w:tbl>
      <w:tblPr>
        <w:tblStyle w:val="TableGrid"/>
        <w:tblW w:w="9274" w:type="dxa"/>
        <w:jc w:val="center"/>
        <w:tblLook w:val="04A0" w:firstRow="1" w:lastRow="0" w:firstColumn="1" w:lastColumn="0" w:noHBand="0" w:noVBand="1"/>
      </w:tblPr>
      <w:tblGrid>
        <w:gridCol w:w="2950"/>
        <w:gridCol w:w="998"/>
        <w:gridCol w:w="1046"/>
        <w:gridCol w:w="942"/>
        <w:gridCol w:w="851"/>
        <w:gridCol w:w="992"/>
        <w:gridCol w:w="1495"/>
      </w:tblGrid>
      <w:tr w:rsidR="000C5CA8" w:rsidRPr="00D36AA8" w:rsidTr="000C5CA8">
        <w:trPr>
          <w:trHeight w:val="220"/>
          <w:jc w:val="center"/>
        </w:trPr>
        <w:tc>
          <w:tcPr>
            <w:tcW w:w="2950"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b/>
                <w:bCs/>
              </w:rPr>
            </w:pPr>
            <w:r w:rsidRPr="00D36AA8">
              <w:rPr>
                <w:rFonts w:ascii="Times New Roman" w:hAnsi="Times New Roman" w:cs="Times New Roman"/>
                <w:b/>
                <w:bCs/>
              </w:rPr>
              <w:t>Strengths</w:t>
            </w:r>
          </w:p>
        </w:tc>
        <w:tc>
          <w:tcPr>
            <w:tcW w:w="998"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S1</w:t>
            </w:r>
          </w:p>
        </w:tc>
        <w:tc>
          <w:tcPr>
            <w:tcW w:w="1046"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S2</w:t>
            </w:r>
          </w:p>
        </w:tc>
        <w:tc>
          <w:tcPr>
            <w:tcW w:w="942"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S3</w:t>
            </w:r>
          </w:p>
        </w:tc>
        <w:tc>
          <w:tcPr>
            <w:tcW w:w="851"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S4</w:t>
            </w:r>
          </w:p>
        </w:tc>
        <w:tc>
          <w:tcPr>
            <w:tcW w:w="992" w:type="dxa"/>
            <w:noWrap/>
            <w:vAlign w:val="center"/>
            <w:hideMark/>
          </w:tcPr>
          <w:p w:rsidR="000C5CA8" w:rsidRPr="00AC0885" w:rsidRDefault="000C5CA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S5</w:t>
            </w:r>
          </w:p>
        </w:tc>
        <w:tc>
          <w:tcPr>
            <w:tcW w:w="1495" w:type="dxa"/>
            <w:vAlign w:val="center"/>
          </w:tcPr>
          <w:p w:rsidR="000C5CA8" w:rsidRPr="00AC0885" w:rsidRDefault="00AC0885" w:rsidP="00227C85">
            <w:pPr>
              <w:jc w:val="center"/>
              <w:rPr>
                <w:rFonts w:ascii="Times New Roman" w:hAnsi="Times New Roman" w:cs="Times New Roman"/>
                <w:b/>
                <w:color w:val="000000"/>
              </w:rPr>
            </w:pPr>
            <w:r>
              <w:rPr>
                <w:rFonts w:ascii="Times New Roman" w:hAnsi="Times New Roman" w:cs="Times New Roman"/>
                <w:b/>
              </w:rPr>
              <w:t>Local Weight</w:t>
            </w:r>
          </w:p>
        </w:tc>
      </w:tr>
      <w:tr w:rsidR="000C5CA8" w:rsidRPr="00D36AA8" w:rsidTr="000C5CA8">
        <w:trPr>
          <w:trHeight w:val="210"/>
          <w:jc w:val="center"/>
        </w:trPr>
        <w:tc>
          <w:tcPr>
            <w:tcW w:w="2950" w:type="dxa"/>
            <w:noWrap/>
            <w:vAlign w:val="center"/>
            <w:hideMark/>
          </w:tcPr>
          <w:p w:rsidR="000C5CA8" w:rsidRPr="00D36AA8" w:rsidRDefault="000C5CA8" w:rsidP="00227C85">
            <w:pPr>
              <w:autoSpaceDE w:val="0"/>
              <w:autoSpaceDN w:val="0"/>
              <w:adjustRightInd w:val="0"/>
              <w:rPr>
                <w:rFonts w:ascii="Times New Roman" w:hAnsi="Times New Roman" w:cs="Times New Roman"/>
              </w:rPr>
            </w:pPr>
            <w:r w:rsidRPr="00D36AA8">
              <w:rPr>
                <w:rFonts w:ascii="Times New Roman" w:hAnsi="Times New Roman" w:cs="Times New Roman"/>
              </w:rPr>
              <w:t>S1. Intrinsic advertising</w:t>
            </w:r>
          </w:p>
        </w:tc>
        <w:tc>
          <w:tcPr>
            <w:tcW w:w="998"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w:t>
            </w:r>
          </w:p>
        </w:tc>
        <w:tc>
          <w:tcPr>
            <w:tcW w:w="1046"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0.33</w:t>
            </w:r>
          </w:p>
        </w:tc>
        <w:tc>
          <w:tcPr>
            <w:tcW w:w="94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4.00</w:t>
            </w:r>
          </w:p>
        </w:tc>
        <w:tc>
          <w:tcPr>
            <w:tcW w:w="85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2.00</w:t>
            </w:r>
          </w:p>
        </w:tc>
        <w:tc>
          <w:tcPr>
            <w:tcW w:w="99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0.50</w:t>
            </w:r>
          </w:p>
        </w:tc>
        <w:tc>
          <w:tcPr>
            <w:tcW w:w="1495" w:type="dxa"/>
            <w:vAlign w:val="center"/>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0.164868</w:t>
            </w:r>
          </w:p>
        </w:tc>
      </w:tr>
      <w:tr w:rsidR="000C5CA8" w:rsidRPr="00D36AA8" w:rsidTr="000C5CA8">
        <w:trPr>
          <w:trHeight w:val="128"/>
          <w:jc w:val="center"/>
        </w:trPr>
        <w:tc>
          <w:tcPr>
            <w:tcW w:w="2950" w:type="dxa"/>
            <w:noWrap/>
            <w:vAlign w:val="center"/>
            <w:hideMark/>
          </w:tcPr>
          <w:p w:rsidR="000C5CA8" w:rsidRPr="00D36AA8" w:rsidRDefault="000C5CA8" w:rsidP="00227C85">
            <w:pPr>
              <w:autoSpaceDE w:val="0"/>
              <w:autoSpaceDN w:val="0"/>
              <w:adjustRightInd w:val="0"/>
              <w:rPr>
                <w:rFonts w:ascii="Times New Roman" w:hAnsi="Times New Roman" w:cs="Times New Roman"/>
              </w:rPr>
            </w:pPr>
            <w:r w:rsidRPr="00D36AA8">
              <w:rPr>
                <w:rFonts w:ascii="Times New Roman" w:hAnsi="Times New Roman" w:cs="Times New Roman"/>
              </w:rPr>
              <w:t>S2. Customer engagement &amp; motivation</w:t>
            </w:r>
          </w:p>
        </w:tc>
        <w:tc>
          <w:tcPr>
            <w:tcW w:w="998"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3</w:t>
            </w:r>
          </w:p>
        </w:tc>
        <w:tc>
          <w:tcPr>
            <w:tcW w:w="1046"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w:t>
            </w:r>
          </w:p>
        </w:tc>
        <w:tc>
          <w:tcPr>
            <w:tcW w:w="94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6.00</w:t>
            </w:r>
          </w:p>
        </w:tc>
        <w:tc>
          <w:tcPr>
            <w:tcW w:w="85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4.00</w:t>
            </w:r>
          </w:p>
        </w:tc>
        <w:tc>
          <w:tcPr>
            <w:tcW w:w="99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2.00</w:t>
            </w:r>
          </w:p>
        </w:tc>
        <w:tc>
          <w:tcPr>
            <w:tcW w:w="1495" w:type="dxa"/>
            <w:vAlign w:val="center"/>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0.417529</w:t>
            </w:r>
          </w:p>
        </w:tc>
      </w:tr>
      <w:tr w:rsidR="000C5CA8" w:rsidRPr="00D36AA8" w:rsidTr="000C5CA8">
        <w:trPr>
          <w:trHeight w:val="198"/>
          <w:jc w:val="center"/>
        </w:trPr>
        <w:tc>
          <w:tcPr>
            <w:tcW w:w="2950" w:type="dxa"/>
            <w:noWrap/>
            <w:vAlign w:val="center"/>
            <w:hideMark/>
          </w:tcPr>
          <w:p w:rsidR="000C5CA8" w:rsidRPr="00D36AA8" w:rsidRDefault="000C5CA8" w:rsidP="00227C85">
            <w:pPr>
              <w:autoSpaceDE w:val="0"/>
              <w:autoSpaceDN w:val="0"/>
              <w:adjustRightInd w:val="0"/>
              <w:rPr>
                <w:rFonts w:ascii="Times New Roman" w:hAnsi="Times New Roman" w:cs="Times New Roman"/>
              </w:rPr>
            </w:pPr>
            <w:r w:rsidRPr="00D36AA8">
              <w:rPr>
                <w:rFonts w:ascii="Times New Roman" w:hAnsi="Times New Roman" w:cs="Times New Roman"/>
              </w:rPr>
              <w:t>S3. Easy Implementation</w:t>
            </w:r>
          </w:p>
        </w:tc>
        <w:tc>
          <w:tcPr>
            <w:tcW w:w="998"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0.25</w:t>
            </w:r>
          </w:p>
        </w:tc>
        <w:tc>
          <w:tcPr>
            <w:tcW w:w="1046"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0.166667</w:t>
            </w:r>
          </w:p>
        </w:tc>
        <w:tc>
          <w:tcPr>
            <w:tcW w:w="94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w:t>
            </w:r>
          </w:p>
        </w:tc>
        <w:tc>
          <w:tcPr>
            <w:tcW w:w="85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0.33</w:t>
            </w:r>
          </w:p>
        </w:tc>
        <w:tc>
          <w:tcPr>
            <w:tcW w:w="99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0.20</w:t>
            </w:r>
          </w:p>
        </w:tc>
        <w:tc>
          <w:tcPr>
            <w:tcW w:w="1495" w:type="dxa"/>
            <w:vAlign w:val="center"/>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0.049118</w:t>
            </w:r>
          </w:p>
        </w:tc>
      </w:tr>
      <w:tr w:rsidR="000C5CA8" w:rsidRPr="00D36AA8" w:rsidTr="000C5CA8">
        <w:trPr>
          <w:trHeight w:val="178"/>
          <w:jc w:val="center"/>
        </w:trPr>
        <w:tc>
          <w:tcPr>
            <w:tcW w:w="2950" w:type="dxa"/>
            <w:noWrap/>
            <w:vAlign w:val="center"/>
            <w:hideMark/>
          </w:tcPr>
          <w:p w:rsidR="000C5CA8" w:rsidRPr="00D36AA8" w:rsidRDefault="000C5CA8" w:rsidP="00227C85">
            <w:pPr>
              <w:autoSpaceDE w:val="0"/>
              <w:autoSpaceDN w:val="0"/>
              <w:adjustRightInd w:val="0"/>
              <w:rPr>
                <w:rFonts w:ascii="Times New Roman" w:hAnsi="Times New Roman" w:cs="Times New Roman"/>
              </w:rPr>
            </w:pPr>
            <w:r w:rsidRPr="00D36AA8">
              <w:rPr>
                <w:rFonts w:ascii="Times New Roman" w:hAnsi="Times New Roman" w:cs="Times New Roman"/>
              </w:rPr>
              <w:lastRenderedPageBreak/>
              <w:t>S4. Competitive purchasing</w:t>
            </w:r>
          </w:p>
        </w:tc>
        <w:tc>
          <w:tcPr>
            <w:tcW w:w="998"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0.5</w:t>
            </w:r>
          </w:p>
        </w:tc>
        <w:tc>
          <w:tcPr>
            <w:tcW w:w="1046"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0.25</w:t>
            </w:r>
          </w:p>
        </w:tc>
        <w:tc>
          <w:tcPr>
            <w:tcW w:w="94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3</w:t>
            </w:r>
          </w:p>
        </w:tc>
        <w:tc>
          <w:tcPr>
            <w:tcW w:w="85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w:t>
            </w:r>
          </w:p>
        </w:tc>
        <w:tc>
          <w:tcPr>
            <w:tcW w:w="99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0.33</w:t>
            </w:r>
          </w:p>
        </w:tc>
        <w:tc>
          <w:tcPr>
            <w:tcW w:w="1495" w:type="dxa"/>
            <w:vAlign w:val="center"/>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0.1045</w:t>
            </w:r>
          </w:p>
        </w:tc>
      </w:tr>
      <w:tr w:rsidR="000C5CA8" w:rsidRPr="00D36AA8" w:rsidTr="000C5CA8">
        <w:trPr>
          <w:trHeight w:val="180"/>
          <w:jc w:val="center"/>
        </w:trPr>
        <w:tc>
          <w:tcPr>
            <w:tcW w:w="2950" w:type="dxa"/>
            <w:noWrap/>
            <w:vAlign w:val="center"/>
            <w:hideMark/>
          </w:tcPr>
          <w:p w:rsidR="000C5CA8" w:rsidRPr="00D36AA8" w:rsidRDefault="000C5CA8" w:rsidP="00227C85">
            <w:pPr>
              <w:autoSpaceDE w:val="0"/>
              <w:autoSpaceDN w:val="0"/>
              <w:adjustRightInd w:val="0"/>
              <w:rPr>
                <w:rFonts w:ascii="Times New Roman" w:hAnsi="Times New Roman" w:cs="Times New Roman"/>
              </w:rPr>
            </w:pPr>
            <w:r w:rsidRPr="00D36AA8">
              <w:rPr>
                <w:rFonts w:ascii="Times New Roman" w:hAnsi="Times New Roman" w:cs="Times New Roman"/>
              </w:rPr>
              <w:t>S5. Product Differentiation</w:t>
            </w:r>
          </w:p>
        </w:tc>
        <w:tc>
          <w:tcPr>
            <w:tcW w:w="998"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2</w:t>
            </w:r>
          </w:p>
        </w:tc>
        <w:tc>
          <w:tcPr>
            <w:tcW w:w="1046"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0.5</w:t>
            </w:r>
          </w:p>
        </w:tc>
        <w:tc>
          <w:tcPr>
            <w:tcW w:w="94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5</w:t>
            </w:r>
          </w:p>
        </w:tc>
        <w:tc>
          <w:tcPr>
            <w:tcW w:w="851"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3</w:t>
            </w:r>
          </w:p>
        </w:tc>
        <w:tc>
          <w:tcPr>
            <w:tcW w:w="992" w:type="dxa"/>
            <w:noWrap/>
            <w:vAlign w:val="center"/>
            <w:hideMark/>
          </w:tcPr>
          <w:p w:rsidR="000C5CA8" w:rsidRPr="00D36AA8" w:rsidRDefault="000C5CA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w:t>
            </w:r>
          </w:p>
        </w:tc>
        <w:tc>
          <w:tcPr>
            <w:tcW w:w="1495" w:type="dxa"/>
            <w:vAlign w:val="center"/>
          </w:tcPr>
          <w:p w:rsidR="000C5CA8" w:rsidRPr="00D36AA8" w:rsidRDefault="000C5CA8" w:rsidP="00227C85">
            <w:pPr>
              <w:jc w:val="center"/>
              <w:rPr>
                <w:rFonts w:ascii="Times New Roman" w:hAnsi="Times New Roman" w:cs="Times New Roman"/>
                <w:color w:val="000000"/>
              </w:rPr>
            </w:pPr>
            <w:r w:rsidRPr="00D36AA8">
              <w:rPr>
                <w:rFonts w:ascii="Times New Roman" w:hAnsi="Times New Roman" w:cs="Times New Roman"/>
                <w:color w:val="000000"/>
              </w:rPr>
              <w:t>0.263987</w:t>
            </w:r>
          </w:p>
        </w:tc>
      </w:tr>
    </w:tbl>
    <w:p w:rsidR="000C5CA8" w:rsidRDefault="000C5CA8" w:rsidP="00227C85">
      <w:pPr>
        <w:autoSpaceDE w:val="0"/>
        <w:autoSpaceDN w:val="0"/>
        <w:adjustRightInd w:val="0"/>
        <w:spacing w:after="0" w:line="240" w:lineRule="auto"/>
        <w:rPr>
          <w:rFonts w:ascii="Times New Roman" w:hAnsi="Times New Roman" w:cs="Times New Roman"/>
        </w:rPr>
      </w:pPr>
    </w:p>
    <w:p w:rsidR="007A14C6" w:rsidRPr="007A14C6" w:rsidRDefault="007A14C6" w:rsidP="00227C85">
      <w:pPr>
        <w:autoSpaceDE w:val="0"/>
        <w:autoSpaceDN w:val="0"/>
        <w:adjustRightInd w:val="0"/>
        <w:spacing w:line="240" w:lineRule="auto"/>
        <w:rPr>
          <w:rFonts w:ascii="Times New Roman" w:hAnsi="Times New Roman" w:cs="Times New Roman"/>
          <w:i/>
          <w:iCs/>
          <w:sz w:val="18"/>
          <w:szCs w:val="18"/>
        </w:rPr>
      </w:pPr>
      <w:r w:rsidRPr="007A14C6">
        <w:rPr>
          <w:rFonts w:ascii="Times New Roman" w:hAnsi="Times New Roman" w:cs="Times New Roman"/>
          <w:i/>
          <w:iCs/>
          <w:sz w:val="20"/>
          <w:szCs w:val="20"/>
        </w:rPr>
        <w:t xml:space="preserve">Table </w:t>
      </w:r>
      <w:r w:rsidR="00617DF4">
        <w:rPr>
          <w:rFonts w:ascii="Times New Roman" w:hAnsi="Times New Roman" w:cs="Times New Roman"/>
          <w:i/>
          <w:iCs/>
          <w:sz w:val="20"/>
          <w:szCs w:val="20"/>
        </w:rPr>
        <w:t>7</w:t>
      </w:r>
      <w:r w:rsidRPr="007A14C6">
        <w:rPr>
          <w:rFonts w:ascii="Times New Roman" w:hAnsi="Times New Roman" w:cs="Times New Roman"/>
          <w:i/>
          <w:iCs/>
          <w:sz w:val="20"/>
          <w:szCs w:val="20"/>
        </w:rPr>
        <w:t>: Pairwise comparisons of Weaknesses for AHP</w:t>
      </w:r>
    </w:p>
    <w:tbl>
      <w:tblPr>
        <w:tblStyle w:val="TableGrid"/>
        <w:tblW w:w="9257" w:type="dxa"/>
        <w:jc w:val="center"/>
        <w:tblLook w:val="04A0" w:firstRow="1" w:lastRow="0" w:firstColumn="1" w:lastColumn="0" w:noHBand="0" w:noVBand="1"/>
      </w:tblPr>
      <w:tblGrid>
        <w:gridCol w:w="3657"/>
        <w:gridCol w:w="1144"/>
        <w:gridCol w:w="986"/>
        <w:gridCol w:w="995"/>
        <w:gridCol w:w="851"/>
        <w:gridCol w:w="1624"/>
      </w:tblGrid>
      <w:tr w:rsidR="00076BCA" w:rsidRPr="0083613C" w:rsidTr="00215D60">
        <w:trPr>
          <w:trHeight w:val="375"/>
          <w:jc w:val="center"/>
        </w:trPr>
        <w:tc>
          <w:tcPr>
            <w:tcW w:w="3652"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b/>
                <w:bCs/>
              </w:rPr>
            </w:pPr>
            <w:r w:rsidRPr="0083613C">
              <w:rPr>
                <w:rFonts w:ascii="Times New Roman" w:hAnsi="Times New Roman" w:cs="Times New Roman"/>
                <w:b/>
                <w:bCs/>
              </w:rPr>
              <w:t>Weaknesses</w:t>
            </w:r>
          </w:p>
        </w:tc>
        <w:tc>
          <w:tcPr>
            <w:tcW w:w="1142"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b/>
              </w:rPr>
            </w:pPr>
            <w:r w:rsidRPr="0083613C">
              <w:rPr>
                <w:rFonts w:ascii="Times New Roman" w:hAnsi="Times New Roman" w:cs="Times New Roman"/>
                <w:b/>
              </w:rPr>
              <w:t>W1</w:t>
            </w:r>
          </w:p>
        </w:tc>
        <w:tc>
          <w:tcPr>
            <w:tcW w:w="984"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b/>
              </w:rPr>
            </w:pPr>
            <w:r w:rsidRPr="0083613C">
              <w:rPr>
                <w:rFonts w:ascii="Times New Roman" w:hAnsi="Times New Roman" w:cs="Times New Roman"/>
                <w:b/>
              </w:rPr>
              <w:t>W2</w:t>
            </w:r>
          </w:p>
        </w:tc>
        <w:tc>
          <w:tcPr>
            <w:tcW w:w="993"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b/>
              </w:rPr>
            </w:pPr>
            <w:r w:rsidRPr="0083613C">
              <w:rPr>
                <w:rFonts w:ascii="Times New Roman" w:hAnsi="Times New Roman" w:cs="Times New Roman"/>
                <w:b/>
              </w:rPr>
              <w:t>W3</w:t>
            </w:r>
          </w:p>
        </w:tc>
        <w:tc>
          <w:tcPr>
            <w:tcW w:w="850"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b/>
              </w:rPr>
            </w:pPr>
            <w:r w:rsidRPr="0083613C">
              <w:rPr>
                <w:rFonts w:ascii="Times New Roman" w:hAnsi="Times New Roman" w:cs="Times New Roman"/>
                <w:b/>
              </w:rPr>
              <w:t>W4</w:t>
            </w:r>
          </w:p>
        </w:tc>
        <w:tc>
          <w:tcPr>
            <w:tcW w:w="1621" w:type="dxa"/>
            <w:vAlign w:val="center"/>
          </w:tcPr>
          <w:p w:rsidR="00076BCA" w:rsidRPr="0083613C" w:rsidRDefault="00076BCA" w:rsidP="00227C85">
            <w:pPr>
              <w:autoSpaceDE w:val="0"/>
              <w:autoSpaceDN w:val="0"/>
              <w:adjustRightInd w:val="0"/>
              <w:jc w:val="center"/>
              <w:rPr>
                <w:rFonts w:ascii="Times New Roman" w:hAnsi="Times New Roman" w:cs="Times New Roman"/>
                <w:b/>
              </w:rPr>
            </w:pPr>
            <w:r w:rsidRPr="0083613C">
              <w:rPr>
                <w:rFonts w:ascii="Times New Roman" w:hAnsi="Times New Roman" w:cs="Times New Roman"/>
                <w:b/>
              </w:rPr>
              <w:t>Local Weight</w:t>
            </w:r>
          </w:p>
        </w:tc>
      </w:tr>
      <w:tr w:rsidR="00076BCA" w:rsidRPr="0083613C" w:rsidTr="00215D60">
        <w:trPr>
          <w:trHeight w:val="172"/>
          <w:jc w:val="center"/>
        </w:trPr>
        <w:tc>
          <w:tcPr>
            <w:tcW w:w="3652" w:type="dxa"/>
            <w:noWrap/>
            <w:vAlign w:val="center"/>
            <w:hideMark/>
          </w:tcPr>
          <w:p w:rsidR="00076BCA" w:rsidRPr="0083613C" w:rsidRDefault="00076BCA" w:rsidP="00227C85">
            <w:pPr>
              <w:autoSpaceDE w:val="0"/>
              <w:autoSpaceDN w:val="0"/>
              <w:adjustRightInd w:val="0"/>
              <w:rPr>
                <w:rFonts w:ascii="Times New Roman" w:hAnsi="Times New Roman" w:cs="Times New Roman"/>
              </w:rPr>
            </w:pPr>
            <w:r w:rsidRPr="0083613C">
              <w:rPr>
                <w:rFonts w:ascii="Times New Roman" w:hAnsi="Times New Roman" w:cs="Times New Roman"/>
              </w:rPr>
              <w:t>W1.Customer retention difficulties</w:t>
            </w:r>
          </w:p>
        </w:tc>
        <w:tc>
          <w:tcPr>
            <w:tcW w:w="1142"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1.00</w:t>
            </w:r>
          </w:p>
        </w:tc>
        <w:tc>
          <w:tcPr>
            <w:tcW w:w="984"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3.00</w:t>
            </w:r>
          </w:p>
        </w:tc>
        <w:tc>
          <w:tcPr>
            <w:tcW w:w="993"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0.33</w:t>
            </w:r>
          </w:p>
        </w:tc>
        <w:tc>
          <w:tcPr>
            <w:tcW w:w="850"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4.00</w:t>
            </w:r>
          </w:p>
        </w:tc>
        <w:tc>
          <w:tcPr>
            <w:tcW w:w="1621" w:type="dxa"/>
            <w:vAlign w:val="center"/>
          </w:tcPr>
          <w:p w:rsidR="00076BCA" w:rsidRPr="0083613C" w:rsidRDefault="00076BCA" w:rsidP="00227C85">
            <w:pPr>
              <w:jc w:val="center"/>
              <w:rPr>
                <w:rFonts w:ascii="Times New Roman" w:hAnsi="Times New Roman" w:cs="Times New Roman"/>
                <w:color w:val="000000"/>
              </w:rPr>
            </w:pPr>
            <w:r w:rsidRPr="0083613C">
              <w:rPr>
                <w:rFonts w:ascii="Times New Roman" w:hAnsi="Times New Roman" w:cs="Times New Roman"/>
                <w:color w:val="000000"/>
              </w:rPr>
              <w:t>0.259436</w:t>
            </w:r>
          </w:p>
        </w:tc>
      </w:tr>
      <w:tr w:rsidR="00076BCA" w:rsidRPr="0083613C" w:rsidTr="00215D60">
        <w:trPr>
          <w:trHeight w:val="124"/>
          <w:jc w:val="center"/>
        </w:trPr>
        <w:tc>
          <w:tcPr>
            <w:tcW w:w="3652" w:type="dxa"/>
            <w:noWrap/>
            <w:vAlign w:val="center"/>
            <w:hideMark/>
          </w:tcPr>
          <w:p w:rsidR="00076BCA" w:rsidRPr="0083613C" w:rsidRDefault="00076BCA" w:rsidP="00227C85">
            <w:pPr>
              <w:autoSpaceDE w:val="0"/>
              <w:autoSpaceDN w:val="0"/>
              <w:adjustRightInd w:val="0"/>
              <w:rPr>
                <w:rFonts w:ascii="Times New Roman" w:hAnsi="Times New Roman" w:cs="Times New Roman"/>
              </w:rPr>
            </w:pPr>
            <w:r w:rsidRPr="0083613C">
              <w:rPr>
                <w:rFonts w:ascii="Times New Roman" w:hAnsi="Times New Roman" w:cs="Times New Roman"/>
              </w:rPr>
              <w:t>W2.Profitability only with customer volume &amp; purchase volume</w:t>
            </w:r>
          </w:p>
        </w:tc>
        <w:tc>
          <w:tcPr>
            <w:tcW w:w="1142"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0.33</w:t>
            </w:r>
          </w:p>
        </w:tc>
        <w:tc>
          <w:tcPr>
            <w:tcW w:w="984"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1.00</w:t>
            </w:r>
          </w:p>
        </w:tc>
        <w:tc>
          <w:tcPr>
            <w:tcW w:w="993"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0.20</w:t>
            </w:r>
          </w:p>
        </w:tc>
        <w:tc>
          <w:tcPr>
            <w:tcW w:w="850"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2.00</w:t>
            </w:r>
          </w:p>
        </w:tc>
        <w:tc>
          <w:tcPr>
            <w:tcW w:w="1621" w:type="dxa"/>
            <w:vAlign w:val="center"/>
          </w:tcPr>
          <w:p w:rsidR="00076BCA" w:rsidRPr="0083613C" w:rsidRDefault="00076BCA" w:rsidP="00227C85">
            <w:pPr>
              <w:jc w:val="center"/>
              <w:rPr>
                <w:rFonts w:ascii="Times New Roman" w:hAnsi="Times New Roman" w:cs="Times New Roman"/>
                <w:color w:val="000000"/>
              </w:rPr>
            </w:pPr>
            <w:r w:rsidRPr="0083613C">
              <w:rPr>
                <w:rFonts w:ascii="Times New Roman" w:hAnsi="Times New Roman" w:cs="Times New Roman"/>
                <w:color w:val="000000"/>
              </w:rPr>
              <w:t>0.112371</w:t>
            </w:r>
          </w:p>
        </w:tc>
      </w:tr>
      <w:tr w:rsidR="00076BCA" w:rsidRPr="0083613C" w:rsidTr="00215D60">
        <w:trPr>
          <w:trHeight w:val="189"/>
          <w:jc w:val="center"/>
        </w:trPr>
        <w:tc>
          <w:tcPr>
            <w:tcW w:w="3652" w:type="dxa"/>
            <w:noWrap/>
            <w:vAlign w:val="center"/>
            <w:hideMark/>
          </w:tcPr>
          <w:p w:rsidR="00076BCA" w:rsidRPr="0083613C" w:rsidRDefault="00076BCA" w:rsidP="00227C85">
            <w:pPr>
              <w:autoSpaceDE w:val="0"/>
              <w:autoSpaceDN w:val="0"/>
              <w:adjustRightInd w:val="0"/>
              <w:rPr>
                <w:rFonts w:ascii="Times New Roman" w:hAnsi="Times New Roman" w:cs="Times New Roman"/>
              </w:rPr>
            </w:pPr>
            <w:r w:rsidRPr="0083613C">
              <w:rPr>
                <w:rFonts w:ascii="Times New Roman" w:hAnsi="Times New Roman" w:cs="Times New Roman"/>
              </w:rPr>
              <w:t>W3.One size fits all</w:t>
            </w:r>
          </w:p>
        </w:tc>
        <w:tc>
          <w:tcPr>
            <w:tcW w:w="1142"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3.00</w:t>
            </w:r>
          </w:p>
        </w:tc>
        <w:tc>
          <w:tcPr>
            <w:tcW w:w="984"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5.00</w:t>
            </w:r>
          </w:p>
        </w:tc>
        <w:tc>
          <w:tcPr>
            <w:tcW w:w="993"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1.00</w:t>
            </w:r>
          </w:p>
        </w:tc>
        <w:tc>
          <w:tcPr>
            <w:tcW w:w="850"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6.00</w:t>
            </w:r>
          </w:p>
        </w:tc>
        <w:tc>
          <w:tcPr>
            <w:tcW w:w="1621" w:type="dxa"/>
            <w:vAlign w:val="center"/>
          </w:tcPr>
          <w:p w:rsidR="00076BCA" w:rsidRPr="0083613C" w:rsidRDefault="00076BCA" w:rsidP="00227C85">
            <w:pPr>
              <w:jc w:val="center"/>
              <w:rPr>
                <w:rFonts w:ascii="Times New Roman" w:hAnsi="Times New Roman" w:cs="Times New Roman"/>
                <w:color w:val="000000"/>
              </w:rPr>
            </w:pPr>
            <w:r w:rsidRPr="0083613C">
              <w:rPr>
                <w:rFonts w:ascii="Times New Roman" w:hAnsi="Times New Roman" w:cs="Times New Roman"/>
                <w:color w:val="000000"/>
              </w:rPr>
              <w:t>0.557659</w:t>
            </w:r>
          </w:p>
        </w:tc>
      </w:tr>
      <w:tr w:rsidR="00076BCA" w:rsidRPr="0083613C" w:rsidTr="00215D60">
        <w:trPr>
          <w:trHeight w:val="124"/>
          <w:jc w:val="center"/>
        </w:trPr>
        <w:tc>
          <w:tcPr>
            <w:tcW w:w="3652" w:type="dxa"/>
            <w:vAlign w:val="center"/>
            <w:hideMark/>
          </w:tcPr>
          <w:p w:rsidR="00076BCA" w:rsidRPr="0083613C" w:rsidRDefault="00076BCA" w:rsidP="00227C85">
            <w:pPr>
              <w:autoSpaceDE w:val="0"/>
              <w:autoSpaceDN w:val="0"/>
              <w:adjustRightInd w:val="0"/>
              <w:rPr>
                <w:rFonts w:ascii="Times New Roman" w:hAnsi="Times New Roman" w:cs="Times New Roman"/>
              </w:rPr>
            </w:pPr>
            <w:r w:rsidRPr="0083613C">
              <w:rPr>
                <w:rFonts w:ascii="Times New Roman" w:hAnsi="Times New Roman" w:cs="Times New Roman"/>
              </w:rPr>
              <w:t>W4.Uncertainty of engagement-expenditure correlation</w:t>
            </w:r>
          </w:p>
        </w:tc>
        <w:tc>
          <w:tcPr>
            <w:tcW w:w="1142"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0.25</w:t>
            </w:r>
          </w:p>
        </w:tc>
        <w:tc>
          <w:tcPr>
            <w:tcW w:w="984"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0.50</w:t>
            </w:r>
          </w:p>
        </w:tc>
        <w:tc>
          <w:tcPr>
            <w:tcW w:w="993"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0.17</w:t>
            </w:r>
          </w:p>
        </w:tc>
        <w:tc>
          <w:tcPr>
            <w:tcW w:w="850" w:type="dxa"/>
            <w:noWrap/>
            <w:vAlign w:val="center"/>
            <w:hideMark/>
          </w:tcPr>
          <w:p w:rsidR="00076BCA" w:rsidRPr="0083613C" w:rsidRDefault="00076BCA" w:rsidP="00227C85">
            <w:pPr>
              <w:autoSpaceDE w:val="0"/>
              <w:autoSpaceDN w:val="0"/>
              <w:adjustRightInd w:val="0"/>
              <w:jc w:val="center"/>
              <w:rPr>
                <w:rFonts w:ascii="Times New Roman" w:hAnsi="Times New Roman" w:cs="Times New Roman"/>
              </w:rPr>
            </w:pPr>
            <w:r w:rsidRPr="0083613C">
              <w:rPr>
                <w:rFonts w:ascii="Times New Roman" w:hAnsi="Times New Roman" w:cs="Times New Roman"/>
              </w:rPr>
              <w:t>1.00</w:t>
            </w:r>
          </w:p>
        </w:tc>
        <w:tc>
          <w:tcPr>
            <w:tcW w:w="1621" w:type="dxa"/>
            <w:vAlign w:val="center"/>
          </w:tcPr>
          <w:p w:rsidR="00076BCA" w:rsidRPr="0083613C" w:rsidRDefault="00076BCA" w:rsidP="00227C85">
            <w:pPr>
              <w:jc w:val="center"/>
              <w:rPr>
                <w:rFonts w:ascii="Times New Roman" w:hAnsi="Times New Roman" w:cs="Times New Roman"/>
                <w:color w:val="000000"/>
              </w:rPr>
            </w:pPr>
            <w:r w:rsidRPr="0083613C">
              <w:rPr>
                <w:rFonts w:ascii="Times New Roman" w:hAnsi="Times New Roman" w:cs="Times New Roman"/>
                <w:color w:val="000000"/>
              </w:rPr>
              <w:t>0.070535</w:t>
            </w:r>
          </w:p>
        </w:tc>
      </w:tr>
    </w:tbl>
    <w:p w:rsidR="001850B8" w:rsidRDefault="001850B8" w:rsidP="00227C85">
      <w:pPr>
        <w:autoSpaceDE w:val="0"/>
        <w:autoSpaceDN w:val="0"/>
        <w:adjustRightInd w:val="0"/>
        <w:spacing w:after="0" w:line="240" w:lineRule="auto"/>
        <w:rPr>
          <w:rFonts w:ascii="Times New Roman" w:hAnsi="Times New Roman" w:cs="Times New Roman"/>
        </w:rPr>
      </w:pPr>
    </w:p>
    <w:p w:rsidR="007A14C6" w:rsidRPr="007A14C6" w:rsidRDefault="007A14C6" w:rsidP="00227C85">
      <w:pPr>
        <w:autoSpaceDE w:val="0"/>
        <w:autoSpaceDN w:val="0"/>
        <w:adjustRightInd w:val="0"/>
        <w:spacing w:after="0" w:line="240" w:lineRule="auto"/>
        <w:rPr>
          <w:rFonts w:ascii="Times New Roman" w:hAnsi="Times New Roman" w:cs="Times New Roman"/>
          <w:i/>
          <w:iCs/>
          <w:sz w:val="20"/>
          <w:szCs w:val="20"/>
        </w:rPr>
      </w:pPr>
      <w:r w:rsidRPr="007A14C6">
        <w:rPr>
          <w:rFonts w:ascii="Times New Roman" w:hAnsi="Times New Roman" w:cs="Times New Roman"/>
          <w:i/>
          <w:iCs/>
          <w:sz w:val="20"/>
          <w:szCs w:val="20"/>
        </w:rPr>
        <w:t xml:space="preserve">Table </w:t>
      </w:r>
      <w:r w:rsidR="00617DF4">
        <w:rPr>
          <w:rFonts w:ascii="Times New Roman" w:hAnsi="Times New Roman" w:cs="Times New Roman"/>
          <w:i/>
          <w:iCs/>
          <w:sz w:val="20"/>
          <w:szCs w:val="20"/>
        </w:rPr>
        <w:t>8</w:t>
      </w:r>
      <w:r w:rsidRPr="007A14C6">
        <w:rPr>
          <w:rFonts w:ascii="Times New Roman" w:hAnsi="Times New Roman" w:cs="Times New Roman"/>
          <w:i/>
          <w:iCs/>
          <w:sz w:val="20"/>
          <w:szCs w:val="20"/>
        </w:rPr>
        <w:t>: Pairwise comparisons of Opportunities for AHP</w:t>
      </w:r>
    </w:p>
    <w:p w:rsidR="007A14C6" w:rsidRDefault="007A14C6" w:rsidP="00227C85">
      <w:pPr>
        <w:autoSpaceDE w:val="0"/>
        <w:autoSpaceDN w:val="0"/>
        <w:adjustRightInd w:val="0"/>
        <w:spacing w:after="0" w:line="240" w:lineRule="auto"/>
        <w:rPr>
          <w:rFonts w:ascii="Times New Roman" w:hAnsi="Times New Roman" w:cs="Times New Roman"/>
        </w:rPr>
      </w:pPr>
    </w:p>
    <w:tbl>
      <w:tblPr>
        <w:tblStyle w:val="TableGrid"/>
        <w:tblW w:w="9257" w:type="dxa"/>
        <w:jc w:val="center"/>
        <w:tblLook w:val="04A0" w:firstRow="1" w:lastRow="0" w:firstColumn="1" w:lastColumn="0" w:noHBand="0" w:noVBand="1"/>
      </w:tblPr>
      <w:tblGrid>
        <w:gridCol w:w="3660"/>
        <w:gridCol w:w="1161"/>
        <w:gridCol w:w="965"/>
        <w:gridCol w:w="993"/>
        <w:gridCol w:w="992"/>
        <w:gridCol w:w="1486"/>
      </w:tblGrid>
      <w:tr w:rsidR="00076BCA" w:rsidRPr="00076BCA" w:rsidTr="00215D60">
        <w:trPr>
          <w:trHeight w:val="154"/>
          <w:jc w:val="center"/>
        </w:trPr>
        <w:tc>
          <w:tcPr>
            <w:tcW w:w="3660"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b/>
                <w:bCs/>
              </w:rPr>
            </w:pPr>
            <w:r w:rsidRPr="00076BCA">
              <w:rPr>
                <w:rFonts w:ascii="Times New Roman" w:hAnsi="Times New Roman" w:cs="Times New Roman"/>
                <w:b/>
                <w:bCs/>
              </w:rPr>
              <w:t>Opportunities</w:t>
            </w:r>
          </w:p>
        </w:tc>
        <w:tc>
          <w:tcPr>
            <w:tcW w:w="1161"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b/>
              </w:rPr>
            </w:pPr>
            <w:r w:rsidRPr="00076BCA">
              <w:rPr>
                <w:rFonts w:ascii="Times New Roman" w:hAnsi="Times New Roman" w:cs="Times New Roman"/>
                <w:b/>
              </w:rPr>
              <w:t>01</w:t>
            </w:r>
          </w:p>
        </w:tc>
        <w:tc>
          <w:tcPr>
            <w:tcW w:w="965"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b/>
              </w:rPr>
            </w:pPr>
            <w:r w:rsidRPr="00076BCA">
              <w:rPr>
                <w:rFonts w:ascii="Times New Roman" w:hAnsi="Times New Roman" w:cs="Times New Roman"/>
                <w:b/>
              </w:rPr>
              <w:t>02</w:t>
            </w:r>
          </w:p>
        </w:tc>
        <w:tc>
          <w:tcPr>
            <w:tcW w:w="993"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b/>
              </w:rPr>
            </w:pPr>
            <w:r w:rsidRPr="00076BCA">
              <w:rPr>
                <w:rFonts w:ascii="Times New Roman" w:hAnsi="Times New Roman" w:cs="Times New Roman"/>
                <w:b/>
              </w:rPr>
              <w:t>03</w:t>
            </w:r>
          </w:p>
        </w:tc>
        <w:tc>
          <w:tcPr>
            <w:tcW w:w="992"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b/>
              </w:rPr>
            </w:pPr>
            <w:r w:rsidRPr="00076BCA">
              <w:rPr>
                <w:rFonts w:ascii="Times New Roman" w:hAnsi="Times New Roman" w:cs="Times New Roman"/>
                <w:b/>
              </w:rPr>
              <w:t>04</w:t>
            </w:r>
          </w:p>
        </w:tc>
        <w:tc>
          <w:tcPr>
            <w:tcW w:w="1486" w:type="dxa"/>
          </w:tcPr>
          <w:p w:rsidR="00076BCA" w:rsidRPr="00076BCA" w:rsidRDefault="00076BCA" w:rsidP="00227C85">
            <w:pPr>
              <w:autoSpaceDE w:val="0"/>
              <w:autoSpaceDN w:val="0"/>
              <w:adjustRightInd w:val="0"/>
              <w:jc w:val="center"/>
              <w:rPr>
                <w:rFonts w:ascii="Times New Roman" w:hAnsi="Times New Roman" w:cs="Times New Roman"/>
                <w:b/>
              </w:rPr>
            </w:pPr>
            <w:r w:rsidRPr="00076BCA">
              <w:rPr>
                <w:rFonts w:ascii="Times New Roman" w:hAnsi="Times New Roman" w:cs="Times New Roman"/>
                <w:b/>
              </w:rPr>
              <w:t>Local Weight</w:t>
            </w:r>
          </w:p>
        </w:tc>
      </w:tr>
      <w:tr w:rsidR="00076BCA" w:rsidRPr="00076BCA" w:rsidTr="00215D60">
        <w:trPr>
          <w:trHeight w:val="240"/>
          <w:jc w:val="center"/>
        </w:trPr>
        <w:tc>
          <w:tcPr>
            <w:tcW w:w="3660" w:type="dxa"/>
            <w:noWrap/>
            <w:vAlign w:val="center"/>
            <w:hideMark/>
          </w:tcPr>
          <w:p w:rsidR="00076BCA" w:rsidRPr="00076BCA" w:rsidRDefault="00076BCA" w:rsidP="00227C85">
            <w:pPr>
              <w:autoSpaceDE w:val="0"/>
              <w:autoSpaceDN w:val="0"/>
              <w:adjustRightInd w:val="0"/>
              <w:rPr>
                <w:rFonts w:ascii="Times New Roman" w:hAnsi="Times New Roman" w:cs="Times New Roman"/>
              </w:rPr>
            </w:pPr>
            <w:r w:rsidRPr="00076BCA">
              <w:rPr>
                <w:rFonts w:ascii="Times New Roman" w:hAnsi="Times New Roman" w:cs="Times New Roman"/>
              </w:rPr>
              <w:t>O1. Incorporation with Virtual reality</w:t>
            </w:r>
          </w:p>
        </w:tc>
        <w:tc>
          <w:tcPr>
            <w:tcW w:w="1161"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1</w:t>
            </w:r>
          </w:p>
        </w:tc>
        <w:tc>
          <w:tcPr>
            <w:tcW w:w="965"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2</w:t>
            </w:r>
          </w:p>
        </w:tc>
        <w:tc>
          <w:tcPr>
            <w:tcW w:w="993"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6</w:t>
            </w:r>
          </w:p>
        </w:tc>
        <w:tc>
          <w:tcPr>
            <w:tcW w:w="992"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3</w:t>
            </w:r>
          </w:p>
        </w:tc>
        <w:tc>
          <w:tcPr>
            <w:tcW w:w="1486" w:type="dxa"/>
            <w:vAlign w:val="center"/>
          </w:tcPr>
          <w:p w:rsidR="00076BCA" w:rsidRPr="00076BCA" w:rsidRDefault="00076BCA" w:rsidP="00227C85">
            <w:pPr>
              <w:jc w:val="center"/>
              <w:rPr>
                <w:rFonts w:ascii="Times New Roman" w:hAnsi="Times New Roman" w:cs="Times New Roman"/>
                <w:color w:val="000000"/>
              </w:rPr>
            </w:pPr>
            <w:r w:rsidRPr="00076BCA">
              <w:rPr>
                <w:rFonts w:ascii="Times New Roman" w:hAnsi="Times New Roman" w:cs="Times New Roman"/>
                <w:color w:val="000000"/>
              </w:rPr>
              <w:t>0.473885</w:t>
            </w:r>
          </w:p>
        </w:tc>
      </w:tr>
      <w:tr w:rsidR="00076BCA" w:rsidRPr="00076BCA" w:rsidTr="00215D60">
        <w:trPr>
          <w:trHeight w:val="213"/>
          <w:jc w:val="center"/>
        </w:trPr>
        <w:tc>
          <w:tcPr>
            <w:tcW w:w="3660" w:type="dxa"/>
            <w:noWrap/>
            <w:vAlign w:val="center"/>
            <w:hideMark/>
          </w:tcPr>
          <w:p w:rsidR="00076BCA" w:rsidRPr="00076BCA" w:rsidRDefault="00076BCA" w:rsidP="00227C85">
            <w:pPr>
              <w:autoSpaceDE w:val="0"/>
              <w:autoSpaceDN w:val="0"/>
              <w:adjustRightInd w:val="0"/>
              <w:rPr>
                <w:rFonts w:ascii="Times New Roman" w:hAnsi="Times New Roman" w:cs="Times New Roman"/>
              </w:rPr>
            </w:pPr>
            <w:r w:rsidRPr="00076BCA">
              <w:rPr>
                <w:rFonts w:ascii="Times New Roman" w:hAnsi="Times New Roman" w:cs="Times New Roman"/>
              </w:rPr>
              <w:t>O2. Integration with existing games</w:t>
            </w:r>
          </w:p>
        </w:tc>
        <w:tc>
          <w:tcPr>
            <w:tcW w:w="1161"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0.5</w:t>
            </w:r>
          </w:p>
        </w:tc>
        <w:tc>
          <w:tcPr>
            <w:tcW w:w="965"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1</w:t>
            </w:r>
          </w:p>
        </w:tc>
        <w:tc>
          <w:tcPr>
            <w:tcW w:w="993"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5</w:t>
            </w:r>
          </w:p>
        </w:tc>
        <w:tc>
          <w:tcPr>
            <w:tcW w:w="992"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2</w:t>
            </w:r>
          </w:p>
        </w:tc>
        <w:tc>
          <w:tcPr>
            <w:tcW w:w="1486" w:type="dxa"/>
            <w:vAlign w:val="center"/>
          </w:tcPr>
          <w:p w:rsidR="00076BCA" w:rsidRPr="00076BCA" w:rsidRDefault="00076BCA" w:rsidP="00227C85">
            <w:pPr>
              <w:jc w:val="center"/>
              <w:rPr>
                <w:rFonts w:ascii="Times New Roman" w:hAnsi="Times New Roman" w:cs="Times New Roman"/>
                <w:color w:val="000000"/>
              </w:rPr>
            </w:pPr>
            <w:r w:rsidRPr="00076BCA">
              <w:rPr>
                <w:rFonts w:ascii="Times New Roman" w:hAnsi="Times New Roman" w:cs="Times New Roman"/>
                <w:color w:val="000000"/>
              </w:rPr>
              <w:t>0.288193</w:t>
            </w:r>
          </w:p>
        </w:tc>
      </w:tr>
      <w:tr w:rsidR="00076BCA" w:rsidRPr="00076BCA" w:rsidTr="00215D60">
        <w:trPr>
          <w:trHeight w:val="216"/>
          <w:jc w:val="center"/>
        </w:trPr>
        <w:tc>
          <w:tcPr>
            <w:tcW w:w="3660" w:type="dxa"/>
            <w:noWrap/>
            <w:vAlign w:val="center"/>
            <w:hideMark/>
          </w:tcPr>
          <w:p w:rsidR="00076BCA" w:rsidRPr="00076BCA" w:rsidRDefault="00076BCA" w:rsidP="00227C85">
            <w:pPr>
              <w:autoSpaceDE w:val="0"/>
              <w:autoSpaceDN w:val="0"/>
              <w:adjustRightInd w:val="0"/>
              <w:rPr>
                <w:rFonts w:ascii="Times New Roman" w:hAnsi="Times New Roman" w:cs="Times New Roman"/>
              </w:rPr>
            </w:pPr>
            <w:r w:rsidRPr="00076BCA">
              <w:rPr>
                <w:rFonts w:ascii="Times New Roman" w:hAnsi="Times New Roman" w:cs="Times New Roman"/>
              </w:rPr>
              <w:t>O3. Better revenue from advertising</w:t>
            </w:r>
          </w:p>
        </w:tc>
        <w:tc>
          <w:tcPr>
            <w:tcW w:w="1161"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0.166667</w:t>
            </w:r>
          </w:p>
        </w:tc>
        <w:tc>
          <w:tcPr>
            <w:tcW w:w="965"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0.2</w:t>
            </w:r>
          </w:p>
        </w:tc>
        <w:tc>
          <w:tcPr>
            <w:tcW w:w="993"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1</w:t>
            </w:r>
          </w:p>
        </w:tc>
        <w:tc>
          <w:tcPr>
            <w:tcW w:w="992"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0.25</w:t>
            </w:r>
          </w:p>
        </w:tc>
        <w:tc>
          <w:tcPr>
            <w:tcW w:w="1486" w:type="dxa"/>
            <w:vAlign w:val="center"/>
          </w:tcPr>
          <w:p w:rsidR="00076BCA" w:rsidRPr="00076BCA" w:rsidRDefault="00076BCA" w:rsidP="00227C85">
            <w:pPr>
              <w:jc w:val="center"/>
              <w:rPr>
                <w:rFonts w:ascii="Times New Roman" w:hAnsi="Times New Roman" w:cs="Times New Roman"/>
                <w:color w:val="000000"/>
              </w:rPr>
            </w:pPr>
            <w:r w:rsidRPr="00076BCA">
              <w:rPr>
                <w:rFonts w:ascii="Times New Roman" w:hAnsi="Times New Roman" w:cs="Times New Roman"/>
                <w:color w:val="000000"/>
              </w:rPr>
              <w:t>0.059972</w:t>
            </w:r>
          </w:p>
        </w:tc>
      </w:tr>
      <w:tr w:rsidR="00076BCA" w:rsidRPr="00076BCA" w:rsidTr="00215D60">
        <w:trPr>
          <w:trHeight w:val="212"/>
          <w:jc w:val="center"/>
        </w:trPr>
        <w:tc>
          <w:tcPr>
            <w:tcW w:w="3660" w:type="dxa"/>
            <w:noWrap/>
            <w:vAlign w:val="center"/>
            <w:hideMark/>
          </w:tcPr>
          <w:p w:rsidR="00076BCA" w:rsidRPr="00076BCA" w:rsidRDefault="00076BCA" w:rsidP="00227C85">
            <w:pPr>
              <w:autoSpaceDE w:val="0"/>
              <w:autoSpaceDN w:val="0"/>
              <w:adjustRightInd w:val="0"/>
              <w:rPr>
                <w:rFonts w:ascii="Times New Roman" w:hAnsi="Times New Roman" w:cs="Times New Roman"/>
              </w:rPr>
            </w:pPr>
            <w:r w:rsidRPr="00076BCA">
              <w:rPr>
                <w:rFonts w:ascii="Times New Roman" w:hAnsi="Times New Roman" w:cs="Times New Roman"/>
              </w:rPr>
              <w:t>O4. Advancements in gaming</w:t>
            </w:r>
          </w:p>
        </w:tc>
        <w:tc>
          <w:tcPr>
            <w:tcW w:w="1161"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0.333333</w:t>
            </w:r>
          </w:p>
        </w:tc>
        <w:tc>
          <w:tcPr>
            <w:tcW w:w="965"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0.5</w:t>
            </w:r>
          </w:p>
        </w:tc>
        <w:tc>
          <w:tcPr>
            <w:tcW w:w="993"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4</w:t>
            </w:r>
          </w:p>
        </w:tc>
        <w:tc>
          <w:tcPr>
            <w:tcW w:w="992" w:type="dxa"/>
            <w:noWrap/>
            <w:vAlign w:val="center"/>
            <w:hideMark/>
          </w:tcPr>
          <w:p w:rsidR="00076BCA" w:rsidRPr="00076BCA" w:rsidRDefault="00076BCA" w:rsidP="00227C85">
            <w:pPr>
              <w:autoSpaceDE w:val="0"/>
              <w:autoSpaceDN w:val="0"/>
              <w:adjustRightInd w:val="0"/>
              <w:jc w:val="center"/>
              <w:rPr>
                <w:rFonts w:ascii="Times New Roman" w:hAnsi="Times New Roman" w:cs="Times New Roman"/>
              </w:rPr>
            </w:pPr>
            <w:r w:rsidRPr="00076BCA">
              <w:rPr>
                <w:rFonts w:ascii="Times New Roman" w:hAnsi="Times New Roman" w:cs="Times New Roman"/>
              </w:rPr>
              <w:t>1</w:t>
            </w:r>
          </w:p>
        </w:tc>
        <w:tc>
          <w:tcPr>
            <w:tcW w:w="1486" w:type="dxa"/>
            <w:vAlign w:val="center"/>
          </w:tcPr>
          <w:p w:rsidR="00076BCA" w:rsidRPr="00076BCA" w:rsidRDefault="00076BCA" w:rsidP="00227C85">
            <w:pPr>
              <w:jc w:val="center"/>
              <w:rPr>
                <w:rFonts w:ascii="Times New Roman" w:hAnsi="Times New Roman" w:cs="Times New Roman"/>
                <w:color w:val="000000"/>
              </w:rPr>
            </w:pPr>
            <w:r w:rsidRPr="00076BCA">
              <w:rPr>
                <w:rFonts w:ascii="Times New Roman" w:hAnsi="Times New Roman" w:cs="Times New Roman"/>
                <w:color w:val="000000"/>
              </w:rPr>
              <w:t>0.17795</w:t>
            </w:r>
          </w:p>
        </w:tc>
      </w:tr>
    </w:tbl>
    <w:p w:rsidR="00076BCA" w:rsidRDefault="00076BCA" w:rsidP="00227C85">
      <w:pPr>
        <w:autoSpaceDE w:val="0"/>
        <w:autoSpaceDN w:val="0"/>
        <w:adjustRightInd w:val="0"/>
        <w:spacing w:after="0" w:line="240" w:lineRule="auto"/>
        <w:rPr>
          <w:rFonts w:ascii="Times New Roman" w:hAnsi="Times New Roman" w:cs="Times New Roman"/>
        </w:rPr>
      </w:pPr>
    </w:p>
    <w:p w:rsidR="007A14C6" w:rsidRPr="007A14C6" w:rsidRDefault="007A14C6" w:rsidP="00227C85">
      <w:pPr>
        <w:autoSpaceDE w:val="0"/>
        <w:autoSpaceDN w:val="0"/>
        <w:adjustRightInd w:val="0"/>
        <w:spacing w:after="0" w:line="240" w:lineRule="auto"/>
        <w:rPr>
          <w:rFonts w:ascii="Times New Roman" w:hAnsi="Times New Roman" w:cs="Times New Roman"/>
          <w:i/>
          <w:iCs/>
          <w:sz w:val="20"/>
          <w:szCs w:val="20"/>
        </w:rPr>
      </w:pPr>
      <w:r w:rsidRPr="007A14C6">
        <w:rPr>
          <w:rFonts w:ascii="Times New Roman" w:hAnsi="Times New Roman" w:cs="Times New Roman"/>
          <w:i/>
          <w:iCs/>
          <w:sz w:val="20"/>
          <w:szCs w:val="20"/>
        </w:rPr>
        <w:t xml:space="preserve">Table </w:t>
      </w:r>
      <w:r w:rsidR="00617DF4">
        <w:rPr>
          <w:rFonts w:ascii="Times New Roman" w:hAnsi="Times New Roman" w:cs="Times New Roman"/>
          <w:i/>
          <w:iCs/>
          <w:sz w:val="20"/>
          <w:szCs w:val="20"/>
        </w:rPr>
        <w:t>9</w:t>
      </w:r>
      <w:r w:rsidRPr="007A14C6">
        <w:rPr>
          <w:rFonts w:ascii="Times New Roman" w:hAnsi="Times New Roman" w:cs="Times New Roman"/>
          <w:i/>
          <w:iCs/>
          <w:sz w:val="20"/>
          <w:szCs w:val="20"/>
        </w:rPr>
        <w:t>: Pairwise comparisons of Threats for AHP</w:t>
      </w:r>
    </w:p>
    <w:p w:rsidR="007A14C6" w:rsidRPr="00D36AA8" w:rsidRDefault="007A14C6" w:rsidP="00227C85">
      <w:pPr>
        <w:autoSpaceDE w:val="0"/>
        <w:autoSpaceDN w:val="0"/>
        <w:adjustRightInd w:val="0"/>
        <w:spacing w:after="0" w:line="240" w:lineRule="auto"/>
        <w:rPr>
          <w:rFonts w:ascii="Times New Roman" w:hAnsi="Times New Roman" w:cs="Times New Roman"/>
        </w:rPr>
      </w:pPr>
    </w:p>
    <w:tbl>
      <w:tblPr>
        <w:tblStyle w:val="TableGrid"/>
        <w:tblW w:w="9252" w:type="dxa"/>
        <w:tblLook w:val="04A0" w:firstRow="1" w:lastRow="0" w:firstColumn="1" w:lastColumn="0" w:noHBand="0" w:noVBand="1"/>
      </w:tblPr>
      <w:tblGrid>
        <w:gridCol w:w="3652"/>
        <w:gridCol w:w="1139"/>
        <w:gridCol w:w="987"/>
        <w:gridCol w:w="1000"/>
        <w:gridCol w:w="993"/>
        <w:gridCol w:w="1481"/>
      </w:tblGrid>
      <w:tr w:rsidR="001850B8" w:rsidRPr="00D36AA8" w:rsidTr="00D4547E">
        <w:trPr>
          <w:trHeight w:val="391"/>
        </w:trPr>
        <w:tc>
          <w:tcPr>
            <w:tcW w:w="3652"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b/>
                <w:bCs/>
              </w:rPr>
            </w:pPr>
            <w:r w:rsidRPr="00D36AA8">
              <w:rPr>
                <w:rFonts w:ascii="Times New Roman" w:hAnsi="Times New Roman" w:cs="Times New Roman"/>
                <w:b/>
                <w:bCs/>
              </w:rPr>
              <w:t>Threats</w:t>
            </w:r>
          </w:p>
        </w:tc>
        <w:tc>
          <w:tcPr>
            <w:tcW w:w="1139" w:type="dxa"/>
            <w:noWrap/>
            <w:vAlign w:val="center"/>
            <w:hideMark/>
          </w:tcPr>
          <w:p w:rsidR="001850B8" w:rsidRPr="00AC0885" w:rsidRDefault="001850B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T1</w:t>
            </w:r>
          </w:p>
        </w:tc>
        <w:tc>
          <w:tcPr>
            <w:tcW w:w="987" w:type="dxa"/>
            <w:noWrap/>
            <w:vAlign w:val="center"/>
            <w:hideMark/>
          </w:tcPr>
          <w:p w:rsidR="001850B8" w:rsidRPr="00AC0885" w:rsidRDefault="001850B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T2</w:t>
            </w:r>
          </w:p>
        </w:tc>
        <w:tc>
          <w:tcPr>
            <w:tcW w:w="1000" w:type="dxa"/>
            <w:noWrap/>
            <w:vAlign w:val="center"/>
            <w:hideMark/>
          </w:tcPr>
          <w:p w:rsidR="001850B8" w:rsidRPr="00AC0885" w:rsidRDefault="001850B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T3</w:t>
            </w:r>
          </w:p>
        </w:tc>
        <w:tc>
          <w:tcPr>
            <w:tcW w:w="993" w:type="dxa"/>
            <w:noWrap/>
            <w:vAlign w:val="center"/>
            <w:hideMark/>
          </w:tcPr>
          <w:p w:rsidR="001850B8" w:rsidRPr="00AC0885" w:rsidRDefault="001850B8" w:rsidP="00227C85">
            <w:pPr>
              <w:autoSpaceDE w:val="0"/>
              <w:autoSpaceDN w:val="0"/>
              <w:adjustRightInd w:val="0"/>
              <w:jc w:val="center"/>
              <w:rPr>
                <w:rFonts w:ascii="Times New Roman" w:hAnsi="Times New Roman" w:cs="Times New Roman"/>
                <w:b/>
              </w:rPr>
            </w:pPr>
            <w:r w:rsidRPr="00AC0885">
              <w:rPr>
                <w:rFonts w:ascii="Times New Roman" w:hAnsi="Times New Roman" w:cs="Times New Roman"/>
                <w:b/>
              </w:rPr>
              <w:t>T4</w:t>
            </w:r>
          </w:p>
        </w:tc>
        <w:tc>
          <w:tcPr>
            <w:tcW w:w="1481" w:type="dxa"/>
            <w:vAlign w:val="center"/>
          </w:tcPr>
          <w:p w:rsidR="001850B8" w:rsidRPr="00AC0885" w:rsidRDefault="00AC0885" w:rsidP="00227C85">
            <w:pPr>
              <w:autoSpaceDE w:val="0"/>
              <w:autoSpaceDN w:val="0"/>
              <w:adjustRightInd w:val="0"/>
              <w:jc w:val="center"/>
              <w:rPr>
                <w:rFonts w:ascii="Times New Roman" w:hAnsi="Times New Roman" w:cs="Times New Roman"/>
                <w:b/>
              </w:rPr>
            </w:pPr>
            <w:r>
              <w:rPr>
                <w:rFonts w:ascii="Times New Roman" w:hAnsi="Times New Roman" w:cs="Times New Roman"/>
                <w:b/>
              </w:rPr>
              <w:t>Local Weight</w:t>
            </w:r>
          </w:p>
        </w:tc>
      </w:tr>
      <w:tr w:rsidR="001850B8" w:rsidRPr="00D36AA8" w:rsidTr="00D4547E">
        <w:trPr>
          <w:trHeight w:val="195"/>
        </w:trPr>
        <w:tc>
          <w:tcPr>
            <w:tcW w:w="3652" w:type="dxa"/>
            <w:noWrap/>
            <w:vAlign w:val="center"/>
            <w:hideMark/>
          </w:tcPr>
          <w:p w:rsidR="001850B8" w:rsidRPr="00D36AA8" w:rsidRDefault="001850B8" w:rsidP="00227C85">
            <w:pPr>
              <w:autoSpaceDE w:val="0"/>
              <w:autoSpaceDN w:val="0"/>
              <w:adjustRightInd w:val="0"/>
              <w:rPr>
                <w:rFonts w:ascii="Times New Roman" w:hAnsi="Times New Roman" w:cs="Times New Roman"/>
              </w:rPr>
            </w:pPr>
            <w:r w:rsidRPr="00D36AA8">
              <w:rPr>
                <w:rFonts w:ascii="Times New Roman" w:hAnsi="Times New Roman" w:cs="Times New Roman"/>
              </w:rPr>
              <w:t>T1. Unrealistic expectations</w:t>
            </w:r>
          </w:p>
        </w:tc>
        <w:tc>
          <w:tcPr>
            <w:tcW w:w="1139"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1.00</w:t>
            </w:r>
          </w:p>
        </w:tc>
        <w:tc>
          <w:tcPr>
            <w:tcW w:w="987"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0.50</w:t>
            </w:r>
          </w:p>
        </w:tc>
        <w:tc>
          <w:tcPr>
            <w:tcW w:w="1000"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2.00</w:t>
            </w:r>
          </w:p>
        </w:tc>
        <w:tc>
          <w:tcPr>
            <w:tcW w:w="993"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5.00</w:t>
            </w:r>
          </w:p>
        </w:tc>
        <w:tc>
          <w:tcPr>
            <w:tcW w:w="1481" w:type="dxa"/>
            <w:vAlign w:val="center"/>
          </w:tcPr>
          <w:p w:rsidR="001850B8" w:rsidRPr="00D36AA8" w:rsidRDefault="001850B8" w:rsidP="00227C85">
            <w:pPr>
              <w:jc w:val="center"/>
              <w:rPr>
                <w:rFonts w:ascii="Times New Roman" w:hAnsi="Times New Roman" w:cs="Times New Roman"/>
                <w:color w:val="000000"/>
              </w:rPr>
            </w:pPr>
            <w:r w:rsidRPr="00D36AA8">
              <w:rPr>
                <w:rFonts w:ascii="Times New Roman" w:hAnsi="Times New Roman" w:cs="Times New Roman"/>
                <w:color w:val="000000"/>
              </w:rPr>
              <w:t>0.288193</w:t>
            </w:r>
          </w:p>
        </w:tc>
      </w:tr>
      <w:tr w:rsidR="001850B8" w:rsidRPr="00D36AA8" w:rsidTr="00D4547E">
        <w:trPr>
          <w:trHeight w:val="196"/>
        </w:trPr>
        <w:tc>
          <w:tcPr>
            <w:tcW w:w="3652" w:type="dxa"/>
            <w:noWrap/>
            <w:vAlign w:val="center"/>
            <w:hideMark/>
          </w:tcPr>
          <w:p w:rsidR="001850B8" w:rsidRPr="00D36AA8" w:rsidRDefault="001850B8" w:rsidP="00227C85">
            <w:pPr>
              <w:autoSpaceDE w:val="0"/>
              <w:autoSpaceDN w:val="0"/>
              <w:adjustRightInd w:val="0"/>
              <w:rPr>
                <w:rFonts w:ascii="Times New Roman" w:hAnsi="Times New Roman" w:cs="Times New Roman"/>
              </w:rPr>
            </w:pPr>
            <w:r w:rsidRPr="00D36AA8">
              <w:rPr>
                <w:rFonts w:ascii="Times New Roman" w:hAnsi="Times New Roman" w:cs="Times New Roman"/>
              </w:rPr>
              <w:t>T2. Failure due to poor design</w:t>
            </w:r>
          </w:p>
        </w:tc>
        <w:tc>
          <w:tcPr>
            <w:tcW w:w="1139"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2.00</w:t>
            </w:r>
          </w:p>
        </w:tc>
        <w:tc>
          <w:tcPr>
            <w:tcW w:w="987"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1.00</w:t>
            </w:r>
          </w:p>
        </w:tc>
        <w:tc>
          <w:tcPr>
            <w:tcW w:w="1000"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3.00</w:t>
            </w:r>
          </w:p>
        </w:tc>
        <w:tc>
          <w:tcPr>
            <w:tcW w:w="993"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6.00</w:t>
            </w:r>
          </w:p>
        </w:tc>
        <w:tc>
          <w:tcPr>
            <w:tcW w:w="1481" w:type="dxa"/>
            <w:vAlign w:val="center"/>
          </w:tcPr>
          <w:p w:rsidR="001850B8" w:rsidRPr="00D36AA8" w:rsidRDefault="001850B8" w:rsidP="00227C85">
            <w:pPr>
              <w:jc w:val="center"/>
              <w:rPr>
                <w:rFonts w:ascii="Times New Roman" w:hAnsi="Times New Roman" w:cs="Times New Roman"/>
                <w:color w:val="000000"/>
              </w:rPr>
            </w:pPr>
            <w:r w:rsidRPr="00D36AA8">
              <w:rPr>
                <w:rFonts w:ascii="Times New Roman" w:hAnsi="Times New Roman" w:cs="Times New Roman"/>
                <w:color w:val="000000"/>
              </w:rPr>
              <w:t>0.473885</w:t>
            </w:r>
          </w:p>
        </w:tc>
      </w:tr>
      <w:tr w:rsidR="001850B8" w:rsidRPr="00D36AA8" w:rsidTr="00D4547E">
        <w:trPr>
          <w:trHeight w:val="193"/>
        </w:trPr>
        <w:tc>
          <w:tcPr>
            <w:tcW w:w="3652" w:type="dxa"/>
            <w:noWrap/>
            <w:vAlign w:val="center"/>
            <w:hideMark/>
          </w:tcPr>
          <w:p w:rsidR="001850B8" w:rsidRPr="00D36AA8" w:rsidRDefault="001850B8" w:rsidP="00227C85">
            <w:pPr>
              <w:autoSpaceDE w:val="0"/>
              <w:autoSpaceDN w:val="0"/>
              <w:adjustRightInd w:val="0"/>
              <w:rPr>
                <w:rFonts w:ascii="Times New Roman" w:hAnsi="Times New Roman" w:cs="Times New Roman"/>
              </w:rPr>
            </w:pPr>
            <w:r w:rsidRPr="00D36AA8">
              <w:rPr>
                <w:rFonts w:ascii="Times New Roman" w:hAnsi="Times New Roman" w:cs="Times New Roman"/>
              </w:rPr>
              <w:t>T3. Overuse leading to ineffectiveness</w:t>
            </w:r>
          </w:p>
        </w:tc>
        <w:tc>
          <w:tcPr>
            <w:tcW w:w="1139"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0.50</w:t>
            </w:r>
          </w:p>
        </w:tc>
        <w:tc>
          <w:tcPr>
            <w:tcW w:w="987"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0.33</w:t>
            </w:r>
          </w:p>
        </w:tc>
        <w:tc>
          <w:tcPr>
            <w:tcW w:w="1000"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1.00</w:t>
            </w:r>
          </w:p>
        </w:tc>
        <w:tc>
          <w:tcPr>
            <w:tcW w:w="993"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4.00</w:t>
            </w:r>
          </w:p>
        </w:tc>
        <w:tc>
          <w:tcPr>
            <w:tcW w:w="1481" w:type="dxa"/>
            <w:vAlign w:val="center"/>
          </w:tcPr>
          <w:p w:rsidR="001850B8" w:rsidRPr="00D36AA8" w:rsidRDefault="001850B8" w:rsidP="00227C85">
            <w:pPr>
              <w:jc w:val="center"/>
              <w:rPr>
                <w:rFonts w:ascii="Times New Roman" w:hAnsi="Times New Roman" w:cs="Times New Roman"/>
                <w:color w:val="000000"/>
              </w:rPr>
            </w:pPr>
            <w:r w:rsidRPr="00D36AA8">
              <w:rPr>
                <w:rFonts w:ascii="Times New Roman" w:hAnsi="Times New Roman" w:cs="Times New Roman"/>
                <w:color w:val="000000"/>
              </w:rPr>
              <w:t>0.17795</w:t>
            </w:r>
          </w:p>
        </w:tc>
      </w:tr>
      <w:tr w:rsidR="001850B8" w:rsidRPr="00D36AA8" w:rsidTr="00D4547E">
        <w:trPr>
          <w:trHeight w:val="183"/>
        </w:trPr>
        <w:tc>
          <w:tcPr>
            <w:tcW w:w="3652" w:type="dxa"/>
            <w:noWrap/>
            <w:vAlign w:val="center"/>
            <w:hideMark/>
          </w:tcPr>
          <w:p w:rsidR="001850B8" w:rsidRPr="00D36AA8" w:rsidRDefault="001850B8" w:rsidP="00227C85">
            <w:pPr>
              <w:autoSpaceDE w:val="0"/>
              <w:autoSpaceDN w:val="0"/>
              <w:adjustRightInd w:val="0"/>
              <w:rPr>
                <w:rFonts w:ascii="Times New Roman" w:hAnsi="Times New Roman" w:cs="Times New Roman"/>
              </w:rPr>
            </w:pPr>
            <w:r w:rsidRPr="00D36AA8">
              <w:rPr>
                <w:rFonts w:ascii="Times New Roman" w:hAnsi="Times New Roman" w:cs="Times New Roman"/>
              </w:rPr>
              <w:t>T4. Behaviour Manipulation</w:t>
            </w:r>
          </w:p>
        </w:tc>
        <w:tc>
          <w:tcPr>
            <w:tcW w:w="1139"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0.20</w:t>
            </w:r>
          </w:p>
        </w:tc>
        <w:tc>
          <w:tcPr>
            <w:tcW w:w="987"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0.17</w:t>
            </w:r>
          </w:p>
        </w:tc>
        <w:tc>
          <w:tcPr>
            <w:tcW w:w="1000"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0.25</w:t>
            </w:r>
          </w:p>
        </w:tc>
        <w:tc>
          <w:tcPr>
            <w:tcW w:w="993" w:type="dxa"/>
            <w:noWrap/>
            <w:vAlign w:val="center"/>
            <w:hideMark/>
          </w:tcPr>
          <w:p w:rsidR="001850B8" w:rsidRPr="00D36AA8" w:rsidRDefault="001850B8" w:rsidP="00227C85">
            <w:pPr>
              <w:autoSpaceDE w:val="0"/>
              <w:autoSpaceDN w:val="0"/>
              <w:adjustRightInd w:val="0"/>
              <w:jc w:val="center"/>
              <w:rPr>
                <w:rFonts w:ascii="Times New Roman" w:hAnsi="Times New Roman" w:cs="Times New Roman"/>
              </w:rPr>
            </w:pPr>
            <w:r w:rsidRPr="00D36AA8">
              <w:rPr>
                <w:rFonts w:ascii="Times New Roman" w:hAnsi="Times New Roman" w:cs="Times New Roman"/>
              </w:rPr>
              <w:t>1.00</w:t>
            </w:r>
          </w:p>
        </w:tc>
        <w:tc>
          <w:tcPr>
            <w:tcW w:w="1481" w:type="dxa"/>
            <w:vAlign w:val="center"/>
          </w:tcPr>
          <w:p w:rsidR="001850B8" w:rsidRPr="00D36AA8" w:rsidRDefault="001850B8" w:rsidP="00227C85">
            <w:pPr>
              <w:jc w:val="center"/>
              <w:rPr>
                <w:rFonts w:ascii="Times New Roman" w:hAnsi="Times New Roman" w:cs="Times New Roman"/>
                <w:color w:val="000000"/>
              </w:rPr>
            </w:pPr>
            <w:r w:rsidRPr="00D36AA8">
              <w:rPr>
                <w:rFonts w:ascii="Times New Roman" w:hAnsi="Times New Roman" w:cs="Times New Roman"/>
                <w:color w:val="000000"/>
              </w:rPr>
              <w:t>0.059972</w:t>
            </w:r>
          </w:p>
        </w:tc>
      </w:tr>
    </w:tbl>
    <w:p w:rsidR="000C5CA8" w:rsidRPr="00D36AA8" w:rsidRDefault="000C5CA8" w:rsidP="00227C85">
      <w:pPr>
        <w:autoSpaceDE w:val="0"/>
        <w:autoSpaceDN w:val="0"/>
        <w:adjustRightInd w:val="0"/>
        <w:spacing w:after="0" w:line="240" w:lineRule="auto"/>
        <w:rPr>
          <w:rFonts w:ascii="Times New Roman" w:hAnsi="Times New Roman" w:cs="Times New Roman"/>
          <w:color w:val="252525"/>
          <w:shd w:val="clear" w:color="auto" w:fill="FFFFFF"/>
        </w:rPr>
        <w:sectPr w:rsidR="000C5CA8" w:rsidRPr="00D36AA8" w:rsidSect="00A068CD">
          <w:type w:val="continuous"/>
          <w:pgSz w:w="11906" w:h="16838"/>
          <w:pgMar w:top="1440" w:right="1440" w:bottom="1440" w:left="1440" w:header="708" w:footer="708" w:gutter="0"/>
          <w:cols w:space="708"/>
          <w:docGrid w:linePitch="360"/>
        </w:sectPr>
      </w:pPr>
    </w:p>
    <w:p w:rsidR="00BA5F47" w:rsidRDefault="00BA5F47" w:rsidP="00227C85">
      <w:pPr>
        <w:autoSpaceDE w:val="0"/>
        <w:autoSpaceDN w:val="0"/>
        <w:adjustRightInd w:val="0"/>
        <w:spacing w:after="0" w:line="240" w:lineRule="auto"/>
        <w:rPr>
          <w:rFonts w:ascii="Times New Roman" w:hAnsi="Times New Roman" w:cs="Times New Roman"/>
          <w:color w:val="252525"/>
          <w:shd w:val="clear" w:color="auto" w:fill="FFFFFF"/>
        </w:rPr>
      </w:pPr>
    </w:p>
    <w:p w:rsidR="007A14C6" w:rsidRPr="008B3BFC" w:rsidRDefault="008B3BFC" w:rsidP="00227C85">
      <w:pPr>
        <w:autoSpaceDE w:val="0"/>
        <w:autoSpaceDN w:val="0"/>
        <w:adjustRightInd w:val="0"/>
        <w:spacing w:after="0" w:line="240" w:lineRule="auto"/>
        <w:rPr>
          <w:rFonts w:ascii="Times New Roman" w:hAnsi="Times New Roman" w:cs="Times New Roman"/>
          <w:i/>
          <w:iCs/>
          <w:color w:val="252525"/>
          <w:sz w:val="20"/>
          <w:szCs w:val="20"/>
          <w:shd w:val="clear" w:color="auto" w:fill="FFFFFF"/>
        </w:rPr>
      </w:pPr>
      <w:r w:rsidRPr="008B3BFC">
        <w:rPr>
          <w:rFonts w:ascii="Times New Roman" w:hAnsi="Times New Roman" w:cs="Times New Roman"/>
          <w:i/>
          <w:iCs/>
          <w:color w:val="252525"/>
          <w:sz w:val="20"/>
          <w:szCs w:val="20"/>
          <w:shd w:val="clear" w:color="auto" w:fill="FFFFFF"/>
        </w:rPr>
        <w:t xml:space="preserve">Table </w:t>
      </w:r>
      <w:r w:rsidR="00617DF4">
        <w:rPr>
          <w:rFonts w:ascii="Times New Roman" w:hAnsi="Times New Roman" w:cs="Times New Roman"/>
          <w:i/>
          <w:iCs/>
          <w:color w:val="252525"/>
          <w:sz w:val="20"/>
          <w:szCs w:val="20"/>
          <w:shd w:val="clear" w:color="auto" w:fill="FFFFFF"/>
        </w:rPr>
        <w:t>10</w:t>
      </w:r>
      <w:r w:rsidRPr="008B3BFC">
        <w:rPr>
          <w:rFonts w:ascii="Times New Roman" w:hAnsi="Times New Roman" w:cs="Times New Roman"/>
          <w:i/>
          <w:iCs/>
          <w:color w:val="252525"/>
          <w:sz w:val="20"/>
          <w:szCs w:val="20"/>
          <w:shd w:val="clear" w:color="auto" w:fill="FFFFFF"/>
        </w:rPr>
        <w:t>: Computation of Global weights</w:t>
      </w:r>
    </w:p>
    <w:p w:rsidR="00AC0885" w:rsidRDefault="00AC0885" w:rsidP="00227C85">
      <w:pPr>
        <w:autoSpaceDE w:val="0"/>
        <w:autoSpaceDN w:val="0"/>
        <w:adjustRightInd w:val="0"/>
        <w:spacing w:after="0" w:line="240" w:lineRule="auto"/>
        <w:rPr>
          <w:rFonts w:ascii="Times New Roman" w:hAnsi="Times New Roman" w:cs="Times New Roman"/>
          <w:color w:val="252525"/>
          <w:shd w:val="clear" w:color="auto" w:fill="FFFFFF"/>
        </w:rPr>
      </w:pPr>
    </w:p>
    <w:tbl>
      <w:tblPr>
        <w:tblStyle w:val="TableGrid"/>
        <w:tblW w:w="0" w:type="auto"/>
        <w:tblLook w:val="04A0" w:firstRow="1" w:lastRow="0" w:firstColumn="1" w:lastColumn="0" w:noHBand="0" w:noVBand="1"/>
      </w:tblPr>
      <w:tblGrid>
        <w:gridCol w:w="1803"/>
        <w:gridCol w:w="1438"/>
        <w:gridCol w:w="2671"/>
        <w:gridCol w:w="1522"/>
        <w:gridCol w:w="1582"/>
      </w:tblGrid>
      <w:tr w:rsidR="00AC0885" w:rsidRPr="00AC0885" w:rsidTr="00AC0885">
        <w:trPr>
          <w:trHeight w:val="563"/>
        </w:trPr>
        <w:tc>
          <w:tcPr>
            <w:tcW w:w="1848"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b/>
                <w:bCs/>
                <w:color w:val="252525"/>
                <w:shd w:val="clear" w:color="auto" w:fill="FFFFFF"/>
              </w:rPr>
            </w:pPr>
            <w:r w:rsidRPr="00AC0885">
              <w:rPr>
                <w:rFonts w:ascii="Times New Roman" w:hAnsi="Times New Roman" w:cs="Times New Roman"/>
                <w:b/>
                <w:bCs/>
                <w:color w:val="252525"/>
                <w:shd w:val="clear" w:color="auto" w:fill="FFFFFF"/>
              </w:rPr>
              <w:t>SWOT Groups</w:t>
            </w:r>
          </w:p>
        </w:tc>
        <w:tc>
          <w:tcPr>
            <w:tcW w:w="1473" w:type="dxa"/>
            <w:vAlign w:val="center"/>
            <w:hideMark/>
          </w:tcPr>
          <w:p w:rsidR="00AC0885" w:rsidRPr="00AC0885" w:rsidRDefault="00AC0885" w:rsidP="00227C85">
            <w:pPr>
              <w:autoSpaceDE w:val="0"/>
              <w:autoSpaceDN w:val="0"/>
              <w:adjustRightInd w:val="0"/>
              <w:jc w:val="center"/>
              <w:rPr>
                <w:rFonts w:ascii="Times New Roman" w:hAnsi="Times New Roman" w:cs="Times New Roman"/>
                <w:b/>
                <w:bCs/>
                <w:color w:val="252525"/>
                <w:shd w:val="clear" w:color="auto" w:fill="FFFFFF"/>
              </w:rPr>
            </w:pPr>
            <w:r w:rsidRPr="00AC0885">
              <w:rPr>
                <w:rFonts w:ascii="Times New Roman" w:hAnsi="Times New Roman" w:cs="Times New Roman"/>
                <w:b/>
                <w:bCs/>
                <w:color w:val="252525"/>
                <w:shd w:val="clear" w:color="auto" w:fill="FFFFFF"/>
              </w:rPr>
              <w:t>Local Weight</w:t>
            </w:r>
          </w:p>
        </w:tc>
        <w:tc>
          <w:tcPr>
            <w:tcW w:w="2741" w:type="dxa"/>
            <w:vAlign w:val="center"/>
            <w:hideMark/>
          </w:tcPr>
          <w:p w:rsidR="00AC0885" w:rsidRPr="00AC0885" w:rsidRDefault="00AC0885" w:rsidP="00227C85">
            <w:pPr>
              <w:autoSpaceDE w:val="0"/>
              <w:autoSpaceDN w:val="0"/>
              <w:adjustRightInd w:val="0"/>
              <w:jc w:val="center"/>
              <w:rPr>
                <w:rFonts w:ascii="Times New Roman" w:hAnsi="Times New Roman" w:cs="Times New Roman"/>
                <w:b/>
                <w:bCs/>
                <w:color w:val="252525"/>
                <w:shd w:val="clear" w:color="auto" w:fill="FFFFFF"/>
              </w:rPr>
            </w:pPr>
            <w:r w:rsidRPr="00AC0885">
              <w:rPr>
                <w:rFonts w:ascii="Times New Roman" w:hAnsi="Times New Roman" w:cs="Times New Roman"/>
                <w:b/>
                <w:bCs/>
                <w:color w:val="252525"/>
                <w:shd w:val="clear" w:color="auto" w:fill="FFFFFF"/>
              </w:rPr>
              <w:t>SWOT Factors</w:t>
            </w:r>
          </w:p>
        </w:tc>
        <w:tc>
          <w:tcPr>
            <w:tcW w:w="1559" w:type="dxa"/>
            <w:vAlign w:val="center"/>
            <w:hideMark/>
          </w:tcPr>
          <w:p w:rsidR="00AC0885" w:rsidRPr="00AC0885" w:rsidRDefault="00AC0885" w:rsidP="00227C85">
            <w:pPr>
              <w:autoSpaceDE w:val="0"/>
              <w:autoSpaceDN w:val="0"/>
              <w:adjustRightInd w:val="0"/>
              <w:jc w:val="center"/>
              <w:rPr>
                <w:rFonts w:ascii="Times New Roman" w:hAnsi="Times New Roman" w:cs="Times New Roman"/>
                <w:b/>
                <w:bCs/>
                <w:color w:val="252525"/>
                <w:shd w:val="clear" w:color="auto" w:fill="FFFFFF"/>
              </w:rPr>
            </w:pPr>
            <w:r w:rsidRPr="00AC0885">
              <w:rPr>
                <w:rFonts w:ascii="Times New Roman" w:hAnsi="Times New Roman" w:cs="Times New Roman"/>
                <w:b/>
                <w:bCs/>
                <w:color w:val="252525"/>
                <w:shd w:val="clear" w:color="auto" w:fill="FFFFFF"/>
              </w:rPr>
              <w:t>Local Weight</w:t>
            </w:r>
          </w:p>
        </w:tc>
        <w:tc>
          <w:tcPr>
            <w:tcW w:w="1621" w:type="dxa"/>
            <w:vAlign w:val="center"/>
            <w:hideMark/>
          </w:tcPr>
          <w:p w:rsidR="00AC0885" w:rsidRPr="00AC0885" w:rsidRDefault="00AC0885" w:rsidP="00227C85">
            <w:pPr>
              <w:autoSpaceDE w:val="0"/>
              <w:autoSpaceDN w:val="0"/>
              <w:adjustRightInd w:val="0"/>
              <w:jc w:val="center"/>
              <w:rPr>
                <w:rFonts w:ascii="Times New Roman" w:hAnsi="Times New Roman" w:cs="Times New Roman"/>
                <w:b/>
                <w:bCs/>
                <w:color w:val="252525"/>
                <w:shd w:val="clear" w:color="auto" w:fill="FFFFFF"/>
              </w:rPr>
            </w:pPr>
            <w:r w:rsidRPr="00AC0885">
              <w:rPr>
                <w:rFonts w:ascii="Times New Roman" w:hAnsi="Times New Roman" w:cs="Times New Roman"/>
                <w:b/>
                <w:bCs/>
                <w:color w:val="252525"/>
                <w:shd w:val="clear" w:color="auto" w:fill="FFFFFF"/>
              </w:rPr>
              <w:t>Global Weight</w:t>
            </w:r>
          </w:p>
        </w:tc>
      </w:tr>
      <w:tr w:rsidR="00AC0885" w:rsidRPr="00AC0885" w:rsidTr="00AC0885">
        <w:trPr>
          <w:trHeight w:val="300"/>
        </w:trPr>
        <w:tc>
          <w:tcPr>
            <w:tcW w:w="1848" w:type="dxa"/>
            <w:vMerge w:val="restart"/>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r w:rsidRPr="00AC0885">
              <w:rPr>
                <w:rFonts w:ascii="Times New Roman" w:hAnsi="Times New Roman" w:cs="Times New Roman"/>
                <w:b/>
                <w:color w:val="252525"/>
                <w:shd w:val="clear" w:color="auto" w:fill="FFFFFF"/>
              </w:rPr>
              <w:t>Strengths</w:t>
            </w:r>
          </w:p>
        </w:tc>
        <w:tc>
          <w:tcPr>
            <w:tcW w:w="1473" w:type="dxa"/>
            <w:vMerge w:val="restart"/>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0.290596037</w:t>
            </w: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S</w:t>
            </w:r>
            <w:r w:rsidRPr="00AC0885">
              <w:rPr>
                <w:rFonts w:ascii="Times New Roman" w:hAnsi="Times New Roman" w:cs="Times New Roman"/>
                <w:color w:val="252525"/>
                <w:shd w:val="clear" w:color="auto" w:fill="FFFFFF"/>
              </w:rPr>
              <w:t>1. Intrinsic advertising</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0.164867588</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0.047909868</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S</w:t>
            </w:r>
            <w:r w:rsidRPr="00AC0885">
              <w:rPr>
                <w:rFonts w:ascii="Times New Roman" w:hAnsi="Times New Roman" w:cs="Times New Roman"/>
                <w:color w:val="252525"/>
                <w:shd w:val="clear" w:color="auto" w:fill="FFFFFF"/>
              </w:rPr>
              <w:t>2. Customer engagement &amp; motivation</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0.417528581</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0.121332151</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S</w:t>
            </w:r>
            <w:r w:rsidRPr="00AC0885">
              <w:rPr>
                <w:rFonts w:ascii="Times New Roman" w:hAnsi="Times New Roman" w:cs="Times New Roman"/>
                <w:color w:val="252525"/>
                <w:shd w:val="clear" w:color="auto" w:fill="FFFFFF"/>
              </w:rPr>
              <w:t>3. Easy Implementation</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0.049117506</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0.014273353</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S</w:t>
            </w:r>
            <w:r w:rsidRPr="00AC0885">
              <w:rPr>
                <w:rFonts w:ascii="Times New Roman" w:hAnsi="Times New Roman" w:cs="Times New Roman"/>
                <w:color w:val="252525"/>
                <w:shd w:val="clear" w:color="auto" w:fill="FFFFFF"/>
              </w:rPr>
              <w:t>4. Competitive purchasing</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0.104499749</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0.030367213</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S</w:t>
            </w:r>
            <w:r w:rsidRPr="00AC0885">
              <w:rPr>
                <w:rFonts w:ascii="Times New Roman" w:hAnsi="Times New Roman" w:cs="Times New Roman"/>
                <w:color w:val="252525"/>
                <w:shd w:val="clear" w:color="auto" w:fill="FFFFFF"/>
              </w:rPr>
              <w:t>5. Product Differentiation</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0.263986576</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0.076713453</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noWrap/>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r>
      <w:tr w:rsidR="00AC0885" w:rsidRPr="00AC0885" w:rsidTr="00AC0885">
        <w:trPr>
          <w:trHeight w:val="300"/>
        </w:trPr>
        <w:tc>
          <w:tcPr>
            <w:tcW w:w="1848" w:type="dxa"/>
            <w:vMerge w:val="restart"/>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r w:rsidRPr="00AC0885">
              <w:rPr>
                <w:rFonts w:ascii="Times New Roman" w:hAnsi="Times New Roman" w:cs="Times New Roman"/>
                <w:b/>
                <w:color w:val="252525"/>
                <w:shd w:val="clear" w:color="auto" w:fill="FFFFFF"/>
              </w:rPr>
              <w:t>Weaknesses</w:t>
            </w:r>
          </w:p>
        </w:tc>
        <w:tc>
          <w:tcPr>
            <w:tcW w:w="1473" w:type="dxa"/>
            <w:vMerge w:val="restart"/>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0.133931971</w:t>
            </w: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W</w:t>
            </w:r>
            <w:r w:rsidRPr="00AC0885">
              <w:rPr>
                <w:rFonts w:ascii="Times New Roman" w:hAnsi="Times New Roman" w:cs="Times New Roman"/>
                <w:color w:val="252525"/>
                <w:shd w:val="clear" w:color="auto" w:fill="FFFFFF"/>
              </w:rPr>
              <w:t>1.Customer retention difficulties</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0.259435508</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0.034746709</w:t>
            </w:r>
          </w:p>
        </w:tc>
      </w:tr>
      <w:tr w:rsidR="00AC0885" w:rsidRPr="00AC0885" w:rsidTr="00AC0885">
        <w:trPr>
          <w:trHeight w:val="6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W</w:t>
            </w:r>
            <w:r w:rsidRPr="00AC0885">
              <w:rPr>
                <w:rFonts w:ascii="Times New Roman" w:hAnsi="Times New Roman" w:cs="Times New Roman"/>
                <w:color w:val="252525"/>
                <w:shd w:val="clear" w:color="auto" w:fill="FFFFFF"/>
              </w:rPr>
              <w:t>2.Profitability only with customer volume &amp; purchase volume</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0.112370911</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0.015050058</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W</w:t>
            </w:r>
            <w:r w:rsidRPr="00AC0885">
              <w:rPr>
                <w:rFonts w:ascii="Times New Roman" w:hAnsi="Times New Roman" w:cs="Times New Roman"/>
                <w:color w:val="252525"/>
                <w:shd w:val="clear" w:color="auto" w:fill="FFFFFF"/>
              </w:rPr>
              <w:t>3.One size fits all</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0.55765875</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0.074688335</w:t>
            </w:r>
          </w:p>
        </w:tc>
      </w:tr>
      <w:tr w:rsidR="00AC0885" w:rsidRPr="00AC0885" w:rsidTr="00AC0885">
        <w:trPr>
          <w:trHeight w:val="6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W</w:t>
            </w:r>
            <w:r w:rsidRPr="00AC0885">
              <w:rPr>
                <w:rFonts w:ascii="Times New Roman" w:hAnsi="Times New Roman" w:cs="Times New Roman"/>
                <w:color w:val="252525"/>
                <w:shd w:val="clear" w:color="auto" w:fill="FFFFFF"/>
              </w:rPr>
              <w:t>4.Uncertainty of engagement-expenditure correlation</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0.070534832</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0.009446869</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noWrap/>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r>
      <w:tr w:rsidR="00AC0885" w:rsidRPr="00AC0885" w:rsidTr="00AC0885">
        <w:trPr>
          <w:trHeight w:val="300"/>
        </w:trPr>
        <w:tc>
          <w:tcPr>
            <w:tcW w:w="1848" w:type="dxa"/>
            <w:vMerge w:val="restart"/>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r w:rsidRPr="00AC0885">
              <w:rPr>
                <w:rFonts w:ascii="Times New Roman" w:hAnsi="Times New Roman" w:cs="Times New Roman"/>
                <w:b/>
                <w:color w:val="252525"/>
                <w:shd w:val="clear" w:color="auto" w:fill="FFFFFF"/>
              </w:rPr>
              <w:lastRenderedPageBreak/>
              <w:t>Opportunities</w:t>
            </w:r>
          </w:p>
        </w:tc>
        <w:tc>
          <w:tcPr>
            <w:tcW w:w="1473" w:type="dxa"/>
            <w:vMerge w:val="restart"/>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0.522384147</w:t>
            </w: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O</w:t>
            </w:r>
            <w:r w:rsidRPr="00AC0885">
              <w:rPr>
                <w:rFonts w:ascii="Times New Roman" w:hAnsi="Times New Roman" w:cs="Times New Roman"/>
                <w:color w:val="252525"/>
                <w:shd w:val="clear" w:color="auto" w:fill="FFFFFF"/>
              </w:rPr>
              <w:t>1. Incorporation with Virtual reality</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0.473885135</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0.247550082</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O</w:t>
            </w:r>
            <w:r w:rsidRPr="00AC0885">
              <w:rPr>
                <w:rFonts w:ascii="Times New Roman" w:hAnsi="Times New Roman" w:cs="Times New Roman"/>
                <w:color w:val="252525"/>
                <w:shd w:val="clear" w:color="auto" w:fill="FFFFFF"/>
              </w:rPr>
              <w:t>2. Integration with existing games</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0.288192568</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0.150547229</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O</w:t>
            </w:r>
            <w:r w:rsidRPr="00AC0885">
              <w:rPr>
                <w:rFonts w:ascii="Times New Roman" w:hAnsi="Times New Roman" w:cs="Times New Roman"/>
                <w:color w:val="252525"/>
                <w:shd w:val="clear" w:color="auto" w:fill="FFFFFF"/>
              </w:rPr>
              <w:t>3. Better revenue from advertising</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0.059971847</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0.031328342</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O</w:t>
            </w:r>
            <w:r w:rsidRPr="00AC0885">
              <w:rPr>
                <w:rFonts w:ascii="Times New Roman" w:hAnsi="Times New Roman" w:cs="Times New Roman"/>
                <w:color w:val="252525"/>
                <w:shd w:val="clear" w:color="auto" w:fill="FFFFFF"/>
              </w:rPr>
              <w:t>4. Advancements in gaming</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0.17795045</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0.092958494</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noWrap/>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r>
      <w:tr w:rsidR="00AC0885" w:rsidRPr="00AC0885" w:rsidTr="00AC0885">
        <w:trPr>
          <w:trHeight w:val="300"/>
        </w:trPr>
        <w:tc>
          <w:tcPr>
            <w:tcW w:w="1848" w:type="dxa"/>
            <w:vMerge w:val="restart"/>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r w:rsidRPr="00AC0885">
              <w:rPr>
                <w:rFonts w:ascii="Times New Roman" w:hAnsi="Times New Roman" w:cs="Times New Roman"/>
                <w:b/>
                <w:color w:val="252525"/>
                <w:shd w:val="clear" w:color="auto" w:fill="FFFFFF"/>
              </w:rPr>
              <w:t>Threats</w:t>
            </w:r>
          </w:p>
        </w:tc>
        <w:tc>
          <w:tcPr>
            <w:tcW w:w="1473" w:type="dxa"/>
            <w:vMerge w:val="restart"/>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0.053087845</w:t>
            </w:r>
          </w:p>
        </w:tc>
        <w:tc>
          <w:tcPr>
            <w:tcW w:w="2741" w:type="dxa"/>
            <w:noWrap/>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T</w:t>
            </w:r>
            <w:r w:rsidRPr="00AC0885">
              <w:rPr>
                <w:rFonts w:ascii="Times New Roman" w:hAnsi="Times New Roman" w:cs="Times New Roman"/>
                <w:color w:val="252525"/>
                <w:shd w:val="clear" w:color="auto" w:fill="FFFFFF"/>
              </w:rPr>
              <w:t>1. Unrealistic expectations</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0.288192568</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0.015299522</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noWrap/>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T</w:t>
            </w:r>
            <w:r w:rsidRPr="00AC0885">
              <w:rPr>
                <w:rFonts w:ascii="Times New Roman" w:hAnsi="Times New Roman" w:cs="Times New Roman"/>
                <w:color w:val="252525"/>
                <w:shd w:val="clear" w:color="auto" w:fill="FFFFFF"/>
              </w:rPr>
              <w:t>2. Failure due to poor design</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0.473885135</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0.025157541</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noWrap/>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T</w:t>
            </w:r>
            <w:r w:rsidRPr="00AC0885">
              <w:rPr>
                <w:rFonts w:ascii="Times New Roman" w:hAnsi="Times New Roman" w:cs="Times New Roman"/>
                <w:color w:val="252525"/>
                <w:shd w:val="clear" w:color="auto" w:fill="FFFFFF"/>
              </w:rPr>
              <w:t>3. Overuse leading to ineffectiveness</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0.17795045</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0.009447006</w:t>
            </w:r>
          </w:p>
        </w:tc>
      </w:tr>
      <w:tr w:rsidR="00AC0885" w:rsidRPr="00AC0885" w:rsidTr="00AC0885">
        <w:trPr>
          <w:trHeight w:val="300"/>
        </w:trPr>
        <w:tc>
          <w:tcPr>
            <w:tcW w:w="1848"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b/>
                <w:color w:val="252525"/>
                <w:shd w:val="clear" w:color="auto" w:fill="FFFFFF"/>
              </w:rPr>
            </w:pPr>
          </w:p>
        </w:tc>
        <w:tc>
          <w:tcPr>
            <w:tcW w:w="1473" w:type="dxa"/>
            <w:vMerge/>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p>
        </w:tc>
        <w:tc>
          <w:tcPr>
            <w:tcW w:w="2741" w:type="dxa"/>
            <w:noWrap/>
            <w:vAlign w:val="center"/>
            <w:hideMark/>
          </w:tcPr>
          <w:p w:rsidR="00AC0885" w:rsidRPr="00AC0885" w:rsidRDefault="00AC0885" w:rsidP="00227C85">
            <w:pPr>
              <w:autoSpaceDE w:val="0"/>
              <w:autoSpaceDN w:val="0"/>
              <w:adjustRightInd w:val="0"/>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T</w:t>
            </w:r>
            <w:r w:rsidRPr="00AC0885">
              <w:rPr>
                <w:rFonts w:ascii="Times New Roman" w:hAnsi="Times New Roman" w:cs="Times New Roman"/>
                <w:color w:val="252525"/>
                <w:shd w:val="clear" w:color="auto" w:fill="FFFFFF"/>
              </w:rPr>
              <w:t>4. Behaviour Manipulation</w:t>
            </w:r>
          </w:p>
        </w:tc>
        <w:tc>
          <w:tcPr>
            <w:tcW w:w="1559"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0.059971847</w:t>
            </w:r>
          </w:p>
        </w:tc>
        <w:tc>
          <w:tcPr>
            <w:tcW w:w="1621" w:type="dxa"/>
            <w:noWrap/>
            <w:vAlign w:val="center"/>
            <w:hideMark/>
          </w:tcPr>
          <w:p w:rsidR="00AC0885" w:rsidRPr="00AC0885" w:rsidRDefault="00AC0885" w:rsidP="00227C85">
            <w:pPr>
              <w:autoSpaceDE w:val="0"/>
              <w:autoSpaceDN w:val="0"/>
              <w:adjustRightInd w:val="0"/>
              <w:jc w:val="center"/>
              <w:rPr>
                <w:rFonts w:ascii="Times New Roman" w:hAnsi="Times New Roman" w:cs="Times New Roman"/>
                <w:color w:val="252525"/>
                <w:shd w:val="clear" w:color="auto" w:fill="FFFFFF"/>
              </w:rPr>
            </w:pPr>
            <w:r w:rsidRPr="00AC0885">
              <w:rPr>
                <w:rFonts w:ascii="Times New Roman" w:hAnsi="Times New Roman" w:cs="Times New Roman"/>
                <w:color w:val="252525"/>
                <w:shd w:val="clear" w:color="auto" w:fill="FFFFFF"/>
              </w:rPr>
              <w:t>0.003183776</w:t>
            </w:r>
          </w:p>
        </w:tc>
      </w:tr>
    </w:tbl>
    <w:p w:rsidR="00AC0885" w:rsidRPr="00D36AA8" w:rsidRDefault="00AC0885" w:rsidP="00227C85">
      <w:pPr>
        <w:autoSpaceDE w:val="0"/>
        <w:autoSpaceDN w:val="0"/>
        <w:adjustRightInd w:val="0"/>
        <w:spacing w:after="0" w:line="240" w:lineRule="auto"/>
        <w:rPr>
          <w:rFonts w:ascii="Times New Roman" w:hAnsi="Times New Roman" w:cs="Times New Roman"/>
          <w:color w:val="252525"/>
          <w:shd w:val="clear" w:color="auto" w:fill="FFFFFF"/>
        </w:rPr>
      </w:pPr>
    </w:p>
    <w:p w:rsidR="0090188B" w:rsidRPr="0090188B" w:rsidRDefault="0090188B" w:rsidP="00227C85">
      <w:pPr>
        <w:spacing w:line="240" w:lineRule="auto"/>
        <w:rPr>
          <w:rFonts w:ascii="Times New Roman" w:hAnsi="Times New Roman" w:cs="Times New Roman"/>
          <w:b/>
        </w:rPr>
        <w:sectPr w:rsidR="0090188B" w:rsidRPr="0090188B" w:rsidSect="00A068CD">
          <w:type w:val="continuous"/>
          <w:pgSz w:w="11906" w:h="16838"/>
          <w:pgMar w:top="1440" w:right="1440" w:bottom="1440" w:left="1440" w:header="708" w:footer="708" w:gutter="0"/>
          <w:cols w:space="708"/>
          <w:docGrid w:linePitch="360"/>
        </w:sectPr>
      </w:pPr>
    </w:p>
    <w:p w:rsidR="0098708B" w:rsidRDefault="0098708B" w:rsidP="00227C85">
      <w:pPr>
        <w:spacing w:line="240" w:lineRule="auto"/>
        <w:rPr>
          <w:rFonts w:ascii="Times New Roman" w:hAnsi="Times New Roman" w:cs="Times New Roman"/>
          <w:b/>
        </w:rPr>
      </w:pPr>
    </w:p>
    <w:p w:rsidR="0090188B" w:rsidRDefault="0090188B" w:rsidP="00227C85">
      <w:pPr>
        <w:spacing w:line="240" w:lineRule="auto"/>
        <w:rPr>
          <w:rFonts w:ascii="Times New Roman" w:hAnsi="Times New Roman" w:cs="Times New Roman"/>
          <w:b/>
        </w:rPr>
      </w:pPr>
      <w:r>
        <w:rPr>
          <w:rFonts w:ascii="Times New Roman" w:hAnsi="Times New Roman" w:cs="Times New Roman"/>
          <w:b/>
        </w:rPr>
        <w:t>Conclusion</w:t>
      </w:r>
    </w:p>
    <w:p w:rsidR="008B3BFC" w:rsidRPr="008B3BFC" w:rsidRDefault="008B3BFC" w:rsidP="00227C85">
      <w:pPr>
        <w:spacing w:line="240" w:lineRule="auto"/>
        <w:jc w:val="both"/>
        <w:rPr>
          <w:rFonts w:ascii="Times New Roman" w:hAnsi="Times New Roman" w:cs="Times New Roman"/>
        </w:rPr>
      </w:pPr>
      <w:r w:rsidRPr="008B3BFC">
        <w:rPr>
          <w:rFonts w:ascii="Times New Roman" w:hAnsi="Times New Roman" w:cs="Times New Roman"/>
        </w:rPr>
        <w:t xml:space="preserve">This paper assesses the internal and external factors associates with gamification of e-commerce platforms and assesses them using SWOT-AHP methodology. The quantitative analysis thus obtained reiterates the fact that Opportunities (Local Weight = 0.522) and Strengths (Local Weight = 0.290) are the most important factors underlining the positive change that gamification can create in e-commerce. Of the opportunities, the integration of shopping with Virtual Reality (Group Weight = 0.278) holds immense potential for companies to tap. </w:t>
      </w:r>
    </w:p>
    <w:p w:rsidR="009F0BA4" w:rsidRDefault="008B3BFC" w:rsidP="00227C85">
      <w:pPr>
        <w:spacing w:line="240" w:lineRule="auto"/>
        <w:jc w:val="both"/>
        <w:rPr>
          <w:rFonts w:ascii="Times New Roman" w:hAnsi="Times New Roman" w:cs="Times New Roman"/>
        </w:rPr>
      </w:pPr>
      <w:r w:rsidRPr="008B3BFC">
        <w:rPr>
          <w:rFonts w:ascii="Times New Roman" w:hAnsi="Times New Roman" w:cs="Times New Roman"/>
        </w:rPr>
        <w:t>While it is essential to incorporate game elements in online shopping platforms, it is also equally important that these games are well designed and directed at enhancing user experiences. If achieved to perfection, gamification can create a revolution in the way we shop today and reap immense returns for companies and customers alike.</w:t>
      </w:r>
    </w:p>
    <w:p w:rsidR="0098708B" w:rsidRDefault="0098708B" w:rsidP="00227C85">
      <w:pPr>
        <w:spacing w:line="240" w:lineRule="auto"/>
        <w:jc w:val="both"/>
        <w:rPr>
          <w:rFonts w:ascii="Times New Roman" w:hAnsi="Times New Roman" w:cs="Times New Roman"/>
          <w:b/>
        </w:rPr>
      </w:pPr>
    </w:p>
    <w:p w:rsidR="00BA5F47" w:rsidRPr="0090188B" w:rsidRDefault="00BA5F47" w:rsidP="00227C85">
      <w:pPr>
        <w:spacing w:line="240" w:lineRule="auto"/>
        <w:jc w:val="both"/>
        <w:rPr>
          <w:rFonts w:ascii="Times New Roman" w:hAnsi="Times New Roman" w:cs="Times New Roman"/>
          <w:b/>
        </w:rPr>
      </w:pPr>
      <w:r w:rsidRPr="0090188B">
        <w:rPr>
          <w:rFonts w:ascii="Times New Roman" w:hAnsi="Times New Roman" w:cs="Times New Roman"/>
          <w:b/>
        </w:rPr>
        <w:t>References</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Ahmed, A. M., Zairi, M., &amp; Almarri, K. S. (2006). SWOT analysis for Air China performance and its experience with quality. Benchmarking: An International Journal, 13(1/2), 160–173. </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Alberto Signorettia, Ana I. Martinsb,c, Nuno Almeidab,c, Diogo Vieirab,c, Ana Filipa, Rosab,c, Carlos M. M. Costad, Ant´onio Texeirab,c (2015), Trip 4 All: A Gamified App </w:t>
      </w:r>
      <w:r w:rsidRPr="0098708B">
        <w:rPr>
          <w:rFonts w:ascii="Times New Roman" w:hAnsi="Times New Roman" w:cs="Times New Roman"/>
          <w:sz w:val="20"/>
          <w:szCs w:val="20"/>
        </w:rPr>
        <w:t xml:space="preserve">to Provide a New Way to Elderly People to Travel, </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Ali Gorener, Kerem Toker, Korkmaz Ulucay (2012) Application of Combined SWOT and AHP: A Case Study for a Manufacturing Firm</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Amon Rapp (2014), A SWOT Analysis of the Gamification Practices: Challenges, Open Issues and Future Perspectives, </w:t>
      </w:r>
      <w:r w:rsidRPr="0098708B">
        <w:rPr>
          <w:rFonts w:ascii="Times New Roman" w:hAnsi="Times New Roman" w:cs="Times New Roman"/>
          <w:iCs/>
          <w:sz w:val="20"/>
          <w:szCs w:val="20"/>
        </w:rPr>
        <w:t>5th International Conference on Applied Human Factors and ergonomics AHFE 2014, Kraków, Poland</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Bastian C. Müllera, Carsten Reisea,b, Günther Seligera (2015), Gamification in factory management education – a case study with Lego Mindstorms</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Bernadette Perry(2015), Gamifying French Language Learning: a case study examining a quest-based, augmented reality mobile learning-tool</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Bilgihan, A., Bujisic, M., The effect of website features in online relationship marketing: A case of online hotel booking, Electronic Commerce Research and Applications, Volume 14, Issue 4, July–August 2015, Pages 222–232</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Christy M.K. Cheung, Xiao-Liang Shen, Zach W.Y. Lee, Tommy K.H. Chan, Promoting sales of online games through customer engagement, Electronic Commerce Research and Applications, Volume 14, Issue 4, July–August 2015, Pages 241–250</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Dyson, R. G. (2004), Strategic development and SWOT analysis at the University of Warwick, European Journal of Operational Research, 152, pp.631-640.</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Elizabeth A. Freudmanna, Yiorgos Bakamitsosb (2014). The Role of Gamification in Non-Profit Marketing: An Information Processing Account.</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lang w:val="en-IN"/>
        </w:rPr>
        <w:t xml:space="preserve">Ekahitanond V. (2017). Using LINE as a Platform for Encouraging Students’ Learning </w:t>
      </w:r>
      <w:r w:rsidRPr="0098708B">
        <w:rPr>
          <w:rFonts w:ascii="Times New Roman" w:hAnsi="Times New Roman" w:cs="Times New Roman"/>
          <w:sz w:val="20"/>
          <w:szCs w:val="20"/>
          <w:lang w:val="en-IN"/>
        </w:rPr>
        <w:lastRenderedPageBreak/>
        <w:t>and Participation, TEM Journal. Volume 6, Issue 4, Pages 832-838.</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Fahad Mehmood, Mohammad Hassannezhad, Tahir Abbas (2014), Analytical investigation of mobile NFC adaption with SWOT-AHP approach: A case of Italian Telecom</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Gartner, Inc. (2012), </w:t>
      </w:r>
      <w:r w:rsidRPr="0098708B">
        <w:rPr>
          <w:rFonts w:ascii="Times New Roman" w:hAnsi="Times New Roman" w:cs="Times New Roman"/>
          <w:i/>
          <w:iCs/>
          <w:sz w:val="20"/>
          <w:szCs w:val="20"/>
        </w:rPr>
        <w:t>Gartner Says by 2014, 80 Percent of Current Gamified Applications Will Fail to Meet Business Objectives Primarily Due to Poor Design</w:t>
      </w:r>
      <w:r w:rsidRPr="0098708B">
        <w:rPr>
          <w:rFonts w:ascii="Times New Roman" w:hAnsi="Times New Roman" w:cs="Times New Roman"/>
          <w:sz w:val="20"/>
          <w:szCs w:val="20"/>
        </w:rPr>
        <w:t xml:space="preserve">. November 27th, 2012 </w:t>
      </w:r>
      <w:hyperlink r:id="rId10" w:history="1">
        <w:r w:rsidRPr="0098708B">
          <w:rPr>
            <w:rStyle w:val="Hyperlink"/>
            <w:rFonts w:ascii="Times New Roman" w:hAnsi="Times New Roman" w:cs="Times New Roman"/>
            <w:sz w:val="20"/>
            <w:szCs w:val="20"/>
          </w:rPr>
          <w:t>http://www.gartner.com/newsroom/id/2251015</w:t>
        </w:r>
      </w:hyperlink>
    </w:p>
    <w:p w:rsidR="008B3BFC" w:rsidRPr="0098708B" w:rsidRDefault="008B3BFC" w:rsidP="00227C85">
      <w:pPr>
        <w:pStyle w:val="ListParagraph"/>
        <w:numPr>
          <w:ilvl w:val="0"/>
          <w:numId w:val="2"/>
        </w:numPr>
        <w:autoSpaceDE w:val="0"/>
        <w:autoSpaceDN w:val="0"/>
        <w:adjustRightInd w:val="0"/>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Gee, J. P. (2003). What vídeo games have to teach US about learning and literacy, Palgrave Macmillan</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Ghazinoory, S. et. al., (2007). Fuzzy SWOT Analysis, Journal of Intelligent &amp; Fuzzy Systems, 18, 99 -108.</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Halla, F. (2007). A SWOT analysis of strategic urban development planning: The case of Dar es Salaam city in Tanzania. Habitat International, 31(1), 130–142. </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Kangas, J, Kurttila, M., Kajanus, M. and Kangas, A. (2003), Evaluating the management strategies of a forestland estate-the SOS approach, Journal of Environmental Management, 69, pp. 349-358.</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lang w:val="en-IN"/>
        </w:rPr>
        <w:t>Karagozlu D, Ozdamli F. (2017), Student Opinions on Mobile Augmented Reality Application and Developed Content in Science Class, TEM Journal. Volume 6, Issue 4, Pages 660-670.</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Kim Dohoon (2013), Under what conditions will social commerce business models survive?,  Electronic Commerce Research and Applications, Volume 12, Issue 2, April 2013, Pages 69–77.</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Kurttila, M., Pesonen, M., Kangas, J., &amp; Kajanus, M. (2000). Utilizing the analytic hierarchy process (AHP) in SWOT analysis—A hybrid method and its application to a forest-certification case. Forest Policy and Economics, 1(1), 41–52. </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Lee, S. F., Lo, K. K., Leung, R. F., &amp; Ko, A. S. O. (2000). Strategy formulation framework for vocational education: Integrating SWOT analysis, balanced scorecard, QFD methodology and MBNQA education criteria. Managerial Auditing Journal, 15(8), 407–423.</w:t>
      </w:r>
      <w:bookmarkStart w:id="8" w:name="_GoBack"/>
      <w:bookmarkEnd w:id="8"/>
    </w:p>
    <w:p w:rsidR="008B3BFC" w:rsidRPr="0098708B" w:rsidRDefault="008B3BFC" w:rsidP="00227C85">
      <w:pPr>
        <w:pStyle w:val="ListParagraph"/>
        <w:numPr>
          <w:ilvl w:val="0"/>
          <w:numId w:val="2"/>
        </w:numPr>
        <w:autoSpaceDE w:val="0"/>
        <w:autoSpaceDN w:val="0"/>
        <w:adjustRightInd w:val="0"/>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McGonigal, J. (2011). Reality is broken: Why games make us better and how they can change the world (1st ed.). New York, NY, USA: The Penguin Press.</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Packard, V. (1957), </w:t>
      </w:r>
      <w:r w:rsidRPr="0098708B">
        <w:rPr>
          <w:rFonts w:ascii="Times New Roman" w:hAnsi="Times New Roman" w:cs="Times New Roman"/>
          <w:i/>
          <w:iCs/>
          <w:sz w:val="20"/>
          <w:szCs w:val="20"/>
        </w:rPr>
        <w:t>“The hidden Persuaders”</w:t>
      </w:r>
      <w:r w:rsidRPr="0098708B">
        <w:rPr>
          <w:rFonts w:ascii="Times New Roman" w:hAnsi="Times New Roman" w:cs="Times New Roman"/>
          <w:sz w:val="20"/>
          <w:szCs w:val="20"/>
        </w:rPr>
        <w:t>. London: Longmans, Green</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Saaty, L. The Analytic Hierarchy Process (AHP) Rhomas Int. J. Services Sciences, Vol. 1, No. 1, 2008.</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Saaty, T. L. and Vargas, L. G. (1996), Decision Making with The Analytic Network Process, Springer, USA.</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Saaty, T. The Analytic Hierarchy Process. McGraw-Hill: New York; 1980.</w:t>
      </w:r>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Shinno, H., Yoshioka, H., Marpaung, S., Hachiga and S. (2006), Quantitative SWOT analysis on global competitiveness of machine tool industry, Journal of Engineering Design, Vol. 17, pp. 251-258. </w:t>
      </w:r>
    </w:p>
    <w:p w:rsidR="008B3BFC" w:rsidRPr="0098708B" w:rsidRDefault="008B3BFC" w:rsidP="00227C85">
      <w:pPr>
        <w:pStyle w:val="ListParagraph"/>
        <w:numPr>
          <w:ilvl w:val="0"/>
          <w:numId w:val="2"/>
        </w:numPr>
        <w:autoSpaceDE w:val="0"/>
        <w:autoSpaceDN w:val="0"/>
        <w:adjustRightInd w:val="0"/>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Smith, J. (2012), </w:t>
      </w:r>
      <w:r w:rsidRPr="0098708B">
        <w:rPr>
          <w:rFonts w:ascii="Times New Roman" w:hAnsi="Times New Roman" w:cs="Times New Roman"/>
          <w:i/>
          <w:iCs/>
          <w:sz w:val="20"/>
          <w:szCs w:val="20"/>
        </w:rPr>
        <w:t>“The benefits and pitfalls of gamification”</w:t>
      </w:r>
      <w:r w:rsidRPr="0098708B">
        <w:rPr>
          <w:rFonts w:ascii="Times New Roman" w:hAnsi="Times New Roman" w:cs="Times New Roman"/>
          <w:sz w:val="20"/>
          <w:szCs w:val="20"/>
        </w:rPr>
        <w:t xml:space="preserve">. Blog post on: </w:t>
      </w:r>
      <w:hyperlink r:id="rId11" w:history="1">
        <w:r w:rsidRPr="0098708B">
          <w:rPr>
            <w:rStyle w:val="Hyperlink"/>
            <w:rFonts w:ascii="Times New Roman" w:hAnsi="Times New Roman" w:cs="Times New Roman"/>
            <w:sz w:val="20"/>
            <w:szCs w:val="20"/>
          </w:rPr>
          <w:t>http://webdesign.tutsplus.com/articles/general/the-benefits-and-pitfalls-of-gamification/</w:t>
        </w:r>
      </w:hyperlink>
    </w:p>
    <w:p w:rsidR="008B3BFC" w:rsidRPr="0098708B"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Usef Faghihi1, Albert Brautigam2, Kris Jorgenson2, David Martin2, Angela Brown2, Elizabeth Measures2, Sioui Maldonado-Bouchard3(2014), How Gamification Applies for Educational Purpose Specially with College Algebra</w:t>
      </w:r>
    </w:p>
    <w:p w:rsidR="00077F81" w:rsidRDefault="008B3BFC" w:rsidP="00227C85">
      <w:pPr>
        <w:pStyle w:val="ListParagraph"/>
        <w:numPr>
          <w:ilvl w:val="0"/>
          <w:numId w:val="2"/>
        </w:numPr>
        <w:spacing w:line="240" w:lineRule="auto"/>
        <w:jc w:val="both"/>
        <w:rPr>
          <w:rFonts w:ascii="Times New Roman" w:hAnsi="Times New Roman" w:cs="Times New Roman"/>
          <w:sz w:val="20"/>
          <w:szCs w:val="20"/>
        </w:rPr>
      </w:pPr>
      <w:r w:rsidRPr="0098708B">
        <w:rPr>
          <w:rFonts w:ascii="Times New Roman" w:hAnsi="Times New Roman" w:cs="Times New Roman"/>
          <w:sz w:val="20"/>
          <w:szCs w:val="20"/>
        </w:rPr>
        <w:t xml:space="preserve">Vasantha Wickramasinghe &amp; Shin-ei Takano (2010), Application of Combined SWOT and Analytic Hierarchy Process (AHP) for Tourism Revival Strategic Marketing Planning: </w:t>
      </w:r>
      <w:r w:rsidRPr="0098708B">
        <w:rPr>
          <w:rFonts w:ascii="Times New Roman" w:hAnsi="Times New Roman" w:cs="Times New Roman"/>
          <w:i/>
          <w:sz w:val="20"/>
          <w:szCs w:val="20"/>
        </w:rPr>
        <w:t xml:space="preserve">A case of Sri Lanka Tourism, </w:t>
      </w:r>
      <w:r w:rsidRPr="0098708B">
        <w:rPr>
          <w:rFonts w:ascii="Times New Roman" w:hAnsi="Times New Roman" w:cs="Times New Roman"/>
          <w:sz w:val="20"/>
          <w:szCs w:val="20"/>
        </w:rPr>
        <w:t>Journal of the Eastern Asia Society for Transportation Studies, Vol. 8, 2010.</w:t>
      </w:r>
    </w:p>
    <w:p w:rsidR="00227C85" w:rsidRDefault="00227C85" w:rsidP="00227C85">
      <w:pPr>
        <w:spacing w:line="240" w:lineRule="auto"/>
        <w:ind w:left="360"/>
        <w:jc w:val="both"/>
        <w:rPr>
          <w:rFonts w:ascii="Times New Roman" w:hAnsi="Times New Roman" w:cs="Times New Roman"/>
          <w:i/>
          <w:iCs/>
          <w:sz w:val="20"/>
          <w:szCs w:val="20"/>
        </w:rPr>
      </w:pPr>
    </w:p>
    <w:p w:rsidR="00227C85" w:rsidRDefault="00227C85" w:rsidP="00227C85">
      <w:pPr>
        <w:spacing w:line="240" w:lineRule="auto"/>
        <w:ind w:left="360"/>
        <w:jc w:val="both"/>
        <w:rPr>
          <w:rFonts w:ascii="Times New Roman" w:hAnsi="Times New Roman" w:cs="Times New Roman"/>
          <w:i/>
          <w:iCs/>
          <w:sz w:val="20"/>
          <w:szCs w:val="20"/>
        </w:rPr>
      </w:pPr>
    </w:p>
    <w:p w:rsidR="00227C85" w:rsidRDefault="00227C85" w:rsidP="00227C85">
      <w:pPr>
        <w:spacing w:line="240" w:lineRule="auto"/>
        <w:ind w:left="360"/>
        <w:jc w:val="both"/>
        <w:rPr>
          <w:rFonts w:ascii="Times New Roman" w:hAnsi="Times New Roman" w:cs="Times New Roman"/>
          <w:i/>
          <w:iCs/>
          <w:sz w:val="20"/>
          <w:szCs w:val="20"/>
        </w:rPr>
      </w:pPr>
    </w:p>
    <w:p w:rsidR="0098708B" w:rsidRPr="0098708B" w:rsidRDefault="0098708B" w:rsidP="00BC1AC2">
      <w:pPr>
        <w:spacing w:line="240" w:lineRule="auto"/>
        <w:ind w:left="720"/>
        <w:jc w:val="both"/>
        <w:rPr>
          <w:rFonts w:ascii="Times New Roman" w:hAnsi="Times New Roman" w:cs="Times New Roman"/>
          <w:i/>
          <w:iCs/>
          <w:sz w:val="20"/>
          <w:szCs w:val="20"/>
        </w:rPr>
      </w:pPr>
      <w:r w:rsidRPr="0098708B">
        <w:rPr>
          <w:rFonts w:ascii="Times New Roman" w:hAnsi="Times New Roman" w:cs="Times New Roman"/>
          <w:i/>
          <w:iCs/>
          <w:sz w:val="20"/>
          <w:szCs w:val="20"/>
        </w:rPr>
        <w:t xml:space="preserve">Corresponding author: </w:t>
      </w:r>
      <w:r>
        <w:rPr>
          <w:rFonts w:ascii="Times New Roman" w:hAnsi="Times New Roman" w:cs="Times New Roman"/>
          <w:i/>
          <w:iCs/>
          <w:sz w:val="20"/>
          <w:szCs w:val="20"/>
        </w:rPr>
        <w:t>Ramya R.</w:t>
      </w:r>
    </w:p>
    <w:p w:rsidR="0098708B" w:rsidRPr="0098708B" w:rsidRDefault="0098708B" w:rsidP="00BC1AC2">
      <w:pPr>
        <w:spacing w:line="240" w:lineRule="auto"/>
        <w:ind w:left="720"/>
        <w:jc w:val="both"/>
        <w:rPr>
          <w:rFonts w:ascii="Times New Roman" w:hAnsi="Times New Roman" w:cs="Times New Roman"/>
          <w:i/>
          <w:iCs/>
          <w:sz w:val="20"/>
          <w:szCs w:val="20"/>
        </w:rPr>
      </w:pPr>
      <w:r w:rsidRPr="0098708B">
        <w:rPr>
          <w:rFonts w:ascii="Times New Roman" w:hAnsi="Times New Roman" w:cs="Times New Roman"/>
          <w:i/>
          <w:iCs/>
          <w:sz w:val="20"/>
          <w:szCs w:val="20"/>
        </w:rPr>
        <w:t>Institution:</w:t>
      </w:r>
      <w:r>
        <w:rPr>
          <w:rFonts w:ascii="Times New Roman" w:hAnsi="Times New Roman" w:cs="Times New Roman"/>
          <w:i/>
          <w:iCs/>
          <w:sz w:val="20"/>
          <w:szCs w:val="20"/>
        </w:rPr>
        <w:t xml:space="preserve"> SSN College of Engineering, Chennai, India</w:t>
      </w:r>
    </w:p>
    <w:p w:rsidR="0098708B" w:rsidRPr="0098708B" w:rsidRDefault="0098708B" w:rsidP="00BC1AC2">
      <w:pPr>
        <w:spacing w:line="240" w:lineRule="auto"/>
        <w:ind w:left="720"/>
        <w:jc w:val="both"/>
        <w:rPr>
          <w:rFonts w:ascii="Times New Roman" w:hAnsi="Times New Roman" w:cs="Times New Roman"/>
          <w:i/>
          <w:iCs/>
          <w:sz w:val="20"/>
          <w:szCs w:val="20"/>
        </w:rPr>
      </w:pPr>
      <w:r w:rsidRPr="0098708B">
        <w:rPr>
          <w:rFonts w:ascii="Times New Roman" w:hAnsi="Times New Roman" w:cs="Times New Roman"/>
          <w:i/>
          <w:iCs/>
          <w:sz w:val="20"/>
          <w:szCs w:val="20"/>
        </w:rPr>
        <w:t xml:space="preserve">E-mail:  </w:t>
      </w:r>
      <w:r>
        <w:rPr>
          <w:rFonts w:ascii="Times New Roman" w:hAnsi="Times New Roman" w:cs="Times New Roman"/>
          <w:i/>
          <w:iCs/>
          <w:sz w:val="20"/>
          <w:szCs w:val="20"/>
        </w:rPr>
        <w:t>ramya13082@mech.ssn.edu.in</w:t>
      </w:r>
    </w:p>
    <w:sectPr w:rsidR="0098708B" w:rsidRPr="0098708B" w:rsidSect="0098708B">
      <w:type w:val="continuous"/>
      <w:pgSz w:w="11906" w:h="16838"/>
      <w:pgMar w:top="1134" w:right="1021"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117" w:rsidRDefault="00135117" w:rsidP="00916750">
      <w:pPr>
        <w:spacing w:after="0" w:line="240" w:lineRule="auto"/>
      </w:pPr>
      <w:r>
        <w:separator/>
      </w:r>
    </w:p>
  </w:endnote>
  <w:endnote w:type="continuationSeparator" w:id="0">
    <w:p w:rsidR="00135117" w:rsidRDefault="00135117" w:rsidP="0091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117" w:rsidRDefault="00135117" w:rsidP="00916750">
      <w:pPr>
        <w:spacing w:after="0" w:line="240" w:lineRule="auto"/>
      </w:pPr>
      <w:r>
        <w:separator/>
      </w:r>
    </w:p>
  </w:footnote>
  <w:footnote w:type="continuationSeparator" w:id="0">
    <w:p w:rsidR="00135117" w:rsidRDefault="00135117" w:rsidP="00916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507ED7A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CA55081"/>
    <w:multiLevelType w:val="hybridMultilevel"/>
    <w:tmpl w:val="710A1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00588F"/>
    <w:multiLevelType w:val="hybridMultilevel"/>
    <w:tmpl w:val="63E6F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3E5383"/>
    <w:multiLevelType w:val="hybridMultilevel"/>
    <w:tmpl w:val="7D22F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EC608B"/>
    <w:multiLevelType w:val="hybridMultilevel"/>
    <w:tmpl w:val="AB64B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B359AC"/>
    <w:multiLevelType w:val="hybridMultilevel"/>
    <w:tmpl w:val="4D04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0034DE"/>
    <w:multiLevelType w:val="hybridMultilevel"/>
    <w:tmpl w:val="D24A0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3956DB"/>
    <w:multiLevelType w:val="multilevel"/>
    <w:tmpl w:val="AEDCBC52"/>
    <w:styleLink w:val="Numbered"/>
    <w:lvl w:ilvl="0">
      <w:start w:val="1"/>
      <w:numFmt w:val="decimal"/>
      <w:lvlText w:val="%1."/>
      <w:lvlJc w:val="left"/>
      <w:pPr>
        <w:tabs>
          <w:tab w:val="num" w:pos="393"/>
        </w:tabs>
        <w:ind w:left="786" w:hanging="393"/>
      </w:pPr>
      <w:rPr>
        <w:color w:val="000000"/>
        <w:position w:val="0"/>
        <w:sz w:val="24"/>
        <w:szCs w:val="24"/>
      </w:rPr>
    </w:lvl>
    <w:lvl w:ilvl="1">
      <w:start w:val="1"/>
      <w:numFmt w:val="decimal"/>
      <w:lvlText w:val="%2."/>
      <w:lvlJc w:val="left"/>
      <w:pPr>
        <w:tabs>
          <w:tab w:val="num" w:pos="753"/>
        </w:tabs>
        <w:ind w:left="753" w:hanging="393"/>
      </w:pPr>
      <w:rPr>
        <w:color w:val="000000"/>
        <w:position w:val="0"/>
        <w:sz w:val="24"/>
        <w:szCs w:val="24"/>
      </w:rPr>
    </w:lvl>
    <w:lvl w:ilvl="2">
      <w:start w:val="1"/>
      <w:numFmt w:val="decimal"/>
      <w:lvlText w:val="%3."/>
      <w:lvlJc w:val="left"/>
      <w:pPr>
        <w:tabs>
          <w:tab w:val="num" w:pos="1113"/>
        </w:tabs>
        <w:ind w:left="1506" w:hanging="393"/>
      </w:pPr>
      <w:rPr>
        <w:color w:val="000000"/>
        <w:position w:val="0"/>
        <w:sz w:val="24"/>
        <w:szCs w:val="24"/>
      </w:rPr>
    </w:lvl>
    <w:lvl w:ilvl="3">
      <w:start w:val="1"/>
      <w:numFmt w:val="decimal"/>
      <w:lvlText w:val="%4."/>
      <w:lvlJc w:val="left"/>
      <w:pPr>
        <w:tabs>
          <w:tab w:val="num" w:pos="1473"/>
        </w:tabs>
        <w:ind w:left="1473" w:hanging="393"/>
      </w:pPr>
      <w:rPr>
        <w:color w:val="000000"/>
        <w:position w:val="0"/>
        <w:sz w:val="24"/>
        <w:szCs w:val="24"/>
      </w:rPr>
    </w:lvl>
    <w:lvl w:ilvl="4">
      <w:start w:val="1"/>
      <w:numFmt w:val="decimal"/>
      <w:lvlText w:val="%5."/>
      <w:lvlJc w:val="left"/>
      <w:pPr>
        <w:tabs>
          <w:tab w:val="num" w:pos="1833"/>
        </w:tabs>
        <w:ind w:left="1833" w:hanging="393"/>
      </w:pPr>
      <w:rPr>
        <w:color w:val="000000"/>
        <w:position w:val="0"/>
        <w:sz w:val="24"/>
        <w:szCs w:val="24"/>
      </w:rPr>
    </w:lvl>
    <w:lvl w:ilvl="5">
      <w:start w:val="1"/>
      <w:numFmt w:val="decimal"/>
      <w:lvlText w:val="%6."/>
      <w:lvlJc w:val="left"/>
      <w:pPr>
        <w:tabs>
          <w:tab w:val="num" w:pos="2193"/>
        </w:tabs>
        <w:ind w:left="2586" w:hanging="393"/>
      </w:pPr>
      <w:rPr>
        <w:color w:val="000000"/>
        <w:position w:val="0"/>
        <w:sz w:val="24"/>
        <w:szCs w:val="24"/>
      </w:rPr>
    </w:lvl>
    <w:lvl w:ilvl="6">
      <w:start w:val="1"/>
      <w:numFmt w:val="decimal"/>
      <w:lvlText w:val="%7."/>
      <w:lvlJc w:val="left"/>
      <w:pPr>
        <w:tabs>
          <w:tab w:val="num" w:pos="2553"/>
        </w:tabs>
        <w:ind w:left="2553" w:hanging="393"/>
      </w:pPr>
      <w:rPr>
        <w:color w:val="000000"/>
        <w:position w:val="0"/>
        <w:sz w:val="24"/>
        <w:szCs w:val="24"/>
      </w:rPr>
    </w:lvl>
    <w:lvl w:ilvl="7">
      <w:start w:val="1"/>
      <w:numFmt w:val="decimal"/>
      <w:lvlText w:val="%8."/>
      <w:lvlJc w:val="left"/>
      <w:pPr>
        <w:tabs>
          <w:tab w:val="num" w:pos="2913"/>
        </w:tabs>
        <w:ind w:left="2913" w:hanging="393"/>
      </w:pPr>
      <w:rPr>
        <w:color w:val="000000"/>
        <w:position w:val="0"/>
        <w:sz w:val="24"/>
        <w:szCs w:val="24"/>
      </w:rPr>
    </w:lvl>
    <w:lvl w:ilvl="8">
      <w:start w:val="1"/>
      <w:numFmt w:val="decimal"/>
      <w:lvlText w:val="%9."/>
      <w:lvlJc w:val="left"/>
      <w:pPr>
        <w:tabs>
          <w:tab w:val="num" w:pos="3273"/>
        </w:tabs>
        <w:ind w:left="3273" w:hanging="393"/>
      </w:pPr>
      <w:rPr>
        <w:color w:val="000000"/>
        <w:position w:val="0"/>
        <w:sz w:val="24"/>
        <w:szCs w:val="24"/>
      </w:rPr>
    </w:lvl>
  </w:abstractNum>
  <w:num w:numId="1">
    <w:abstractNumId w:val="5"/>
  </w:num>
  <w:num w:numId="2">
    <w:abstractNumId w:val="3"/>
  </w:num>
  <w:num w:numId="3">
    <w:abstractNumId w:val="2"/>
  </w:num>
  <w:num w:numId="4">
    <w:abstractNumId w:val="7"/>
  </w:num>
  <w:num w:numId="5">
    <w:abstractNumId w:val="8"/>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91"/>
    <w:rsid w:val="000365C1"/>
    <w:rsid w:val="00076BCA"/>
    <w:rsid w:val="00077F81"/>
    <w:rsid w:val="000B677E"/>
    <w:rsid w:val="000C5CA8"/>
    <w:rsid w:val="00135117"/>
    <w:rsid w:val="001850B8"/>
    <w:rsid w:val="00215D60"/>
    <w:rsid w:val="00227C85"/>
    <w:rsid w:val="00233D83"/>
    <w:rsid w:val="002D5390"/>
    <w:rsid w:val="002E60CA"/>
    <w:rsid w:val="0030038E"/>
    <w:rsid w:val="003410AB"/>
    <w:rsid w:val="004F6E10"/>
    <w:rsid w:val="00512DC1"/>
    <w:rsid w:val="0058221A"/>
    <w:rsid w:val="00583F40"/>
    <w:rsid w:val="005D47FF"/>
    <w:rsid w:val="005F1CC4"/>
    <w:rsid w:val="00617DF4"/>
    <w:rsid w:val="0066566A"/>
    <w:rsid w:val="006E6475"/>
    <w:rsid w:val="006F407F"/>
    <w:rsid w:val="00723BC4"/>
    <w:rsid w:val="007A09C0"/>
    <w:rsid w:val="007A14C6"/>
    <w:rsid w:val="007E5C23"/>
    <w:rsid w:val="00851BD8"/>
    <w:rsid w:val="00886E9A"/>
    <w:rsid w:val="008B3BFC"/>
    <w:rsid w:val="008B49C8"/>
    <w:rsid w:val="0090188B"/>
    <w:rsid w:val="0090488D"/>
    <w:rsid w:val="00916750"/>
    <w:rsid w:val="009203B1"/>
    <w:rsid w:val="00942FCF"/>
    <w:rsid w:val="00985FA3"/>
    <w:rsid w:val="0098708B"/>
    <w:rsid w:val="009F0BA4"/>
    <w:rsid w:val="00A068CD"/>
    <w:rsid w:val="00A0723E"/>
    <w:rsid w:val="00A45D64"/>
    <w:rsid w:val="00AC0148"/>
    <w:rsid w:val="00AC0885"/>
    <w:rsid w:val="00AC70FC"/>
    <w:rsid w:val="00AE2E34"/>
    <w:rsid w:val="00B378C6"/>
    <w:rsid w:val="00B8045F"/>
    <w:rsid w:val="00BA5F47"/>
    <w:rsid w:val="00BC1AC2"/>
    <w:rsid w:val="00BE6ED8"/>
    <w:rsid w:val="00C60D37"/>
    <w:rsid w:val="00C931BA"/>
    <w:rsid w:val="00CB4340"/>
    <w:rsid w:val="00CF0F12"/>
    <w:rsid w:val="00D13EAE"/>
    <w:rsid w:val="00D36AA8"/>
    <w:rsid w:val="00D4547E"/>
    <w:rsid w:val="00DB61FB"/>
    <w:rsid w:val="00DD1081"/>
    <w:rsid w:val="00E87F91"/>
    <w:rsid w:val="00E956F1"/>
    <w:rsid w:val="00FA1EF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6BEB"/>
  <w15:docId w15:val="{828F4294-7592-4EBD-9788-5F0A204A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F91"/>
  </w:style>
  <w:style w:type="paragraph" w:styleId="Heading1">
    <w:name w:val="heading 1"/>
    <w:basedOn w:val="Normal"/>
    <w:next w:val="Normal"/>
    <w:link w:val="Heading1Char"/>
    <w:uiPriority w:val="9"/>
    <w:qFormat/>
    <w:rsid w:val="004F6E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7F91"/>
  </w:style>
  <w:style w:type="table" w:styleId="TableGrid">
    <w:name w:val="Table Grid"/>
    <w:basedOn w:val="TableNormal"/>
    <w:uiPriority w:val="59"/>
    <w:rsid w:val="00E87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F47"/>
    <w:pPr>
      <w:ind w:left="720"/>
      <w:contextualSpacing/>
    </w:pPr>
  </w:style>
  <w:style w:type="character" w:styleId="Hyperlink">
    <w:name w:val="Hyperlink"/>
    <w:basedOn w:val="DefaultParagraphFont"/>
    <w:uiPriority w:val="99"/>
    <w:unhideWhenUsed/>
    <w:rsid w:val="00BA5F47"/>
    <w:rPr>
      <w:color w:val="0000FF" w:themeColor="hyperlink"/>
      <w:u w:val="single"/>
    </w:rPr>
  </w:style>
  <w:style w:type="paragraph" w:styleId="BalloonText">
    <w:name w:val="Balloon Text"/>
    <w:basedOn w:val="Normal"/>
    <w:link w:val="BalloonTextChar"/>
    <w:uiPriority w:val="99"/>
    <w:semiHidden/>
    <w:unhideWhenUsed/>
    <w:rsid w:val="00CF0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12"/>
    <w:rPr>
      <w:rFonts w:ascii="Tahoma" w:hAnsi="Tahoma" w:cs="Tahoma"/>
      <w:sz w:val="16"/>
      <w:szCs w:val="16"/>
    </w:rPr>
  </w:style>
  <w:style w:type="numbering" w:customStyle="1" w:styleId="Numbered">
    <w:name w:val="Numbered"/>
    <w:rsid w:val="00E956F1"/>
    <w:pPr>
      <w:numPr>
        <w:numId w:val="5"/>
      </w:numPr>
    </w:pPr>
  </w:style>
  <w:style w:type="paragraph" w:customStyle="1" w:styleId="Body">
    <w:name w:val="Body"/>
    <w:rsid w:val="006E647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GB"/>
    </w:rPr>
  </w:style>
  <w:style w:type="paragraph" w:styleId="Header">
    <w:name w:val="header"/>
    <w:basedOn w:val="Normal"/>
    <w:link w:val="HeaderChar"/>
    <w:uiPriority w:val="99"/>
    <w:unhideWhenUsed/>
    <w:rsid w:val="00916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750"/>
  </w:style>
  <w:style w:type="paragraph" w:styleId="Footer">
    <w:name w:val="footer"/>
    <w:basedOn w:val="Normal"/>
    <w:link w:val="FooterChar"/>
    <w:uiPriority w:val="99"/>
    <w:unhideWhenUsed/>
    <w:rsid w:val="00916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750"/>
  </w:style>
  <w:style w:type="character" w:customStyle="1" w:styleId="Heading1Char">
    <w:name w:val="Heading 1 Char"/>
    <w:basedOn w:val="DefaultParagraphFont"/>
    <w:link w:val="Heading1"/>
    <w:uiPriority w:val="9"/>
    <w:rsid w:val="004F6E1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F0BA4"/>
    <w:rPr>
      <w:color w:val="808080"/>
    </w:rPr>
  </w:style>
  <w:style w:type="character" w:styleId="UnresolvedMention">
    <w:name w:val="Unresolved Mention"/>
    <w:basedOn w:val="DefaultParagraphFont"/>
    <w:uiPriority w:val="99"/>
    <w:semiHidden/>
    <w:unhideWhenUsed/>
    <w:rsid w:val="008B3BFC"/>
    <w:rPr>
      <w:color w:val="808080"/>
      <w:shd w:val="clear" w:color="auto" w:fill="E6E6E6"/>
    </w:rPr>
  </w:style>
  <w:style w:type="table" w:customStyle="1" w:styleId="TableGrid1">
    <w:name w:val="Table Grid1"/>
    <w:basedOn w:val="TableNormal"/>
    <w:next w:val="TableGrid"/>
    <w:uiPriority w:val="59"/>
    <w:rsid w:val="00512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ESTTitle">
    <w:name w:val="ICEST_Title"/>
    <w:basedOn w:val="Normal"/>
    <w:rsid w:val="00512DC1"/>
    <w:pPr>
      <w:autoSpaceDE w:val="0"/>
      <w:autoSpaceDN w:val="0"/>
      <w:adjustRightInd w:val="0"/>
      <w:spacing w:after="0" w:line="240" w:lineRule="auto"/>
      <w:jc w:val="center"/>
    </w:pPr>
    <w:rPr>
      <w:rFonts w:ascii="Times New Roman" w:eastAsia="Times New Roman" w:hAnsi="Times New Roman" w:cs="Arial"/>
      <w:sz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5252">
      <w:bodyDiv w:val="1"/>
      <w:marLeft w:val="0"/>
      <w:marRight w:val="0"/>
      <w:marTop w:val="0"/>
      <w:marBottom w:val="0"/>
      <w:divBdr>
        <w:top w:val="none" w:sz="0" w:space="0" w:color="auto"/>
        <w:left w:val="none" w:sz="0" w:space="0" w:color="auto"/>
        <w:bottom w:val="none" w:sz="0" w:space="0" w:color="auto"/>
        <w:right w:val="none" w:sz="0" w:space="0" w:color="auto"/>
      </w:divBdr>
    </w:div>
    <w:div w:id="801072206">
      <w:bodyDiv w:val="1"/>
      <w:marLeft w:val="0"/>
      <w:marRight w:val="0"/>
      <w:marTop w:val="0"/>
      <w:marBottom w:val="0"/>
      <w:divBdr>
        <w:top w:val="none" w:sz="0" w:space="0" w:color="auto"/>
        <w:left w:val="none" w:sz="0" w:space="0" w:color="auto"/>
        <w:bottom w:val="none" w:sz="0" w:space="0" w:color="auto"/>
        <w:right w:val="none" w:sz="0" w:space="0" w:color="auto"/>
      </w:divBdr>
    </w:div>
    <w:div w:id="1287463969">
      <w:bodyDiv w:val="1"/>
      <w:marLeft w:val="0"/>
      <w:marRight w:val="0"/>
      <w:marTop w:val="0"/>
      <w:marBottom w:val="0"/>
      <w:divBdr>
        <w:top w:val="none" w:sz="0" w:space="0" w:color="auto"/>
        <w:left w:val="none" w:sz="0" w:space="0" w:color="auto"/>
        <w:bottom w:val="none" w:sz="0" w:space="0" w:color="auto"/>
        <w:right w:val="none" w:sz="0" w:space="0" w:color="auto"/>
      </w:divBdr>
    </w:div>
    <w:div w:id="1424380729">
      <w:bodyDiv w:val="1"/>
      <w:marLeft w:val="0"/>
      <w:marRight w:val="0"/>
      <w:marTop w:val="0"/>
      <w:marBottom w:val="0"/>
      <w:divBdr>
        <w:top w:val="none" w:sz="0" w:space="0" w:color="auto"/>
        <w:left w:val="none" w:sz="0" w:space="0" w:color="auto"/>
        <w:bottom w:val="none" w:sz="0" w:space="0" w:color="auto"/>
        <w:right w:val="none" w:sz="0" w:space="0" w:color="auto"/>
      </w:divBdr>
    </w:div>
    <w:div w:id="1446652605">
      <w:bodyDiv w:val="1"/>
      <w:marLeft w:val="0"/>
      <w:marRight w:val="0"/>
      <w:marTop w:val="0"/>
      <w:marBottom w:val="0"/>
      <w:divBdr>
        <w:top w:val="none" w:sz="0" w:space="0" w:color="auto"/>
        <w:left w:val="none" w:sz="0" w:space="0" w:color="auto"/>
        <w:bottom w:val="none" w:sz="0" w:space="0" w:color="auto"/>
        <w:right w:val="none" w:sz="0" w:space="0" w:color="auto"/>
      </w:divBdr>
    </w:div>
    <w:div w:id="1604268078">
      <w:bodyDiv w:val="1"/>
      <w:marLeft w:val="0"/>
      <w:marRight w:val="0"/>
      <w:marTop w:val="0"/>
      <w:marBottom w:val="0"/>
      <w:divBdr>
        <w:top w:val="none" w:sz="0" w:space="0" w:color="auto"/>
        <w:left w:val="none" w:sz="0" w:space="0" w:color="auto"/>
        <w:bottom w:val="none" w:sz="0" w:space="0" w:color="auto"/>
        <w:right w:val="none" w:sz="0" w:space="0" w:color="auto"/>
      </w:divBdr>
    </w:div>
    <w:div w:id="1739597068">
      <w:bodyDiv w:val="1"/>
      <w:marLeft w:val="0"/>
      <w:marRight w:val="0"/>
      <w:marTop w:val="0"/>
      <w:marBottom w:val="0"/>
      <w:divBdr>
        <w:top w:val="none" w:sz="0" w:space="0" w:color="auto"/>
        <w:left w:val="none" w:sz="0" w:space="0" w:color="auto"/>
        <w:bottom w:val="none" w:sz="0" w:space="0" w:color="auto"/>
        <w:right w:val="none" w:sz="0" w:space="0" w:color="auto"/>
      </w:divBdr>
    </w:div>
    <w:div w:id="1990397646">
      <w:bodyDiv w:val="1"/>
      <w:marLeft w:val="0"/>
      <w:marRight w:val="0"/>
      <w:marTop w:val="0"/>
      <w:marBottom w:val="0"/>
      <w:divBdr>
        <w:top w:val="none" w:sz="0" w:space="0" w:color="auto"/>
        <w:left w:val="none" w:sz="0" w:space="0" w:color="auto"/>
        <w:bottom w:val="none" w:sz="0" w:space="0" w:color="auto"/>
        <w:right w:val="none" w:sz="0" w:space="0" w:color="auto"/>
      </w:divBdr>
    </w:div>
    <w:div w:id="2035882749">
      <w:bodyDiv w:val="1"/>
      <w:marLeft w:val="0"/>
      <w:marRight w:val="0"/>
      <w:marTop w:val="0"/>
      <w:marBottom w:val="0"/>
      <w:divBdr>
        <w:top w:val="none" w:sz="0" w:space="0" w:color="auto"/>
        <w:left w:val="none" w:sz="0" w:space="0" w:color="auto"/>
        <w:bottom w:val="none" w:sz="0" w:space="0" w:color="auto"/>
        <w:right w:val="none" w:sz="0" w:space="0" w:color="auto"/>
      </w:divBdr>
    </w:div>
    <w:div w:id="205279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sign.tutsplus.com/articles/general/the-benefits-and-pitfalls-of-gamification/" TargetMode="External"/><Relationship Id="rId5" Type="http://schemas.openxmlformats.org/officeDocument/2006/relationships/webSettings" Target="webSettings.xml"/><Relationship Id="rId10" Type="http://schemas.openxmlformats.org/officeDocument/2006/relationships/hyperlink" Target="http://www.gartner.com/newsroom/id/2251015"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17348-293C-4909-8967-859294C3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Ramya Ramalingan</cp:lastModifiedBy>
  <cp:revision>8</cp:revision>
  <dcterms:created xsi:type="dcterms:W3CDTF">2017-12-19T16:06:00Z</dcterms:created>
  <dcterms:modified xsi:type="dcterms:W3CDTF">2017-12-19T16:18:00Z</dcterms:modified>
</cp:coreProperties>
</file>