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Date: [Date of submission]</w:t>
      </w:r>
    </w:p>
    <w:p>
      <w:pPr>
        <w:pStyle w:val="BodyText"/>
      </w:pPr>
      <w:r>
        <w:t xml:space="preserve">Dr. [Editor Name]</w:t>
      </w:r>
      <w:r>
        <w:t xml:space="preserve"> </w:t>
      </w:r>
      <w:r>
        <w:t xml:space="preserve">Editor-in-Chief</w:t>
      </w:r>
      <w:r>
        <w:t xml:space="preserve"> </w:t>
      </w:r>
      <w:r>
        <w:t xml:space="preserve">PLOS Computational Biology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We are pleased to submit our manuscript entitled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 Monte Carlo framework for predicting HDR gene conversion outcomes and optimizing multi-site genome editing strategies</w:t>
      </w:r>
      <w:r>
        <w:rPr>
          <w:bCs/>
          <w:b/>
        </w:rPr>
        <w:t xml:space="preserve">”</w:t>
      </w:r>
      <w:r>
        <w:t xml:space="preserve"> </w:t>
      </w:r>
      <w:r>
        <w:t xml:space="preserve">for consideration as a Research Article in</w:t>
      </w:r>
      <w:r>
        <w:t xml:space="preserve"> </w:t>
      </w:r>
      <w:r>
        <w:rPr>
          <w:iCs/>
          <w:i/>
        </w:rPr>
        <w:t xml:space="preserve">PLOS Computational Biology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problem.</w:t>
      </w:r>
      <w:r>
        <w:t xml:space="preserve"> </w:t>
      </w:r>
      <w:r>
        <w:t xml:space="preserve">Correcting multiple pathogenic mutations in large multi-exon genes using CRISPR technologies requires choosing among several editing modalities — homology-directed repair (HDR), base editing, prime editing, and hybrid approaches. This decision is particularly consequential in human induced pluripotent stem cells (iPSCs), where double-strand breaks activate p53-mediated apoptosis. Despite the importance of this decision, no computational tool currently helps researchers navigate this multi-modality, multi-site strategy space.</w:t>
      </w:r>
    </w:p>
    <w:p>
      <w:pPr>
        <w:pStyle w:val="BodyText"/>
      </w:pPr>
      <w:r>
        <w:rPr>
          <w:bCs/>
          <w:b/>
        </w:rPr>
        <w:t xml:space="preserve">What we did.</w:t>
      </w:r>
      <w:r>
        <w:t xml:space="preserve"> </w:t>
      </w:r>
      <w:r>
        <w:t xml:space="preserve">We developed CRISPRArchitect, a computational framework with two core components. ConversionSim is a Monte Carlo simulator that models the sequential steps of HDR — end resection, RAD51 filament formation, strand invasion, and synthesis-dependent strand annealing — to predict gene conversion tract length distributions. MOSAIC is a strategy optimizer that enumerates all feasible editing strategies for a given multi-site correction problem and ranks them by efficiency, safety, time, and cost.</w:t>
      </w:r>
    </w:p>
    <w:p>
      <w:pPr>
        <w:pStyle w:val="BodyText"/>
      </w:pPr>
      <w:r>
        <w:rPr>
          <w:bCs/>
          <w:b/>
        </w:rPr>
        <w:t xml:space="preserve">Key findings.</w:t>
      </w:r>
      <w:r>
        <w:t xml:space="preserve"> </w:t>
      </w:r>
      <w:r>
        <w:t xml:space="preserve">We validated ConversionSim against four independent published datasets. The model correctly predicts the approximately two-fold enhancement of circular over linear single-stranded DNA donors (predicted 2.07-fold versus observed 1.5–2.1-fold; Iyer et al.,</w:t>
      </w:r>
      <w:r>
        <w:t xml:space="preserve"> </w:t>
      </w:r>
      <w:r>
        <w:rPr>
          <w:iCs/>
          <w:i/>
        </w:rPr>
        <w:t xml:space="preserve">CRISPR Journal</w:t>
      </w:r>
      <w:r>
        <w:t xml:space="preserve">, 2022) and the enhancement from staggered nuclease cuts (predicted 1.82-fold versus observed 1.4–2.8-fold; Chauhan et al.,</w:t>
      </w:r>
      <w:r>
        <w:t xml:space="preserve"> </w:t>
      </w:r>
      <w:r>
        <w:rPr>
          <w:iCs/>
          <w:i/>
        </w:rPr>
        <w:t xml:space="preserve">PNAS</w:t>
      </w:r>
      <w:r>
        <w:t xml:space="preserve">, 2023). The validation also revealed a systematic discrepancy for short oligonucleotide donors, attributable to the single-strand template repair (SSTR) pathway — a finding that delineates the model’s applicability and highlights the mechanistic distinction between long-donor SDSA and short-donor SSTR pathways. We benchmarked MOSAIC against strategies employed in 14 published genome editing studies, achieving 71% concordance with expert decisions and 100% concordance for base editing applications.</w:t>
      </w:r>
    </w:p>
    <w:p>
      <w:pPr>
        <w:pStyle w:val="BodyText"/>
      </w:pPr>
      <w:r>
        <w:rPr>
          <w:bCs/>
          <w:b/>
        </w:rPr>
        <w:t xml:space="preserve">Why PLOS Computational Biology.</w:t>
      </w:r>
      <w:r>
        <w:t xml:space="preserve"> </w:t>
      </w:r>
      <w:r>
        <w:t xml:space="preserve">We believe this work is well suited to</w:t>
      </w:r>
      <w:r>
        <w:t xml:space="preserve"> </w:t>
      </w:r>
      <w:r>
        <w:rPr>
          <w:iCs/>
          <w:i/>
        </w:rPr>
        <w:t xml:space="preserve">PLOS Computational Biology</w:t>
      </w:r>
      <w:r>
        <w:t xml:space="preserve"> </w:t>
      </w:r>
      <w:r>
        <w:t xml:space="preserve">for several reasons. First, ConversionSim represents a new class of Monte Carlo simulation for genome editing biology, combining known biochemical parameters into a predictive framework that produces testable quantitative predictions. Second, the work directly addresses a practical gap — no existing tool compares editing modalities for multi-site correction — with clear implications for the gene therapy community. Third, we provide complete open-source software (https://github.com/visvikbharti/CRISPRArchitect), a web interface, Docker container, and full validation scripts, aligning with the journal’s commitment to reproducibility and open science.</w:t>
      </w:r>
    </w:p>
    <w:p>
      <w:pPr>
        <w:pStyle w:val="BodyText"/>
      </w:pPr>
      <w:r>
        <w:rPr>
          <w:bCs/>
          <w:b/>
        </w:rPr>
        <w:t xml:space="preserve">Competing interests.</w:t>
      </w:r>
      <w:r>
        <w:t xml:space="preserve"> </w:t>
      </w:r>
      <w:r>
        <w:t xml:space="preserve">The authors declare no competing interests.</w:t>
      </w:r>
    </w:p>
    <w:p>
      <w:pPr>
        <w:pStyle w:val="BodyText"/>
      </w:pPr>
      <w:r>
        <w:rPr>
          <w:bCs/>
          <w:b/>
        </w:rPr>
        <w:t xml:space="preserve">Ethical statement.</w:t>
      </w:r>
      <w:r>
        <w:t xml:space="preserve"> </w:t>
      </w:r>
      <w:r>
        <w:t xml:space="preserve">This study is entirely computational and did not involve human subjects, animal experiments, or biological materials.</w:t>
      </w:r>
    </w:p>
    <w:p>
      <w:pPr>
        <w:pStyle w:val="BodyText"/>
      </w:pPr>
      <w:r>
        <w:t xml:space="preserve">We confirm that this manuscript has not been published elsewhere and is not under consideration by another journal. All authors have approved the manuscript for submission.</w:t>
      </w:r>
    </w:p>
    <w:p>
      <w:pPr>
        <w:pStyle w:val="BodyText"/>
      </w:pPr>
      <w:r>
        <w:t xml:space="preserve">We suggest the following potential reviewers with relevant expertise:</w:t>
      </w:r>
      <w:r>
        <w:t xml:space="preserve"> </w:t>
      </w:r>
      <w:r>
        <w:t xml:space="preserve">1. [Reviewer suggestion 1 — to be filled by authors]</w:t>
      </w:r>
      <w:r>
        <w:t xml:space="preserve"> </w:t>
      </w:r>
      <w:r>
        <w:t xml:space="preserve">2. [Reviewer suggestion 2 — to be filled by authors]</w:t>
      </w:r>
      <w:r>
        <w:t xml:space="preserve"> </w:t>
      </w:r>
      <w:r>
        <w:t xml:space="preserve">3. [Reviewer suggestion 3 — to be filled by authors]</w:t>
      </w:r>
    </w:p>
    <w:p>
      <w:pPr>
        <w:pStyle w:val="BodyText"/>
      </w:pPr>
      <w:r>
        <w:t xml:space="preserve">Thank you for considering our manuscript.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Vishal Bharti and Debojyoti Chakraborty</w:t>
      </w:r>
    </w:p>
    <w:p>
      <w:pPr>
        <w:pStyle w:val="BodyText"/>
      </w:pPr>
      <w:r>
        <w:t xml:space="preserve">CSIR-Institute of Genomics and Integrative Biology (IGIB)</w:t>
      </w:r>
      <w:r>
        <w:t xml:space="preserve"> </w:t>
      </w:r>
      <w:r>
        <w:t xml:space="preserve">New Delhi, 110025, India</w:t>
      </w:r>
    </w:p>
    <w:p>
      <w:pPr>
        <w:pStyle w:val="BodyText"/>
      </w:pPr>
      <w:r>
        <w:t xml:space="preserve">Correspondence: vishalvikashbharti@gmail.com; debojyoti.chakraborty@igib.in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2026-03-20T12:59:18Z</dcterms:created>
  <dcterms:modified xsi:type="dcterms:W3CDTF">2026-03-20T12:59:18Z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