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05.05.2014 N 221</w:t>
              <w:br/>
              <w:t xml:space="preserve">(ред. от 21.06.2024)</w:t>
              <w:br/>
              <w:t xml:space="preserve">"Об утверждении свода правил "Станции автомобильные заправочные. Требования пожарной безопасности"</w:t>
              <w:br/>
              <w:t xml:space="preserve">(вместе с "СП 156.13130.2014. Свод правил...")</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5 мая 2014 г. N 221</w:t>
      </w:r>
    </w:p>
    <w:p>
      <w:pPr>
        <w:pStyle w:val="2"/>
        <w:jc w:val="center"/>
      </w:pPr>
      <w:r>
        <w:rPr>
          <w:sz w:val="24"/>
        </w:rPr>
      </w:r>
    </w:p>
    <w:p>
      <w:pPr>
        <w:pStyle w:val="2"/>
        <w:jc w:val="center"/>
      </w:pPr>
      <w:r>
        <w:rPr>
          <w:sz w:val="24"/>
        </w:rPr>
        <w:t xml:space="preserve">ОБ УТВЕРЖДЕНИИ СВОДА ПРАВИЛ</w:t>
      </w:r>
    </w:p>
    <w:p>
      <w:pPr>
        <w:pStyle w:val="2"/>
        <w:jc w:val="center"/>
      </w:pPr>
      <w:r>
        <w:rPr>
          <w:sz w:val="24"/>
        </w:rPr>
        <w:t xml:space="preserve">"СТАНЦИИ АВТОМОБИЛЬНЫЕ ЗАПРАВОЧНЫЕ. ТРЕБОВАНИЯ</w:t>
      </w:r>
    </w:p>
    <w:p>
      <w:pPr>
        <w:pStyle w:val="2"/>
        <w:jc w:val="center"/>
      </w:pPr>
      <w:r>
        <w:rPr>
          <w:sz w:val="24"/>
        </w:rPr>
        <w:t xml:space="preserve">ПОЖАРНОЙ БЕЗОПАСНОСТИ"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Изменений </w:t>
            </w:r>
            <w:hyperlink w:history="0" r:id="rId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N 1</w:t>
              </w:r>
            </w:hyperlink>
            <w:r>
              <w:rPr>
                <w:sz w:val="24"/>
                <w:color w:val="392c69"/>
              </w:rPr>
              <w:t xml:space="preserve">, утв. Приказом МЧС России от 18.08.2023 N 842,</w:t>
            </w:r>
          </w:p>
          <w:p>
            <w:pPr>
              <w:pStyle w:val="0"/>
              <w:jc w:val="center"/>
            </w:pPr>
            <w:hyperlink w:history="0" r:id="rId9"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N 2</w:t>
              </w:r>
            </w:hyperlink>
            <w:r>
              <w:rPr>
                <w:sz w:val="24"/>
                <w:color w:val="392c69"/>
              </w:rPr>
              <w:t xml:space="preserve">, утв. Приказом МЧС России от 21.06.2024 N 505)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Федеральным </w:t>
      </w:r>
      <w:hyperlink w:history="0" r:id="rId1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1" w:tooltip="Указ Президента РФ от 11.07.2004 N 868 (ред. от 12.03.2026) &quot;Вопросы Министерства Российской Федерации по делам гражданской обороны, чрезвычайным ситуациям и ликвидации последствий стихийных бедствий&quot;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w:t>
      </w:r>
      <w:hyperlink w:history="0" r:id="rId12" w:tooltip="Постановление Правительства РФ от 19.11.2008 N 858 &quot;О порядке разработки и утверждения сводов правил&quot; (вместе с &quot;Правилами разработки и утверждения сводов правил&quot;) ------------ Утратил силу или отменен {КонсультантПлюс}">
        <w:r>
          <w:rPr>
            <w:sz w:val="24"/>
            <w:color w:val="0000ff"/>
          </w:rPr>
          <w:t xml:space="preserve">постановлением</w:t>
        </w:r>
      </w:hyperlink>
      <w:r>
        <w:rPr>
          <w:sz w:val="24"/>
        </w:rPr>
        <w:t xml:space="preserve"> Правительства Российской Федерации от 19 ноября 2008 г. N 858 "О порядке разработки и утверждения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(ч. I), ст. 3579; 2012, N 29, ст. 3997; 2013, N 27, ст. 3477.</w:t>
      </w:r>
    </w:p>
    <w:p>
      <w:pPr>
        <w:pStyle w:val="0"/>
        <w:spacing w:before="240" w:lineRule="auto"/>
        <w:ind w:firstLine="540"/>
        <w:jc w:val="both"/>
      </w:pPr>
      <w:r>
        <w:rPr>
          <w:sz w:val="24"/>
        </w:rPr>
        <w:t xml:space="preserve">&lt;2&gt; Собрание законодательства Российской Федерации, 2004, N 28, ст. 2882; 2005, N 43, ст. 4376; 2008, N 17, ст. 1814, N 43, ст. 4921, N 47, ст. 5431; 2009, N 22, ст. 2697, N 51, ст. 6285; 2010, N 19, ст. 2301, N 20, ст. 2435, N 51 (ч. III), ст. 6903; 2011, N 1, ст. 193, ст. 194, N 2, ст. 267, N 40, ст. 5532; 2012, N 2, ст. 243, N 6, ст. 643, N 19, ст. 2329, N 47, ст. 6455; 2013, N 26, ст. 3314, N 52 (ч. II), ст. 7137; 2014, N 11, ст. 1131.</w:t>
      </w:r>
    </w:p>
    <w:p>
      <w:pPr>
        <w:pStyle w:val="0"/>
        <w:spacing w:before="240" w:lineRule="auto"/>
        <w:ind w:firstLine="540"/>
        <w:jc w:val="both"/>
      </w:pPr>
      <w:r>
        <w:rPr>
          <w:sz w:val="24"/>
        </w:rPr>
        <w:t xml:space="preserve">&lt;3&gt; Собрание законодательства Российской Федерации, 2008, N 48, ст. 5608.</w:t>
      </w:r>
    </w:p>
    <w:p>
      <w:pPr>
        <w:pStyle w:val="0"/>
        <w:ind w:firstLine="540"/>
        <w:jc w:val="both"/>
      </w:pPr>
      <w:r>
        <w:rPr>
          <w:sz w:val="24"/>
        </w:rPr>
      </w:r>
    </w:p>
    <w:p>
      <w:pPr>
        <w:pStyle w:val="0"/>
        <w:ind w:firstLine="540"/>
        <w:jc w:val="both"/>
      </w:pPr>
      <w:r>
        <w:rPr>
          <w:sz w:val="24"/>
        </w:rPr>
        <w:t xml:space="preserve">Утвердить и ввести в действие с 1 июля 2014 г. прилагаемый </w:t>
      </w:r>
      <w:hyperlink w:history="0" w:anchor="P30" w:tooltip="СВОД ПРАВИЛ">
        <w:r>
          <w:rPr>
            <w:sz w:val="24"/>
            <w:color w:val="0000ff"/>
          </w:rPr>
          <w:t xml:space="preserve">свод правил</w:t>
        </w:r>
      </w:hyperlink>
      <w:r>
        <w:rPr>
          <w:sz w:val="24"/>
        </w:rPr>
        <w:t xml:space="preserve"> "Станции автомобильные заправочные. Требования пожарной безопасности".</w:t>
      </w:r>
    </w:p>
    <w:p>
      <w:pPr>
        <w:pStyle w:val="0"/>
        <w:jc w:val="both"/>
      </w:pPr>
      <w:r>
        <w:rPr>
          <w:sz w:val="24"/>
        </w:rPr>
      </w:r>
    </w:p>
    <w:p>
      <w:pPr>
        <w:pStyle w:val="0"/>
        <w:jc w:val="right"/>
      </w:pPr>
      <w:r>
        <w:rPr>
          <w:sz w:val="24"/>
        </w:rPr>
        <w:t xml:space="preserve">Министр</w:t>
      </w:r>
    </w:p>
    <w:p>
      <w:pPr>
        <w:pStyle w:val="0"/>
        <w:jc w:val="right"/>
      </w:pPr>
      <w:r>
        <w:rPr>
          <w:sz w:val="24"/>
        </w:rPr>
        <w:t xml:space="preserve">В.А.ПУЧКОВ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30" w:name="P30"/>
    <w:bookmarkEnd w:id="30"/>
    <w:p>
      <w:pPr>
        <w:pStyle w:val="2"/>
        <w:outlineLvl w:val="0"/>
        <w:jc w:val="center"/>
      </w:pPr>
      <w:r>
        <w:rPr>
          <w:sz w:val="24"/>
        </w:rPr>
        <w:t xml:space="preserve">СВОД ПРАВИЛ</w:t>
      </w:r>
    </w:p>
    <w:p>
      <w:pPr>
        <w:pStyle w:val="2"/>
        <w:jc w:val="center"/>
      </w:pPr>
      <w:r>
        <w:rPr>
          <w:sz w:val="24"/>
        </w:rPr>
      </w:r>
    </w:p>
    <w:p>
      <w:pPr>
        <w:pStyle w:val="2"/>
        <w:jc w:val="center"/>
      </w:pPr>
      <w:r>
        <w:rPr>
          <w:sz w:val="24"/>
        </w:rPr>
        <w:t xml:space="preserve">СТАНЦИИ АВТОМОБИЛЬНЫЕ ЗАПРАВОЧНЫЕ</w:t>
      </w:r>
    </w:p>
    <w:p>
      <w:pPr>
        <w:pStyle w:val="2"/>
        <w:jc w:val="center"/>
      </w:pPr>
      <w:r>
        <w:rPr>
          <w:sz w:val="24"/>
        </w:rPr>
      </w:r>
    </w:p>
    <w:p>
      <w:pPr>
        <w:pStyle w:val="2"/>
        <w:jc w:val="center"/>
      </w:pPr>
      <w:r>
        <w:rPr>
          <w:sz w:val="24"/>
        </w:rPr>
        <w:t xml:space="preserve">ТРЕБОВАНИЯ ПОЖАРНОЙ БЕЗОПАСНОСТИ</w:t>
      </w:r>
    </w:p>
    <w:p>
      <w:pPr>
        <w:pStyle w:val="2"/>
        <w:jc w:val="center"/>
      </w:pPr>
      <w:r>
        <w:rPr>
          <w:sz w:val="24"/>
        </w:rPr>
      </w:r>
    </w:p>
    <w:p>
      <w:pPr>
        <w:pStyle w:val="2"/>
        <w:jc w:val="center"/>
      </w:pPr>
      <w:r>
        <w:rPr>
          <w:sz w:val="24"/>
        </w:rPr>
        <w:t xml:space="preserve">CAR REFUELING STATIONS. FIRE SAFETY REQUIREMENTS</w:t>
      </w:r>
    </w:p>
    <w:p>
      <w:pPr>
        <w:pStyle w:val="2"/>
        <w:jc w:val="center"/>
      </w:pPr>
      <w:r>
        <w:rPr>
          <w:sz w:val="24"/>
        </w:rPr>
      </w:r>
    </w:p>
    <w:p>
      <w:pPr>
        <w:pStyle w:val="2"/>
        <w:jc w:val="center"/>
      </w:pPr>
      <w:r>
        <w:rPr>
          <w:sz w:val="24"/>
        </w:rPr>
        <w:t xml:space="preserve">СП 156.13130.2014</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Изменений </w:t>
            </w:r>
            <w:hyperlink w:history="0" r:id="rId1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N 1</w:t>
              </w:r>
            </w:hyperlink>
            <w:r>
              <w:rPr>
                <w:sz w:val="24"/>
                <w:color w:val="392c69"/>
              </w:rPr>
              <w:t xml:space="preserve">, утв. Приказом МЧС России от 18.08.2023 N 842,</w:t>
            </w:r>
          </w:p>
          <w:p>
            <w:pPr>
              <w:pStyle w:val="0"/>
              <w:jc w:val="center"/>
            </w:pPr>
            <w:hyperlink w:history="0" r:id="rId14"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N 2</w:t>
              </w:r>
            </w:hyperlink>
            <w:r>
              <w:rPr>
                <w:sz w:val="24"/>
                <w:color w:val="392c69"/>
              </w:rPr>
              <w:t xml:space="preserve">, утв. Приказом МЧС России от 21.06.2024 N 505)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Дата введения - 1 июля 2014 г.</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5"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от 27 декабря 2002 г. N 184-ФЗ "О техническом регулировании", а правила разработки - </w:t>
      </w:r>
      <w:hyperlink w:history="0" r:id="rId16"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jc w:val="both"/>
      </w:pPr>
      <w:r>
        <w:rPr>
          <w:sz w:val="24"/>
        </w:rPr>
        <w:t xml:space="preserve">(в ред. </w:t>
      </w:r>
      <w:hyperlink w:history="0" r:id="rId1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Применение настоящего свода правил обеспечивает соблюдение требований к автомобильным заправочным станциям, установленных Федеральным </w:t>
      </w:r>
      <w:hyperlink w:history="0" r:id="rId1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w:t>
      </w:r>
    </w:p>
    <w:p>
      <w:pPr>
        <w:pStyle w:val="0"/>
        <w:ind w:firstLine="540"/>
        <w:jc w:val="both"/>
      </w:pPr>
      <w:r>
        <w:rPr>
          <w:sz w:val="24"/>
        </w:rPr>
      </w:r>
    </w:p>
    <w:p>
      <w:pPr>
        <w:pStyle w:val="2"/>
        <w:outlineLvl w:val="1"/>
        <w:ind w:firstLine="540"/>
        <w:jc w:val="both"/>
      </w:pPr>
      <w:r>
        <w:rPr>
          <w:sz w:val="24"/>
        </w:rPr>
        <w:t xml:space="preserve">Сведения о своде правил</w:t>
      </w:r>
    </w:p>
    <w:p>
      <w:pPr>
        <w:pStyle w:val="0"/>
        <w:ind w:firstLine="54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МЧС России"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5 мая 2014 г. N 221</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30 мая 2014 г.</w:t>
      </w:r>
    </w:p>
    <w:p>
      <w:pPr>
        <w:pStyle w:val="0"/>
        <w:spacing w:before="240" w:lineRule="auto"/>
        <w:ind w:firstLine="540"/>
        <w:jc w:val="both"/>
      </w:pPr>
      <w:r>
        <w:rPr>
          <w:sz w:val="24"/>
        </w:rPr>
        <w:t xml:space="preserve">4. ВВЕДЕН ВПЕРВЫЕ</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без разрешения МЧС России</w:t>
      </w:r>
    </w:p>
    <w:p>
      <w:pPr>
        <w:pStyle w:val="0"/>
        <w:ind w:firstLine="540"/>
        <w:jc w:val="both"/>
      </w:pPr>
      <w:r>
        <w:rPr>
          <w:sz w:val="24"/>
        </w:rPr>
      </w:r>
    </w:p>
    <w:p>
      <w:pPr>
        <w:pStyle w:val="2"/>
        <w:outlineLvl w:val="1"/>
        <w:ind w:firstLine="540"/>
        <w:jc w:val="both"/>
      </w:pPr>
      <w:r>
        <w:rPr>
          <w:sz w:val="24"/>
        </w:rPr>
        <w:t xml:space="preserve">Введение</w:t>
      </w:r>
    </w:p>
    <w:p>
      <w:pPr>
        <w:pStyle w:val="0"/>
        <w:ind w:firstLine="540"/>
        <w:jc w:val="both"/>
      </w:pPr>
      <w:r>
        <w:rPr>
          <w:sz w:val="24"/>
        </w:rPr>
      </w:r>
    </w:p>
    <w:p>
      <w:pPr>
        <w:pStyle w:val="0"/>
        <w:ind w:firstLine="540"/>
        <w:jc w:val="both"/>
      </w:pPr>
      <w:r>
        <w:rPr>
          <w:sz w:val="24"/>
        </w:rPr>
        <w:t xml:space="preserve">(введено </w:t>
      </w:r>
      <w:hyperlink w:history="0" r:id="rId19"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w:t>
        </w:r>
      </w:hyperlink>
      <w:r>
        <w:rPr>
          <w:sz w:val="24"/>
        </w:rPr>
        <w:t xml:space="preserve"> N 2, утв. Приказом МЧС России от 21.06.2024 N 505)</w:t>
      </w:r>
    </w:p>
    <w:p>
      <w:pPr>
        <w:pStyle w:val="0"/>
        <w:ind w:firstLine="540"/>
        <w:jc w:val="both"/>
      </w:pPr>
      <w:r>
        <w:rPr>
          <w:sz w:val="24"/>
        </w:rPr>
      </w:r>
    </w:p>
    <w:p>
      <w:pPr>
        <w:pStyle w:val="0"/>
        <w:ind w:firstLine="540"/>
        <w:jc w:val="both"/>
      </w:pPr>
      <w:r>
        <w:rPr>
          <w:sz w:val="24"/>
        </w:rPr>
        <w:t xml:space="preserve">Настоящий свод правил разработан в целях обеспечения соблюдения требований Федерального </w:t>
      </w:r>
      <w:hyperlink w:history="0" r:id="rId2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22 июля 2008 г. N 123-ФЗ "Технический регламент о требованиях пожарной безопасности".</w:t>
      </w:r>
    </w:p>
    <w:p>
      <w:pPr>
        <w:pStyle w:val="0"/>
        <w:spacing w:before="240" w:lineRule="auto"/>
        <w:ind w:firstLine="540"/>
        <w:jc w:val="both"/>
      </w:pPr>
      <w:r>
        <w:rPr>
          <w:sz w:val="24"/>
        </w:rPr>
        <w:t xml:space="preserve">Свод правил разработан впервые и содержит требования пожарной безопасности автозаправочных станций, предназначенных для приема, хранения моторного топлива и заправки им наземных транспортных средств.</w:t>
      </w:r>
    </w:p>
    <w:p>
      <w:pPr>
        <w:pStyle w:val="0"/>
        <w:jc w:val="both"/>
      </w:pPr>
      <w:r>
        <w:rPr>
          <w:sz w:val="24"/>
        </w:rPr>
      </w:r>
    </w:p>
    <w:p>
      <w:pPr>
        <w:pStyle w:val="2"/>
        <w:outlineLvl w:val="1"/>
        <w:ind w:firstLine="540"/>
        <w:jc w:val="both"/>
      </w:pPr>
      <w:r>
        <w:rPr>
          <w:sz w:val="24"/>
        </w:rPr>
        <w:t xml:space="preserve">1 Область применения</w:t>
      </w:r>
    </w:p>
    <w:p>
      <w:pPr>
        <w:pStyle w:val="0"/>
        <w:ind w:firstLine="540"/>
        <w:jc w:val="both"/>
      </w:pPr>
      <w:r>
        <w:rPr>
          <w:sz w:val="24"/>
        </w:rPr>
      </w:r>
    </w:p>
    <w:p>
      <w:pPr>
        <w:pStyle w:val="0"/>
        <w:ind w:firstLine="540"/>
        <w:jc w:val="both"/>
      </w:pPr>
      <w:r>
        <w:rPr>
          <w:sz w:val="24"/>
        </w:rPr>
        <w:t xml:space="preserve">(в ред. </w:t>
      </w:r>
      <w:hyperlink w:history="0" r:id="rId21"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ind w:firstLine="540"/>
        <w:jc w:val="both"/>
      </w:pPr>
      <w:r>
        <w:rPr>
          <w:sz w:val="24"/>
        </w:rPr>
      </w:r>
    </w:p>
    <w:p>
      <w:pPr>
        <w:pStyle w:val="0"/>
        <w:ind w:firstLine="540"/>
        <w:jc w:val="both"/>
      </w:pPr>
      <w:r>
        <w:rPr>
          <w:sz w:val="24"/>
        </w:rPr>
        <w:t xml:space="preserve">1.1 Настоящий свод правил применяется при проектировании, строительстве вновь строящихся и реконструкции действующих автозаправочных станций, ограниченных принятой в настоящем своде правил классификацией.</w:t>
      </w:r>
    </w:p>
    <w:p>
      <w:pPr>
        <w:pStyle w:val="0"/>
        <w:spacing w:before="240" w:lineRule="auto"/>
        <w:ind w:firstLine="540"/>
        <w:jc w:val="both"/>
      </w:pPr>
      <w:r>
        <w:rPr>
          <w:sz w:val="24"/>
        </w:rPr>
        <w:t xml:space="preserve">1.2 Требования к автозаправочным станциям жидкого моторного топлива, эксплуатирующимся в качестве топливозаправочных пунктов складов нефти и нефтепродуктов, к автомобильным газозаправочным станциям, эксплуатирующимся в качестве топливозаправочных пунктов газонаполнительных станций и пунктов, а также к автомобильным газонаполнительным компрессорным и криогенным автозаправочным станциям, эксплуатирующимся в качестве топливозаправочных пунктов производственных предприятий нефтяной и газовой (нефтегазовой) промышленности, а также водородным автомобильным газонаполнительным станциям, использующимся в качестве топливозаправочных пунктов газовых заводов, на которых производится водород, допускается определять по другим нормативным документам в области стандартизации, регламентирующим требования пожарной безопасности к объектам, на которых эти топливозаправочные пункты предусматриваются.</w:t>
      </w:r>
    </w:p>
    <w:p>
      <w:pPr>
        <w:pStyle w:val="0"/>
        <w:spacing w:before="240" w:lineRule="auto"/>
        <w:ind w:firstLine="540"/>
        <w:jc w:val="both"/>
      </w:pPr>
      <w:r>
        <w:rPr>
          <w:sz w:val="24"/>
        </w:rPr>
        <w:t xml:space="preserve">1.3 При проектировании автозаправочных станций наряду с положениями настоящего свода правил следует руководствоваться другими нормативными документами по пожарной безопасности в части, не противоречащей требованиям настоящего свода правил.</w:t>
      </w:r>
    </w:p>
    <w:p>
      <w:pPr>
        <w:pStyle w:val="0"/>
        <w:ind w:firstLine="54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стандарты:</w:t>
      </w:r>
    </w:p>
    <w:p>
      <w:pPr>
        <w:pStyle w:val="0"/>
        <w:spacing w:before="240" w:lineRule="auto"/>
        <w:ind w:firstLine="540"/>
        <w:jc w:val="both"/>
      </w:pPr>
      <w:hyperlink w:history="0" r:id="rId22"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12.1.007-76*</w:t>
        </w:r>
      </w:hyperlink>
      <w:r>
        <w:rPr>
          <w:sz w:val="24"/>
        </w:rPr>
        <w:t xml:space="preserve"> Система стандартов безопасности труда. Вредные вещества. Классификация и общие требования безопасности</w:t>
      </w:r>
    </w:p>
    <w:p>
      <w:pPr>
        <w:pStyle w:val="0"/>
        <w:spacing w:before="240" w:lineRule="auto"/>
        <w:ind w:firstLine="540"/>
        <w:jc w:val="both"/>
      </w:pPr>
      <w:hyperlink w:history="0" r:id="rId23" w:tooltip="&quot;ГОСТ 12.1.044-89 (ИСО 4589-84). Межгосударственный стандарт. Система стандартов безопасности труда. Пожаровзрывоопасность веществ и материалов. Номенклатура показателей и методы их определения&quot; (утв. Постановлением Госстандарта СССР от 12.12.1989 N 3683) (ред. от 01.04.2000) ------------ Утратил силу или отменен {КонсультантПлюс}">
        <w:r>
          <w:rPr>
            <w:sz w:val="24"/>
            <w:color w:val="0000ff"/>
          </w:rPr>
          <w:t xml:space="preserve">ГОСТ 12.1.044-89 (ИСО 4589-84)</w:t>
        </w:r>
      </w:hyperlink>
      <w:r>
        <w:rPr>
          <w:sz w:val="24"/>
        </w:rPr>
        <w:t xml:space="preserve"> Система стандартов безопасности труда. Пожаровзрывоопасность веществ и материалов. Номенклатура показателей и методы их определения</w:t>
      </w:r>
    </w:p>
    <w:p>
      <w:pPr>
        <w:pStyle w:val="0"/>
        <w:spacing w:before="240" w:lineRule="auto"/>
        <w:ind w:firstLine="540"/>
        <w:jc w:val="both"/>
      </w:pPr>
      <w:hyperlink w:history="0" r:id="rId24"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19433-88</w:t>
        </w:r>
      </w:hyperlink>
      <w:r>
        <w:rPr>
          <w:sz w:val="24"/>
        </w:rPr>
        <w:t xml:space="preserve"> Грузы опасные. Классификация и маркировка</w:t>
      </w:r>
    </w:p>
    <w:p>
      <w:pPr>
        <w:pStyle w:val="0"/>
        <w:spacing w:before="240" w:lineRule="auto"/>
        <w:ind w:firstLine="540"/>
        <w:jc w:val="both"/>
      </w:pPr>
      <w:hyperlink w:history="0" r:id="rId25"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31565-2012</w:t>
        </w:r>
      </w:hyperlink>
      <w:r>
        <w:rPr>
          <w:sz w:val="24"/>
        </w:rPr>
        <w:t xml:space="preserve"> Кабельные изделия. Требования пожарной безопасности</w:t>
      </w:r>
    </w:p>
    <w:p>
      <w:pPr>
        <w:pStyle w:val="0"/>
        <w:spacing w:before="240" w:lineRule="auto"/>
        <w:ind w:firstLine="540"/>
        <w:jc w:val="both"/>
      </w:pPr>
      <w:hyperlink w:history="0" r:id="rId26" w:tooltip="&quot;ГОСТ 33666-2015. Межгосударственный стандарт. Автомобильные транспортные средства для транспортирования и заправки нефтепродуктов. Технические требования&quot; (введен в действие Приказом Росстандарта от 22.06.2016 N 657-ст) (ред. от 01.10.2024) {КонсультантПлюс}">
        <w:r>
          <w:rPr>
            <w:sz w:val="24"/>
            <w:color w:val="0000ff"/>
          </w:rPr>
          <w:t xml:space="preserve">ГОСТ 33666-2015</w:t>
        </w:r>
      </w:hyperlink>
      <w:r>
        <w:rPr>
          <w:sz w:val="24"/>
        </w:rPr>
        <w:t xml:space="preserve"> "Автомобильные транспортные средства для транспортирования и заправки нефтепродуктов. Технические требования"</w:t>
      </w:r>
    </w:p>
    <w:p>
      <w:pPr>
        <w:pStyle w:val="0"/>
        <w:jc w:val="both"/>
      </w:pPr>
      <w:r>
        <w:rPr>
          <w:sz w:val="24"/>
        </w:rPr>
        <w:t xml:space="preserve">(в ред. </w:t>
      </w:r>
      <w:hyperlink w:history="0" r:id="rId2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hyperlink w:history="0" r:id="rId28"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53316-2021</w:t>
        </w:r>
      </w:hyperlink>
      <w:r>
        <w:rPr>
          <w:sz w:val="24"/>
        </w:rPr>
        <w:t xml:space="preserve"> "Электропроводки. Сохранение работоспособности в условиях стандартного температурного режима пожара. Методы испытаний"</w:t>
      </w:r>
    </w:p>
    <w:p>
      <w:pPr>
        <w:pStyle w:val="0"/>
        <w:jc w:val="both"/>
      </w:pPr>
      <w:r>
        <w:rPr>
          <w:sz w:val="24"/>
        </w:rPr>
        <w:t xml:space="preserve">(в ред. </w:t>
      </w:r>
      <w:hyperlink w:history="0" r:id="rId2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hyperlink w:history="0" r:id="rId30" w:tooltip="&quot;ГОСТ 9544-2015. Межгосударственный стандарт. Арматура трубопроводная. Нормы герметичности затворов&quot; (введен в действие Приказом Росстандарта от 26.05.2015 N 440-ст) {КонсультантПлюс}">
        <w:r>
          <w:rPr>
            <w:sz w:val="24"/>
            <w:color w:val="0000ff"/>
          </w:rPr>
          <w:t xml:space="preserve">ГОСТ 9544-2015</w:t>
        </w:r>
      </w:hyperlink>
      <w:r>
        <w:rPr>
          <w:sz w:val="24"/>
        </w:rPr>
        <w:t xml:space="preserve"> "Арматура трубопроводная. Нормы герметичности затворов"</w:t>
      </w:r>
    </w:p>
    <w:p>
      <w:pPr>
        <w:pStyle w:val="0"/>
        <w:jc w:val="both"/>
      </w:pPr>
      <w:r>
        <w:rPr>
          <w:sz w:val="24"/>
        </w:rPr>
        <w:t xml:space="preserve">(в ред. </w:t>
      </w:r>
      <w:hyperlink w:history="0" r:id="rId3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стандартов (сводов правил и/или классификаторов)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выпускам ежемесячно издаваемого информационного указателя "Национальные стандарты" за текущий год. Сведения о действии сводов правил можно проверить в Федеральном информационном фонде стандартов. Если заменен ссылочный стандарт (документ), на который дана недатированная ссылка, то рекомендуется использовать действующую версию этого стандарта (документа) с учетом всех внесенных в данную версию изменений. Если заменен ссылочный стандарт (документ), на который дана датированная ссылка, то рекомендуется использовать версию этого стандарта (документа) с указанным выше годом утверждения (принятия). Если после утверждения настоящего свода правил в ссылочный стандарт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(документ) отменен без замены, то положение, в котором дана ссылка на него, рекомендуется применять в части, не затрагивающей эту ссылку.</w:t>
      </w:r>
    </w:p>
    <w:p>
      <w:pPr>
        <w:pStyle w:val="0"/>
        <w:jc w:val="both"/>
      </w:pPr>
      <w:r>
        <w:rPr>
          <w:sz w:val="24"/>
        </w:rPr>
        <w:t xml:space="preserve">(примечание в ред. </w:t>
      </w:r>
      <w:hyperlink w:history="0" r:id="rId3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применяются следующие термины с соответствующими определениями:</w:t>
      </w:r>
    </w:p>
    <w:p>
      <w:pPr>
        <w:pStyle w:val="0"/>
        <w:spacing w:before="240" w:lineRule="auto"/>
        <w:ind w:firstLine="540"/>
        <w:jc w:val="both"/>
      </w:pPr>
      <w:r>
        <w:rPr>
          <w:sz w:val="24"/>
        </w:rPr>
        <w:t xml:space="preserve">3.1. аварийный расход газа по трубопроводу: Расход газа по трубопроводу при аварийной разгерметизации оборудования технологической системы.</w:t>
      </w:r>
    </w:p>
    <w:p>
      <w:pPr>
        <w:pStyle w:val="0"/>
        <w:spacing w:before="240" w:lineRule="auto"/>
        <w:ind w:firstLine="540"/>
        <w:jc w:val="both"/>
      </w:pPr>
      <w:r>
        <w:rPr>
          <w:sz w:val="24"/>
        </w:rPr>
        <w:t xml:space="preserve">3.2. аварийный пролив топлива: Топливо, поступившее из оборудования в окружающее пространство в результате аварийной разгерметизации указанного оборудования и/или нарушения требований к эксплуатации АЗС.</w:t>
      </w:r>
    </w:p>
    <w:p>
      <w:pPr>
        <w:pStyle w:val="0"/>
        <w:spacing w:before="240" w:lineRule="auto"/>
        <w:ind w:firstLine="540"/>
        <w:jc w:val="both"/>
      </w:pPr>
      <w:r>
        <w:rPr>
          <w:sz w:val="24"/>
        </w:rPr>
        <w:t xml:space="preserve">3.3. автомобильная газозаправочная станция с одностенными резервуарами: Автомобильная газозаправочная станция, технологическая система которой не обеспечивает возможность безопасного перекрытия любой вероятной утечки СУГ или его паров из резервуаров и трубопроводов в окружающую среду, предотвращающего выход за территорию АЗС газопаровоздушных смесей с концентрацией указанных паров более 20% от нижнего концентрационного предела распространения пламени с частотой выше одной миллионной в год.</w:t>
      </w:r>
    </w:p>
    <w:p>
      <w:pPr>
        <w:pStyle w:val="0"/>
        <w:spacing w:before="240" w:lineRule="auto"/>
        <w:ind w:firstLine="540"/>
        <w:jc w:val="both"/>
      </w:pPr>
      <w:r>
        <w:rPr>
          <w:sz w:val="24"/>
        </w:rPr>
        <w:t xml:space="preserve">3.4. автомобильная заправочная станция, выполненная как самостоятельный участок многотопливной АЗС: АЗС одного вида топлива, технологическая система которой отвечает требованиям к самостоятельному участку многотопливной АЗС с этим видом топлива, а требования к ее размещению, включая размещение зданий и сооружений сервисного обслуживания для водителей, пассажиров и их транспортных средств на территории этой АЗС, аналогичны требованиям к размещению многотопливной АЗС.</w:t>
      </w:r>
    </w:p>
    <w:p>
      <w:pPr>
        <w:pStyle w:val="0"/>
        <w:spacing w:before="240" w:lineRule="auto"/>
        <w:ind w:firstLine="540"/>
        <w:jc w:val="both"/>
      </w:pPr>
      <w:r>
        <w:rPr>
          <w:sz w:val="24"/>
        </w:rPr>
        <w:t xml:space="preserve">3.5. безопасное перекрытие утечки топлива (перекрытие из безопасного места): Перекрытие утечки топлива, не требующее присутствия людей в зоне загазованности парами топлива с концентрацией выше 20% от нижнего концентрационного предела распространения пламени.</w:t>
      </w:r>
    </w:p>
    <w:p>
      <w:pPr>
        <w:pStyle w:val="0"/>
        <w:spacing w:before="240" w:lineRule="auto"/>
        <w:ind w:firstLine="540"/>
        <w:jc w:val="both"/>
      </w:pPr>
      <w:r>
        <w:rPr>
          <w:sz w:val="24"/>
        </w:rPr>
        <w:t xml:space="preserve">3.6. блок хранения топлива: Сборочная единица технологической системы АЗС заданного уровня заводской готовности и производственной технологичности, предназначенная для приема и хранения топлива.</w:t>
      </w:r>
    </w:p>
    <w:p>
      <w:pPr>
        <w:pStyle w:val="0"/>
        <w:spacing w:before="240" w:lineRule="auto"/>
        <w:ind w:firstLine="540"/>
        <w:jc w:val="both"/>
      </w:pPr>
      <w:r>
        <w:rPr>
          <w:sz w:val="24"/>
        </w:rPr>
        <w:t xml:space="preserve">3.7. блок хранения жидкого моторного топлива: Сборочная единица технологической системы блочной АЗС, предназначенная для приема и хранения жидкого моторного топлива, смонтированная на единой раме на заводе-изготовителе как единое изделие и устанавливаемая подземно.</w:t>
      </w:r>
    </w:p>
    <w:p>
      <w:pPr>
        <w:pStyle w:val="0"/>
        <w:spacing w:before="240" w:lineRule="auto"/>
        <w:ind w:firstLine="540"/>
        <w:jc w:val="both"/>
      </w:pPr>
      <w:r>
        <w:rPr>
          <w:sz w:val="24"/>
        </w:rPr>
        <w:t xml:space="preserve">3.8. газоуравнительная система: Оборудование, обеспечивающее выравнивание давления паровой фазы топлива в группе резервуаров (камер), объединенных общей системой деаэрации.</w:t>
      </w:r>
    </w:p>
    <w:p>
      <w:pPr>
        <w:pStyle w:val="0"/>
        <w:spacing w:before="240" w:lineRule="auto"/>
        <w:ind w:firstLine="540"/>
        <w:jc w:val="both"/>
      </w:pPr>
      <w:r>
        <w:rPr>
          <w:sz w:val="24"/>
        </w:rPr>
        <w:t xml:space="preserve">3.9. граница АЗС: Отображаемая на ситуационном плане земельного участка линия, разделяющая территорию АЗС, на которой должны выполняться требования противопожарного режима эксплуатации этой АЗС, и прилегающую к ней территорию.</w:t>
      </w:r>
    </w:p>
    <w:p>
      <w:pPr>
        <w:pStyle w:val="0"/>
        <w:spacing w:before="240" w:lineRule="auto"/>
        <w:ind w:firstLine="540"/>
        <w:jc w:val="both"/>
      </w:pPr>
      <w:r>
        <w:rPr>
          <w:sz w:val="24"/>
        </w:rPr>
        <w:t xml:space="preserve">3.10. двустенный резервуар: Резервуар, представляющий собой двустенный сосуд (то есть сосуд в сосуде), внутренний из которых служит для хранения топлива (жидкое моторное топливо или СУГ), а внешний выполняет роль аварийного резервуара.</w:t>
      </w:r>
    </w:p>
    <w:p>
      <w:pPr>
        <w:pStyle w:val="0"/>
        <w:spacing w:before="240" w:lineRule="auto"/>
        <w:ind w:firstLine="540"/>
        <w:jc w:val="both"/>
      </w:pPr>
      <w:r>
        <w:rPr>
          <w:sz w:val="24"/>
        </w:rPr>
        <w:t xml:space="preserve">3.11. двухоболочечный резервуар СПГ: полуизотермический резервуар (сосуд) для хранения СПГ, оснащенный термоизоляционным кожухом, предназначенным для устройства вакуумной изоляции, конструкция, оснащение и применяемые материалы которого обеспечивают при разгерметизации рабочего (внутреннего) сосуда целостность термоизоляционного кожуха и безопасный выход аварийной утечки природного газа из межстенного пространства в атмосферу в соответствии с требованиями настоящего свода правил.</w:t>
      </w:r>
    </w:p>
    <w:p>
      <w:pPr>
        <w:pStyle w:val="0"/>
        <w:jc w:val="both"/>
      </w:pPr>
      <w:r>
        <w:rPr>
          <w:sz w:val="24"/>
        </w:rPr>
        <w:t xml:space="preserve">(п. 3.11 в ред. </w:t>
      </w:r>
      <w:hyperlink w:history="0" r:id="rId3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3.12. заглубленное размещение оборудования: Размещение оборудования в сооружениях (приямки, колодцы, лотки), обеспечивающее расположение указанного оборудования ниже поверхности прилегающей территории не менее чем на 0,5 м для оборудования под давлением и не менее чем на 0,2 м - для остального оборудования.</w:t>
      </w:r>
    </w:p>
    <w:p>
      <w:pPr>
        <w:pStyle w:val="0"/>
        <w:spacing w:before="240" w:lineRule="auto"/>
        <w:ind w:firstLine="540"/>
        <w:jc w:val="both"/>
      </w:pPr>
      <w:r>
        <w:rPr>
          <w:sz w:val="24"/>
        </w:rPr>
        <w:t xml:space="preserve">3.13. закрытый способ перемещения горючего вещества внутри технологического оборудования: Обращение горючего вещества внутри технологического оборудования, при котором допускается контакт этого вещества с атмосферой только через устройство, предотвращающее распространение пламени.</w:t>
      </w:r>
    </w:p>
    <w:p>
      <w:pPr>
        <w:pStyle w:val="0"/>
        <w:spacing w:before="240" w:lineRule="auto"/>
        <w:ind w:firstLine="540"/>
        <w:jc w:val="both"/>
      </w:pPr>
      <w:r>
        <w:rPr>
          <w:sz w:val="24"/>
        </w:rPr>
        <w:t xml:space="preserve">3.14. заправочный островок: Технологическая площадка, предназначенная для установки транспортного средства под заправку.</w:t>
      </w:r>
    </w:p>
    <w:p>
      <w:pPr>
        <w:pStyle w:val="0"/>
        <w:spacing w:before="240" w:lineRule="auto"/>
        <w:ind w:firstLine="540"/>
        <w:jc w:val="both"/>
      </w:pPr>
      <w:r>
        <w:rPr>
          <w:sz w:val="24"/>
        </w:rPr>
        <w:t xml:space="preserve">3.15. здание, сооружение или помещение сервисного обслуживания водителей и пассажиров на АЗС: Здание, сооружение или помещение (магазин сопутствующих товаров, кафе, санузлы), предназначенное для обслуживания водителей и пассажиров на территории АЗС.</w:t>
      </w:r>
    </w:p>
    <w:p>
      <w:pPr>
        <w:pStyle w:val="0"/>
        <w:spacing w:before="240" w:lineRule="auto"/>
        <w:ind w:firstLine="540"/>
        <w:jc w:val="both"/>
      </w:pPr>
      <w:r>
        <w:rPr>
          <w:sz w:val="24"/>
        </w:rPr>
        <w:t xml:space="preserve">3.16. здание, сооружение или помещение сервисного обслуживания транспортных средств на АЗС: Здание, сооружение или помещение (мойка и посты технического обслуживания автомобилей), в котором предусматривается выполнение работ по техническому обслуживанию транспортных средств на территории АЗС.</w:t>
      </w:r>
    </w:p>
    <w:p>
      <w:pPr>
        <w:pStyle w:val="0"/>
        <w:spacing w:before="240" w:lineRule="auto"/>
        <w:ind w:firstLine="540"/>
        <w:jc w:val="both"/>
      </w:pPr>
      <w:r>
        <w:rPr>
          <w:sz w:val="24"/>
        </w:rPr>
        <w:t xml:space="preserve">3.17. контейнер хранения жидкого моторного топлива: Технологическая система, предназначенная для приема, хранения и выдачи жидкого моторного топлива, смонтированная на единой раме на заводе-изготовителе как единое изделие и устанавливаемая надземно.</w:t>
      </w:r>
    </w:p>
    <w:p>
      <w:pPr>
        <w:pStyle w:val="0"/>
        <w:spacing w:before="240" w:lineRule="auto"/>
        <w:ind w:firstLine="540"/>
        <w:jc w:val="both"/>
      </w:pPr>
      <w:r>
        <w:rPr>
          <w:sz w:val="24"/>
        </w:rPr>
        <w:t xml:space="preserve">3.18. линия выдачи: Комплекс оборудования, с помощью которого обеспечивается подача топлива из резервуара к топливораздаточной колонке.</w:t>
      </w:r>
    </w:p>
    <w:p>
      <w:pPr>
        <w:pStyle w:val="0"/>
        <w:spacing w:before="240" w:lineRule="auto"/>
        <w:ind w:firstLine="540"/>
        <w:jc w:val="both"/>
      </w:pPr>
      <w:r>
        <w:rPr>
          <w:sz w:val="24"/>
        </w:rPr>
        <w:t xml:space="preserve">3.19. линия деаэрации: Комплекс оборудования, с помощью которого обеспечивается сообщение с атмосферой свободного пространства резервуара хранения жидкого моторного топлива.</w:t>
      </w:r>
    </w:p>
    <w:p>
      <w:pPr>
        <w:pStyle w:val="0"/>
        <w:spacing w:before="240" w:lineRule="auto"/>
        <w:ind w:firstLine="540"/>
        <w:jc w:val="both"/>
      </w:pPr>
      <w:r>
        <w:rPr>
          <w:sz w:val="24"/>
        </w:rPr>
        <w:t xml:space="preserve">3.20. линия наполнения: Комплекс оборудования, с помощью которого обеспечивается наполнение резервуара топливом.</w:t>
      </w:r>
    </w:p>
    <w:p>
      <w:pPr>
        <w:pStyle w:val="0"/>
        <w:spacing w:before="240" w:lineRule="auto"/>
        <w:ind w:firstLine="540"/>
        <w:jc w:val="both"/>
      </w:pPr>
      <w:r>
        <w:rPr>
          <w:sz w:val="24"/>
        </w:rPr>
        <w:t xml:space="preserve">3.21. линия обесшламливания: Комплекс оборудования, с помощью которого обеспечивается удаление подтоварной воды с включениями твердых частиц (шлама).</w:t>
      </w:r>
    </w:p>
    <w:p>
      <w:pPr>
        <w:pStyle w:val="0"/>
        <w:spacing w:before="240" w:lineRule="auto"/>
        <w:ind w:firstLine="540"/>
        <w:jc w:val="both"/>
      </w:pPr>
      <w:r>
        <w:rPr>
          <w:sz w:val="24"/>
        </w:rPr>
        <w:t xml:space="preserve">3.22. линия рециркуляции: Комплекс оборудования, с помощью которого обеспечивается циркуляция паров топлива по замкнутому контуру (без выхода их в окружающее пространство) при сливоналивных операциях.</w:t>
      </w:r>
    </w:p>
    <w:p>
      <w:pPr>
        <w:pStyle w:val="0"/>
        <w:spacing w:before="240" w:lineRule="auto"/>
        <w:ind w:firstLine="540"/>
        <w:jc w:val="both"/>
      </w:pPr>
      <w:r>
        <w:rPr>
          <w:sz w:val="24"/>
        </w:rPr>
        <w:t xml:space="preserve">3.23. места массового пребывания людей: Территория, на которой предусматривается возможность одновременного пребывания более 100 человек (остановки транспорта, выходы со станций метро, рынки, ярмарки, стадионы).</w:t>
      </w:r>
    </w:p>
    <w:p>
      <w:pPr>
        <w:pStyle w:val="0"/>
        <w:spacing w:before="240" w:lineRule="auto"/>
        <w:ind w:firstLine="540"/>
        <w:jc w:val="both"/>
      </w:pPr>
      <w:r>
        <w:rPr>
          <w:sz w:val="24"/>
        </w:rPr>
        <w:t xml:space="preserve">3.24. многокамерный резервуар: Резервуар, внутреннее пространство которого разделено герметичными перегородками на несколько камер.</w:t>
      </w:r>
    </w:p>
    <w:p>
      <w:pPr>
        <w:pStyle w:val="0"/>
        <w:spacing w:before="240" w:lineRule="auto"/>
        <w:ind w:firstLine="540"/>
        <w:jc w:val="both"/>
      </w:pPr>
      <w:r>
        <w:rPr>
          <w:sz w:val="24"/>
        </w:rPr>
        <w:t xml:space="preserve">3.25. насос перекачивания: Насос, входящий в состав технологической системы АЗС и обеспечивающий перекачивание топлива внутри указанной технологической системы, и/или из автоцистерны в резервуар для хранения топлива, и/или наоборот.</w:t>
      </w:r>
    </w:p>
    <w:p>
      <w:pPr>
        <w:pStyle w:val="0"/>
        <w:spacing w:before="240" w:lineRule="auto"/>
        <w:ind w:firstLine="540"/>
        <w:jc w:val="both"/>
      </w:pPr>
      <w:r>
        <w:rPr>
          <w:sz w:val="24"/>
        </w:rPr>
        <w:t xml:space="preserve">3.26. островок безопасности: Сооружение, предназначенное для защиты установленной на нем топливораздаточной колонки и/или раздаточной колонки от повреждения транспортным средством.</w:t>
      </w:r>
    </w:p>
    <w:p>
      <w:pPr>
        <w:pStyle w:val="0"/>
        <w:spacing w:before="240" w:lineRule="auto"/>
        <w:ind w:firstLine="540"/>
        <w:jc w:val="both"/>
      </w:pPr>
      <w:r>
        <w:rPr>
          <w:sz w:val="24"/>
        </w:rPr>
        <w:t xml:space="preserve">3.27. площадка для автоцистерны: Технологическая площадка, предназначенная для установки автоцистерны при сливоналивных операциях на АЗС.</w:t>
      </w:r>
    </w:p>
    <w:p>
      <w:pPr>
        <w:pStyle w:val="0"/>
        <w:spacing w:before="240" w:lineRule="auto"/>
        <w:ind w:firstLine="540"/>
        <w:jc w:val="both"/>
      </w:pPr>
      <w:r>
        <w:rPr>
          <w:sz w:val="24"/>
        </w:rPr>
        <w:t xml:space="preserve">3.28. площадка заправки ПАГЗ (МЭГК): Технологическая площадка, предназначенная для установки ПАГЗ (МЭГК) при заправке сосудов аккумулятора ПАГЗ (МЭГК) природным газом.</w:t>
      </w:r>
    </w:p>
    <w:p>
      <w:pPr>
        <w:pStyle w:val="0"/>
        <w:spacing w:before="240" w:lineRule="auto"/>
        <w:ind w:firstLine="540"/>
        <w:jc w:val="both"/>
      </w:pPr>
      <w:r>
        <w:rPr>
          <w:sz w:val="24"/>
        </w:rPr>
        <w:t xml:space="preserve">3.29. площадка подпора: Участок проезжей части, предназначенный для установки транспортных средств, ожидающих очереди для заправки.</w:t>
      </w:r>
    </w:p>
    <w:p>
      <w:pPr>
        <w:pStyle w:val="0"/>
        <w:spacing w:before="240" w:lineRule="auto"/>
        <w:ind w:firstLine="540"/>
        <w:jc w:val="both"/>
      </w:pPr>
      <w:r>
        <w:rPr>
          <w:sz w:val="24"/>
        </w:rPr>
        <w:t xml:space="preserve">3.30. резервуар СПГ в кожухе: Полуизотермический резервуар (сосуд) для хранения СПГ, оснащенный термоизоляционным кожухом, предназначенным для обеспечения вакуумной изоляции и обеспечивающим при разгерметизации рабочего (внутреннего) сосуда истечение СПГ непосредственно в ограждение резервуара только через специально предназначенное для этого устройство, установленное на кожухе.</w:t>
      </w:r>
    </w:p>
    <w:p>
      <w:pPr>
        <w:pStyle w:val="0"/>
        <w:spacing w:before="240" w:lineRule="auto"/>
        <w:ind w:firstLine="540"/>
        <w:jc w:val="both"/>
      </w:pPr>
      <w:r>
        <w:rPr>
          <w:sz w:val="24"/>
        </w:rPr>
        <w:t xml:space="preserve">3.31. операторная: производственно-административное здание или его часть, выделенная противопожарными преградами без проемов от остальных частей здания, в котором предусмотрены помещения и инженерные системы, необходимые для обеспечения безопасного функционирования объекта, контроля рабочих параметров технологических процессов на объекте, обеспечения бытовых условий для обслуживающего АЗС персонала, а также расчетно-кассовое оборудование. Нахождение лиц не из числа персонала АЗС в здании операторной не допускается.</w:t>
      </w:r>
    </w:p>
    <w:p>
      <w:pPr>
        <w:pStyle w:val="0"/>
        <w:jc w:val="both"/>
      </w:pPr>
      <w:r>
        <w:rPr>
          <w:sz w:val="24"/>
        </w:rPr>
        <w:t xml:space="preserve">(п. 3.31 в ред. </w:t>
      </w:r>
      <w:hyperlink w:history="0" r:id="rId3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3.32. самостоятельный участок технологической системы многотопливной АЗС: Комплекс оборудования, спроектированный и изготовленный как часть единой технологической системы многотопливной АЗС и предназначенный для приема, хранения и выдачи одного из видов моторного топлива.</w:t>
      </w:r>
    </w:p>
    <w:p>
      <w:pPr>
        <w:pStyle w:val="0"/>
        <w:spacing w:before="240" w:lineRule="auto"/>
        <w:ind w:firstLine="540"/>
        <w:jc w:val="both"/>
      </w:pPr>
      <w:r>
        <w:rPr>
          <w:sz w:val="24"/>
        </w:rPr>
        <w:t xml:space="preserve">3.33. сбросная труба: Устройство, предназначенное для пожаробезопасного сброса природного газа, паров СПГ или паров СУГ в атмосферу без сжигания.</w:t>
      </w:r>
    </w:p>
    <w:p>
      <w:pPr>
        <w:pStyle w:val="0"/>
        <w:spacing w:before="240" w:lineRule="auto"/>
        <w:ind w:firstLine="540"/>
        <w:jc w:val="both"/>
      </w:pPr>
      <w:r>
        <w:rPr>
          <w:sz w:val="24"/>
        </w:rPr>
        <w:t xml:space="preserve">3.34. свободное пространство шахты резервуара или технологического колодца: Воздушное пространство внутри шахты резервуара или технологического колодца.</w:t>
      </w:r>
    </w:p>
    <w:p>
      <w:pPr>
        <w:pStyle w:val="0"/>
        <w:spacing w:before="240" w:lineRule="auto"/>
        <w:ind w:firstLine="540"/>
        <w:jc w:val="both"/>
      </w:pPr>
      <w:r>
        <w:rPr>
          <w:sz w:val="24"/>
        </w:rPr>
        <w:t xml:space="preserve">3.35. система объединенного контроля герметичности двустенного (двухоболочечного) резервуара: Комплекс оборудования, предназначенного для периодического контроля герметичности внешней и постоянного контроля внутренней стенок двустенного (двухоболочечного) резервуара на месте эксплуатации.</w:t>
      </w:r>
    </w:p>
    <w:p>
      <w:pPr>
        <w:pStyle w:val="0"/>
        <w:spacing w:before="240" w:lineRule="auto"/>
        <w:ind w:firstLine="540"/>
        <w:jc w:val="both"/>
      </w:pPr>
      <w:r>
        <w:rPr>
          <w:sz w:val="24"/>
        </w:rPr>
        <w:t xml:space="preserve">3.36. система периодического контроля герметичности резервуара: Комплекс оборудования, предназначенного для периодического определения персоналом АЗС герметичности резервуаров на месте эксплуатации.</w:t>
      </w:r>
    </w:p>
    <w:p>
      <w:pPr>
        <w:pStyle w:val="0"/>
        <w:spacing w:before="240" w:lineRule="auto"/>
        <w:ind w:firstLine="540"/>
        <w:jc w:val="both"/>
      </w:pPr>
      <w:r>
        <w:rPr>
          <w:sz w:val="24"/>
        </w:rPr>
        <w:t xml:space="preserve">3.37. система постоянного контроля герметичности резервуара (межстенного пространства двустенного или двухоболочечного резервуара) и/или трубопровода (межстенного пространства двустенного трубопровода или трубопровода СПГ в футляре): Комплекс оборудования, предназначенного для раннего обнаружения разгерметизации резервуара (межстенного пространства двустенного или духоболочечного резервуара) и/или трубопровода (межстенного пространства двустенного трубопровода или трубопровода СПГ в футляре) в автоматическом режиме на месте эксплуатации.</w:t>
      </w:r>
    </w:p>
    <w:p>
      <w:pPr>
        <w:pStyle w:val="0"/>
        <w:spacing w:before="240" w:lineRule="auto"/>
        <w:ind w:firstLine="540"/>
        <w:jc w:val="both"/>
      </w:pPr>
      <w:r>
        <w:rPr>
          <w:sz w:val="24"/>
        </w:rPr>
        <w:t xml:space="preserve">3.38. система предотвращения переполнения резервуара: Комплекс оборудования, предназначенного для автоматической сигнализации персоналу АЗС о необходимости прекращения операции наполнения резервуара топливом по достижении номинального уровня его наполнения и автоматического прекращения сливо-наливной операции в случае достижения предельного уровня наполнения, указанных в документации на технологическую систему АЗС.</w:t>
      </w:r>
    </w:p>
    <w:p>
      <w:pPr>
        <w:pStyle w:val="0"/>
        <w:spacing w:before="240" w:lineRule="auto"/>
        <w:ind w:firstLine="540"/>
        <w:jc w:val="both"/>
      </w:pPr>
      <w:r>
        <w:rPr>
          <w:sz w:val="24"/>
        </w:rPr>
        <w:t xml:space="preserve">3.39. технологический отсек: Выгороженный участок технологической системы, в котором размещается технологическое оборудование.</w:t>
      </w:r>
    </w:p>
    <w:p>
      <w:pPr>
        <w:pStyle w:val="0"/>
        <w:spacing w:before="240" w:lineRule="auto"/>
        <w:ind w:firstLine="540"/>
        <w:jc w:val="both"/>
      </w:pPr>
      <w:r>
        <w:rPr>
          <w:sz w:val="24"/>
        </w:rPr>
        <w:t xml:space="preserve">3.40. технологическая система АЗС: Комплекс оборудования, специально сконструированный, смонтированный и используемый для приема, хранения и выдачи топлива на АЗС.</w:t>
      </w:r>
    </w:p>
    <w:p>
      <w:pPr>
        <w:pStyle w:val="0"/>
        <w:spacing w:before="240" w:lineRule="auto"/>
        <w:ind w:firstLine="540"/>
        <w:jc w:val="both"/>
      </w:pPr>
      <w:r>
        <w:rPr>
          <w:sz w:val="24"/>
        </w:rPr>
        <w:t xml:space="preserve">3.41. технологически связанные с АЗС производственные объекты: Объекты, предназначенные для производства и/или хранения моторного топлива, поставляемого на АЗС по трубопроводам, и характеризующиеся общими с АЗС системами предотвращения пожара и противопожарной защиты.</w:t>
      </w:r>
    </w:p>
    <w:p>
      <w:pPr>
        <w:pStyle w:val="0"/>
        <w:jc w:val="both"/>
      </w:pPr>
      <w:r>
        <w:rPr>
          <w:sz w:val="24"/>
        </w:rPr>
      </w:r>
    </w:p>
    <w:p>
      <w:pPr>
        <w:pStyle w:val="2"/>
        <w:outlineLvl w:val="1"/>
        <w:ind w:firstLine="540"/>
        <w:jc w:val="both"/>
      </w:pPr>
      <w:r>
        <w:rPr>
          <w:sz w:val="24"/>
        </w:rPr>
        <w:t xml:space="preserve">4 Обозначения и сокращения</w:t>
      </w:r>
    </w:p>
    <w:p>
      <w:pPr>
        <w:pStyle w:val="0"/>
        <w:ind w:firstLine="540"/>
        <w:jc w:val="both"/>
      </w:pPr>
      <w:r>
        <w:rPr>
          <w:sz w:val="24"/>
        </w:rPr>
      </w:r>
    </w:p>
    <w:p>
      <w:pPr>
        <w:pStyle w:val="0"/>
        <w:ind w:firstLine="540"/>
        <w:jc w:val="both"/>
      </w:pPr>
      <w:r>
        <w:rPr>
          <w:sz w:val="24"/>
        </w:rPr>
        <w:t xml:space="preserve">(в ред. </w:t>
      </w:r>
      <w:hyperlink w:history="0" r:id="rId35"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ind w:firstLine="540"/>
        <w:jc w:val="both"/>
      </w:pPr>
      <w:r>
        <w:rPr>
          <w:sz w:val="24"/>
        </w:rPr>
      </w:r>
    </w:p>
    <w:p>
      <w:pPr>
        <w:pStyle w:val="0"/>
        <w:ind w:firstLine="540"/>
        <w:jc w:val="both"/>
      </w:pPr>
      <w:r>
        <w:rPr>
          <w:sz w:val="24"/>
        </w:rPr>
        <w:t xml:space="preserve">АЗС - автомобильная заправочная станция;</w:t>
      </w:r>
    </w:p>
    <w:p>
      <w:pPr>
        <w:pStyle w:val="0"/>
        <w:spacing w:before="240" w:lineRule="auto"/>
        <w:ind w:firstLine="540"/>
        <w:jc w:val="both"/>
      </w:pPr>
      <w:r>
        <w:rPr>
          <w:sz w:val="24"/>
        </w:rPr>
        <w:t xml:space="preserve">АГЗС - автомобильная газозаправочная станция;</w:t>
      </w:r>
    </w:p>
    <w:p>
      <w:pPr>
        <w:pStyle w:val="0"/>
        <w:spacing w:before="240" w:lineRule="auto"/>
        <w:ind w:firstLine="540"/>
        <w:jc w:val="both"/>
      </w:pPr>
      <w:r>
        <w:rPr>
          <w:sz w:val="24"/>
        </w:rPr>
        <w:t xml:space="preserve">АГНКС - автомобильная газонаполнительная компрессорная станция;</w:t>
      </w:r>
    </w:p>
    <w:p>
      <w:pPr>
        <w:pStyle w:val="0"/>
        <w:spacing w:before="240" w:lineRule="auto"/>
        <w:ind w:firstLine="540"/>
        <w:jc w:val="both"/>
      </w:pPr>
      <w:r>
        <w:rPr>
          <w:sz w:val="24"/>
        </w:rPr>
        <w:t xml:space="preserve">АГНСВ - автомобильная газонаполнительная станция для заправки водородом;</w:t>
      </w:r>
    </w:p>
    <w:p>
      <w:pPr>
        <w:pStyle w:val="0"/>
        <w:spacing w:before="240" w:lineRule="auto"/>
        <w:ind w:firstLine="540"/>
        <w:jc w:val="both"/>
      </w:pPr>
      <w:r>
        <w:rPr>
          <w:sz w:val="24"/>
        </w:rPr>
        <w:t xml:space="preserve">АЦ - автомобильное транспортное средство для транспортирования топлива (автоцистерна);</w:t>
      </w:r>
    </w:p>
    <w:p>
      <w:pPr>
        <w:pStyle w:val="0"/>
        <w:spacing w:before="240" w:lineRule="auto"/>
        <w:ind w:firstLine="540"/>
        <w:jc w:val="both"/>
      </w:pPr>
      <w:r>
        <w:rPr>
          <w:sz w:val="24"/>
        </w:rPr>
        <w:t xml:space="preserve">ГЖ - горючая жидкость;</w:t>
      </w:r>
    </w:p>
    <w:p>
      <w:pPr>
        <w:pStyle w:val="0"/>
        <w:spacing w:before="240" w:lineRule="auto"/>
        <w:ind w:firstLine="540"/>
        <w:jc w:val="both"/>
      </w:pPr>
      <w:r>
        <w:rPr>
          <w:sz w:val="24"/>
        </w:rPr>
        <w:t xml:space="preserve">КВ - компримированное водородное топливо, тип I, сорт А, по ГОСТ Р ИСО 14687-1-2024;</w:t>
      </w:r>
    </w:p>
    <w:p>
      <w:pPr>
        <w:pStyle w:val="0"/>
        <w:spacing w:before="240" w:lineRule="auto"/>
        <w:ind w:firstLine="540"/>
        <w:jc w:val="both"/>
      </w:pPr>
      <w:r>
        <w:rPr>
          <w:sz w:val="24"/>
        </w:rPr>
        <w:t xml:space="preserve">КПГ - компримированный природный газ - по </w:t>
      </w:r>
      <w:hyperlink w:history="0" r:id="rId36" w:tooltip="&quot;ГОСТ 27577-2000. Межгосударственный стандарт. Газ природный топливный компримированный для двигателей внутреннего сгорания. Технические условия&quot; (введен в действие Постановлением Госстандарта РФ от 25.01.2001 N 32-ст) ------------ Утратил силу или отменен {КонсультантПлюс}">
        <w:r>
          <w:rPr>
            <w:sz w:val="24"/>
            <w:color w:val="0000ff"/>
          </w:rPr>
          <w:t xml:space="preserve">ГОСТ 27577-2000</w:t>
        </w:r>
      </w:hyperlink>
      <w:r>
        <w:rPr>
          <w:sz w:val="24"/>
        </w:rPr>
        <w:t xml:space="preserve">;</w:t>
      </w:r>
    </w:p>
    <w:p>
      <w:pPr>
        <w:pStyle w:val="0"/>
        <w:spacing w:before="240" w:lineRule="auto"/>
        <w:ind w:firstLine="540"/>
        <w:jc w:val="both"/>
      </w:pPr>
      <w:r>
        <w:rPr>
          <w:sz w:val="24"/>
        </w:rPr>
        <w:t xml:space="preserve">КриоАЗС - криогенная автозаправочная станция;</w:t>
      </w:r>
    </w:p>
    <w:p>
      <w:pPr>
        <w:pStyle w:val="0"/>
        <w:spacing w:before="240" w:lineRule="auto"/>
        <w:ind w:firstLine="540"/>
        <w:jc w:val="both"/>
      </w:pPr>
      <w:r>
        <w:rPr>
          <w:sz w:val="24"/>
        </w:rPr>
        <w:t xml:space="preserve">ЛВЖ - легковоспламеняющаяся жидкость;</w:t>
      </w:r>
    </w:p>
    <w:p>
      <w:pPr>
        <w:pStyle w:val="0"/>
        <w:spacing w:before="240" w:lineRule="auto"/>
        <w:ind w:firstLine="540"/>
        <w:jc w:val="both"/>
      </w:pPr>
      <w:r>
        <w:rPr>
          <w:sz w:val="24"/>
        </w:rPr>
        <w:t xml:space="preserve">МЭГК - многоэлементный газовый контейнер;</w:t>
      </w:r>
    </w:p>
    <w:p>
      <w:pPr>
        <w:pStyle w:val="0"/>
        <w:spacing w:before="240" w:lineRule="auto"/>
        <w:ind w:firstLine="540"/>
        <w:jc w:val="both"/>
      </w:pPr>
      <w:r>
        <w:rPr>
          <w:sz w:val="24"/>
        </w:rPr>
        <w:t xml:space="preserve">НКПР - нижний концентрационный предел распространения пламени;</w:t>
      </w:r>
    </w:p>
    <w:p>
      <w:pPr>
        <w:pStyle w:val="0"/>
        <w:spacing w:before="240" w:lineRule="auto"/>
        <w:ind w:firstLine="540"/>
        <w:jc w:val="both"/>
      </w:pPr>
      <w:r>
        <w:rPr>
          <w:sz w:val="24"/>
        </w:rPr>
        <w:t xml:space="preserve">ПАГЗ - передвижной автомобильный газозаправщик;</w:t>
      </w:r>
    </w:p>
    <w:p>
      <w:pPr>
        <w:pStyle w:val="0"/>
        <w:spacing w:before="240" w:lineRule="auto"/>
        <w:ind w:firstLine="540"/>
        <w:jc w:val="both"/>
      </w:pPr>
      <w:r>
        <w:rPr>
          <w:sz w:val="24"/>
        </w:rPr>
        <w:t xml:space="preserve">ПАЗС - передвижная автозаправочная станция жидкого моторного топлива;</w:t>
      </w:r>
    </w:p>
    <w:p>
      <w:pPr>
        <w:pStyle w:val="0"/>
        <w:spacing w:before="240" w:lineRule="auto"/>
        <w:ind w:firstLine="540"/>
        <w:jc w:val="both"/>
      </w:pPr>
      <w:r>
        <w:rPr>
          <w:sz w:val="24"/>
        </w:rPr>
        <w:t xml:space="preserve">СПГ - сжиженный природный газ марки Б по </w:t>
      </w:r>
      <w:hyperlink w:history="0" r:id="rId37" w:tooltip="&quot;ГОСТ 34894-2022. Межгосударственный стандарт. Газ природный сжиженный. Технические условия&quot; (введен в действие Приказом Росстандарта от 07.10.2022 N 1079-ст) {КонсультантПлюс}">
        <w:r>
          <w:rPr>
            <w:sz w:val="24"/>
            <w:color w:val="0000ff"/>
          </w:rPr>
          <w:t xml:space="preserve">ГОСТ 34894-2022</w:t>
        </w:r>
      </w:hyperlink>
      <w:r>
        <w:rPr>
          <w:sz w:val="24"/>
        </w:rPr>
        <w:t xml:space="preserve">;</w:t>
      </w:r>
    </w:p>
    <w:p>
      <w:pPr>
        <w:pStyle w:val="0"/>
        <w:spacing w:before="240" w:lineRule="auto"/>
        <w:ind w:firstLine="540"/>
        <w:jc w:val="both"/>
      </w:pPr>
      <w:r>
        <w:rPr>
          <w:sz w:val="24"/>
        </w:rPr>
        <w:t xml:space="preserve">СУГ - сжиженные углеводородные газы марок ПБА, ПА по </w:t>
      </w:r>
      <w:hyperlink w:history="0" r:id="rId38" w:tooltip="&quot;ГОСТ Р 52087-2018. Национальный стандарт Российской Федерации. Газы углеводородные сжиженные топливные. Технические условия&quot; (утв. и введен в действие Приказом Росстандарта от 29.03.2018 N 164-ст) ------------ Утратил силу или отменен {КонсультантПлюс}">
        <w:r>
          <w:rPr>
            <w:sz w:val="24"/>
            <w:color w:val="0000ff"/>
          </w:rPr>
          <w:t xml:space="preserve">ГОСТ Р 52087-2018</w:t>
        </w:r>
      </w:hyperlink>
      <w:r>
        <w:rPr>
          <w:sz w:val="24"/>
        </w:rPr>
        <w:t xml:space="preserve">;</w:t>
      </w:r>
    </w:p>
    <w:p>
      <w:pPr>
        <w:pStyle w:val="0"/>
        <w:spacing w:before="240" w:lineRule="auto"/>
        <w:ind w:firstLine="540"/>
        <w:jc w:val="both"/>
      </w:pPr>
      <w:r>
        <w:rPr>
          <w:sz w:val="24"/>
        </w:rPr>
        <w:t xml:space="preserve">Территория населенных пунктов - территория поселений и городских округов;</w:t>
      </w:r>
    </w:p>
    <w:p>
      <w:pPr>
        <w:pStyle w:val="0"/>
        <w:spacing w:before="240" w:lineRule="auto"/>
        <w:ind w:firstLine="540"/>
        <w:jc w:val="both"/>
      </w:pPr>
      <w:r>
        <w:rPr>
          <w:sz w:val="24"/>
        </w:rPr>
        <w:t xml:space="preserve">ТРК - топливораздаточная колонка</w:t>
      </w:r>
    </w:p>
    <w:p>
      <w:pPr>
        <w:pStyle w:val="0"/>
        <w:ind w:firstLine="540"/>
        <w:jc w:val="both"/>
      </w:pPr>
      <w:r>
        <w:rPr>
          <w:sz w:val="24"/>
        </w:rPr>
      </w:r>
    </w:p>
    <w:p>
      <w:pPr>
        <w:pStyle w:val="2"/>
        <w:outlineLvl w:val="1"/>
        <w:ind w:firstLine="540"/>
        <w:jc w:val="both"/>
      </w:pPr>
      <w:r>
        <w:rPr>
          <w:sz w:val="24"/>
        </w:rPr>
        <w:t xml:space="preserve">5 Классификация АЗС</w:t>
      </w:r>
    </w:p>
    <w:p>
      <w:pPr>
        <w:pStyle w:val="0"/>
        <w:ind w:firstLine="540"/>
        <w:jc w:val="both"/>
      </w:pPr>
      <w:r>
        <w:rPr>
          <w:sz w:val="24"/>
        </w:rPr>
      </w:r>
    </w:p>
    <w:p>
      <w:pPr>
        <w:pStyle w:val="0"/>
        <w:ind w:firstLine="540"/>
        <w:jc w:val="both"/>
      </w:pPr>
      <w:r>
        <w:rPr>
          <w:sz w:val="24"/>
        </w:rPr>
        <w:t xml:space="preserve">(в ред. </w:t>
      </w:r>
      <w:hyperlink w:history="0" r:id="rId39"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ind w:firstLine="540"/>
        <w:jc w:val="both"/>
      </w:pPr>
      <w:r>
        <w:rPr>
          <w:sz w:val="24"/>
        </w:rPr>
      </w:r>
    </w:p>
    <w:p>
      <w:pPr>
        <w:pStyle w:val="0"/>
        <w:ind w:firstLine="540"/>
        <w:jc w:val="both"/>
      </w:pPr>
      <w:r>
        <w:rPr>
          <w:sz w:val="24"/>
        </w:rPr>
        <w:t xml:space="preserve">5.1 Многотопливная автозаправочная станция - АЗС, на территории которой предусмотрена заправка транспортных средств двумя и более видами топлива, среди которых допускается жидкое моторное топливо (бензин и дизельное топливо), СУГ (сжиженный пропан-бутан), КПГ (в том числе регазифицированный) и СПГ.</w:t>
      </w:r>
    </w:p>
    <w:p>
      <w:pPr>
        <w:pStyle w:val="0"/>
        <w:spacing w:before="240" w:lineRule="auto"/>
        <w:ind w:firstLine="540"/>
        <w:jc w:val="both"/>
      </w:pPr>
      <w:r>
        <w:rPr>
          <w:sz w:val="24"/>
        </w:rPr>
        <w:t xml:space="preserve">5.2 Топливозаправочный пункт - АЗС, размещаемая на территории предприятия и предназначенная для заправки только транспортных средств этого предприятия.</w:t>
      </w:r>
    </w:p>
    <w:p>
      <w:pPr>
        <w:pStyle w:val="0"/>
        <w:spacing w:before="240" w:lineRule="auto"/>
        <w:ind w:firstLine="540"/>
        <w:jc w:val="both"/>
      </w:pPr>
      <w:r>
        <w:rPr>
          <w:sz w:val="24"/>
        </w:rPr>
        <w:t xml:space="preserve">5.3 Традиционная автозаправочная станция - АЗС, технологическая система которой предназначена для заправки транспортных средств только жидким моторным топливом и характеризуется подземным расположением резервуаров и их разнесением с ТРК.</w:t>
      </w:r>
    </w:p>
    <w:p>
      <w:pPr>
        <w:pStyle w:val="0"/>
        <w:spacing w:before="240" w:lineRule="auto"/>
        <w:ind w:firstLine="540"/>
        <w:jc w:val="both"/>
      </w:pPr>
      <w:r>
        <w:rPr>
          <w:sz w:val="24"/>
        </w:rPr>
        <w:t xml:space="preserve">5.4 Блочная автозаправочная станция - АЗС, технологическая система которой предназначена для заправки транспортных средств только жидким моторным топливом и характеризуется подземным расположением резервуаров и размещением ТРК над блоком хранения топлива, выполненным как единое заводское изделие.</w:t>
      </w:r>
    </w:p>
    <w:p>
      <w:pPr>
        <w:pStyle w:val="0"/>
        <w:spacing w:before="240" w:lineRule="auto"/>
        <w:ind w:firstLine="540"/>
        <w:jc w:val="both"/>
      </w:pPr>
      <w:r>
        <w:rPr>
          <w:sz w:val="24"/>
        </w:rPr>
        <w:t xml:space="preserve">5.5 Модульная автозаправочная станция - АЗС, технологическая система которой предназначена для заправки транспортных средств только жидким моторным топливом и характеризуется надземным расположением резервуаров и разнесением ТРК и контейнера хранения топлива, выполненного как единое заводское изделие.</w:t>
      </w:r>
    </w:p>
    <w:p>
      <w:pPr>
        <w:pStyle w:val="0"/>
        <w:spacing w:before="240" w:lineRule="auto"/>
        <w:ind w:firstLine="540"/>
        <w:jc w:val="both"/>
      </w:pPr>
      <w:r>
        <w:rPr>
          <w:sz w:val="24"/>
        </w:rPr>
        <w:t xml:space="preserve">5.6 Контейнерная автозаправочная станция - АЗС, технологическая система которой предназначена для заправки транспортных средств только жидким моторным топливом и характеризуется надземным расположением резервуаров и размещением ТРК в контейнере хранения топлива, выполненном как единое заводское изделие.</w:t>
      </w:r>
    </w:p>
    <w:p>
      <w:pPr>
        <w:pStyle w:val="0"/>
        <w:spacing w:before="240" w:lineRule="auto"/>
        <w:ind w:firstLine="540"/>
        <w:jc w:val="both"/>
      </w:pPr>
      <w:r>
        <w:rPr>
          <w:sz w:val="24"/>
        </w:rPr>
        <w:t xml:space="preserve">5.7 Передвижная автозаправочная станция жидкого моторного топлива (ПАЗС) - АЗС, предназначенная в том числе для розничной продажи только жидкого моторного топлива, технологическая система которой установлена на автомобильном шасси, прицепе или полуприцепе и выполнена как единое заводское изделие.</w:t>
      </w:r>
    </w:p>
    <w:p>
      <w:pPr>
        <w:pStyle w:val="0"/>
        <w:spacing w:before="240" w:lineRule="auto"/>
        <w:ind w:firstLine="540"/>
        <w:jc w:val="both"/>
      </w:pPr>
      <w:r>
        <w:rPr>
          <w:sz w:val="24"/>
        </w:rPr>
        <w:t xml:space="preserve">5.8 Автомобильная газонаполнительная компрессорная станция (АГНКС) - АЗС, технологическая система которой предназначена только для заправки баллонов топливной системы транспортных средств, а также сосудов аккумулятора газа ПАГЗ (МЭГК) КПГ.</w:t>
      </w:r>
    </w:p>
    <w:p>
      <w:pPr>
        <w:pStyle w:val="0"/>
        <w:spacing w:before="240" w:lineRule="auto"/>
        <w:ind w:firstLine="540"/>
        <w:jc w:val="both"/>
      </w:pPr>
      <w:r>
        <w:rPr>
          <w:sz w:val="24"/>
        </w:rPr>
        <w:t xml:space="preserve">5.9 Автомобильная газонаполнительная станция водорода - АЗС, технологическая система которой предназначена только для заправки баллонов топливной системы транспортных средств КВ.</w:t>
      </w:r>
    </w:p>
    <w:p>
      <w:pPr>
        <w:pStyle w:val="0"/>
        <w:spacing w:before="240" w:lineRule="auto"/>
        <w:ind w:firstLine="540"/>
        <w:jc w:val="both"/>
      </w:pPr>
      <w:r>
        <w:rPr>
          <w:sz w:val="24"/>
        </w:rPr>
        <w:t xml:space="preserve">5.10 Автомобильная газозаправочная станция (АГЗС) - АЗС, технологическая система которой предназначена только для заправки баллонов топливной системы транспортных средств СУГ.</w:t>
      </w:r>
    </w:p>
    <w:p>
      <w:pPr>
        <w:pStyle w:val="0"/>
        <w:spacing w:before="240" w:lineRule="auto"/>
        <w:ind w:firstLine="540"/>
        <w:jc w:val="both"/>
      </w:pPr>
      <w:r>
        <w:rPr>
          <w:sz w:val="24"/>
        </w:rPr>
        <w:t xml:space="preserve">5.11 Передвижная автомобильная газонаполнительная станция - АЗС, технологическая система которой предназначена только для заправки баллонов топливной системы транспортных средств КПГ и характеризуется наличием совмещенного блока транспортировки и хранения КПГ, выполненного как единое заводское изделие.</w:t>
      </w:r>
    </w:p>
    <w:p>
      <w:pPr>
        <w:pStyle w:val="0"/>
        <w:spacing w:before="240" w:lineRule="auto"/>
        <w:ind w:firstLine="540"/>
        <w:jc w:val="both"/>
      </w:pPr>
      <w:r>
        <w:rPr>
          <w:sz w:val="24"/>
        </w:rPr>
        <w:t xml:space="preserve">5.12 Передвижная автомобильная газонаполнительная станция водорода - АЗС, технологическая система которой предназначена только для заправки баллонов топливной системы транспортных средств КВ и характеризуется наличием совмещенного блока транспортировки, хранения и выдачи (заправки) КВ, выполненного как единое заводское изделие.</w:t>
      </w:r>
    </w:p>
    <w:p>
      <w:pPr>
        <w:pStyle w:val="0"/>
        <w:spacing w:before="240" w:lineRule="auto"/>
        <w:ind w:firstLine="540"/>
        <w:jc w:val="both"/>
      </w:pPr>
      <w:r>
        <w:rPr>
          <w:sz w:val="24"/>
        </w:rPr>
        <w:t xml:space="preserve">5.13 Передвижная автомобильная газозаправочная станция - АГЗС, технологическая система которой характеризуется наличием совмещенного блока транспортировки и хранения СУГ, выполненного как единое заводское изделие.</w:t>
      </w:r>
    </w:p>
    <w:p>
      <w:pPr>
        <w:pStyle w:val="0"/>
        <w:spacing w:before="240" w:lineRule="auto"/>
        <w:ind w:firstLine="540"/>
        <w:jc w:val="both"/>
      </w:pPr>
      <w:r>
        <w:rPr>
          <w:sz w:val="24"/>
        </w:rPr>
        <w:t xml:space="preserve">5.14 Криогенная автозаправочная станция (КриоАЗС) - АЗС, технологическая система которой предназначена только для заправки криогенных баков транспортных средств СПГ и/или баллонов топливной системы транспортных средств КПГ, получаемыми на станции путем регазификации СПГ.</w:t>
      </w:r>
    </w:p>
    <w:p>
      <w:pPr>
        <w:pStyle w:val="0"/>
        <w:spacing w:before="240" w:lineRule="auto"/>
        <w:ind w:firstLine="540"/>
        <w:jc w:val="both"/>
      </w:pPr>
      <w:r>
        <w:rPr>
          <w:sz w:val="24"/>
        </w:rPr>
        <w:t xml:space="preserve">5.15 Передвижная автомобильная КриоАЗС - КриоАЗС, технологическая система которой характеризуется наличием совмещенного блока транспортировки, хранения и регазификации СПГ (при возможности выдачи КПГ), выполненного как единое заводское изделие.</w:t>
      </w:r>
    </w:p>
    <w:p>
      <w:pPr>
        <w:pStyle w:val="0"/>
        <w:ind w:firstLine="540"/>
        <w:jc w:val="both"/>
      </w:pPr>
      <w:r>
        <w:rPr>
          <w:sz w:val="24"/>
        </w:rPr>
      </w:r>
    </w:p>
    <w:p>
      <w:pPr>
        <w:pStyle w:val="2"/>
        <w:outlineLvl w:val="1"/>
        <w:ind w:firstLine="540"/>
        <w:jc w:val="both"/>
      </w:pPr>
      <w:r>
        <w:rPr>
          <w:sz w:val="24"/>
        </w:rPr>
        <w:t xml:space="preserve">6. Общие требования</w:t>
      </w:r>
    </w:p>
    <w:p>
      <w:pPr>
        <w:pStyle w:val="0"/>
        <w:jc w:val="both"/>
      </w:pPr>
      <w:r>
        <w:rPr>
          <w:sz w:val="24"/>
        </w:rPr>
      </w:r>
    </w:p>
    <w:p>
      <w:pPr>
        <w:pStyle w:val="0"/>
        <w:ind w:firstLine="540"/>
        <w:jc w:val="both"/>
      </w:pPr>
      <w:r>
        <w:rPr>
          <w:sz w:val="24"/>
        </w:rPr>
        <w:t xml:space="preserve">6.1. При проектировании АЗС (за исключением КриоАЗС) следует предусматривать применение серийно выпускаемых технологических систем АЗС, имеющих техническую документацию.</w:t>
      </w:r>
    </w:p>
    <w:p>
      <w:pPr>
        <w:pStyle w:val="0"/>
        <w:jc w:val="both"/>
      </w:pPr>
      <w:r>
        <w:rPr>
          <w:sz w:val="24"/>
        </w:rPr>
        <w:t xml:space="preserve">(в ред. </w:t>
      </w:r>
      <w:hyperlink w:history="0" r:id="rId4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 проектировании, строительстве и эксплуатации КриоАЗС следует предусматривать применение технологических систем АЗС, имеющих техническую документацию. Технологическое оборудование КриоАЗС должно отвечать требованиям настоящего свода правил и иметь документы об оценке соответствия требованиям технических регламентов. Строительство и проведение приемо-сдаточных работ проводится в соответствии с законодательством о градостроительной деятельности.</w:t>
      </w:r>
    </w:p>
    <w:p>
      <w:pPr>
        <w:pStyle w:val="0"/>
        <w:jc w:val="both"/>
      </w:pPr>
      <w:r>
        <w:rPr>
          <w:sz w:val="24"/>
        </w:rPr>
        <w:t xml:space="preserve">(абзац введен </w:t>
      </w:r>
      <w:hyperlink w:history="0" r:id="rId4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6.2. Техническая документация на технологическую систему АЗС должна содержать требования к технологическому оборудованию, зданиям и сооружениям АЗС, их пожаробезопасной эксплуатации (в том числе к проведению регламентных и ремонтных работ, действиям персонала в случае возникновения пожароопасных ситуаций и пожаров), сведения о конструкции технологической системы, технологических параметрах, организационно-технических условиях интеграции с технологически связанными производственными объектами (при наличии), сроке службы и гарантийных обязательствах поставщика технологической системы АЗС. Требования должны быть сформулированы с учетом специфики используемого технологического оборудования.</w:t>
      </w:r>
    </w:p>
    <w:p>
      <w:pPr>
        <w:pStyle w:val="0"/>
        <w:spacing w:before="240" w:lineRule="auto"/>
        <w:ind w:firstLine="540"/>
        <w:jc w:val="both"/>
      </w:pPr>
      <w:r>
        <w:rPr>
          <w:sz w:val="24"/>
        </w:rPr>
        <w:t xml:space="preserve">6.3. При размещении АЗС минимальные расстояния следует определять от стенок резервуаров (сосудов) для хранения топлива, наземного и надземного оборудования, в котором обращается топливо и/или его пары, корпуса ТРК и раздаточных колонок СУГ, СПГ или КПГ, границ площадок для АЦ и технологических колодцев, от стенок технологического оборудования очистных сооружений, от границ площадок для стоянки транспортных средств и от наружных стен и конструкций зданий АЗС. Расстояния от зданий (помещений) для персонала АЗС, котельной, сервисного обслуживания водителей, пассажиров и их транспортных средств до объектов, не относящихся к АЗС, настоящим сводом правил не регламентируются.</w:t>
      </w:r>
    </w:p>
    <w:p>
      <w:pPr>
        <w:pStyle w:val="0"/>
        <w:jc w:val="both"/>
      </w:pPr>
      <w:r>
        <w:rPr>
          <w:sz w:val="24"/>
        </w:rPr>
        <w:t xml:space="preserve">(в ред. </w:t>
      </w:r>
      <w:hyperlink w:history="0" r:id="rId4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 размещении АЗС минимальные расстояния следует определять:</w:t>
      </w:r>
    </w:p>
    <w:p>
      <w:pPr>
        <w:pStyle w:val="0"/>
        <w:jc w:val="both"/>
      </w:pPr>
      <w:r>
        <w:rPr>
          <w:sz w:val="24"/>
        </w:rPr>
        <w:t xml:space="preserve">(в ред. </w:t>
      </w:r>
      <w:hyperlink w:history="0" r:id="rId4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до границ земельных участков детских дошкольных учреждений, общеобразовательных школ, школ-интернатов, лечебных учреждений со стационаром, одноквартирных жилых зданий, а для жилых и общественных зданий другого назначения - до стен, окон и дверей зданий;</w:t>
      </w:r>
    </w:p>
    <w:p>
      <w:pPr>
        <w:pStyle w:val="0"/>
        <w:spacing w:before="240" w:lineRule="auto"/>
        <w:ind w:firstLine="540"/>
        <w:jc w:val="both"/>
      </w:pPr>
      <w:r>
        <w:rPr>
          <w:sz w:val="24"/>
        </w:rPr>
        <w:t xml:space="preserve">до ближайшей стены (перегородки) помещения (при расположении помещений различного функционального назначения в одном здании).</w:t>
      </w:r>
    </w:p>
    <w:p>
      <w:pPr>
        <w:pStyle w:val="0"/>
        <w:spacing w:before="240" w:lineRule="auto"/>
        <w:ind w:firstLine="540"/>
        <w:jc w:val="both"/>
      </w:pPr>
      <w:r>
        <w:rPr>
          <w:sz w:val="24"/>
        </w:rPr>
        <w:t xml:space="preserve">Минимальные расстояния от АЗС до автомобильных дорог и улиц населенных пунктов определяются в зависимости от их категории, а именно:</w:t>
      </w:r>
    </w:p>
    <w:p>
      <w:pPr>
        <w:pStyle w:val="0"/>
        <w:spacing w:before="240" w:lineRule="auto"/>
        <w:ind w:firstLine="540"/>
        <w:jc w:val="both"/>
      </w:pPr>
      <w:r>
        <w:rPr>
          <w:sz w:val="24"/>
        </w:rPr>
        <w:t xml:space="preserve">до магистральных дорог и магистральных улиц общегородского значения как для автомобильных дорог общей сети I, II и III категорий;</w:t>
      </w:r>
    </w:p>
    <w:p>
      <w:pPr>
        <w:pStyle w:val="0"/>
        <w:spacing w:before="240" w:lineRule="auto"/>
        <w:ind w:firstLine="540"/>
        <w:jc w:val="both"/>
      </w:pPr>
      <w:r>
        <w:rPr>
          <w:sz w:val="24"/>
        </w:rPr>
        <w:t xml:space="preserve">до поселковых дорог, магистральных улиц районного значения, главных улиц и основных улиц в жилой застройке сельских поселений как для автомобильных дорог общей сети IV и V категорий;</w:t>
      </w:r>
    </w:p>
    <w:p>
      <w:pPr>
        <w:pStyle w:val="0"/>
        <w:spacing w:before="240" w:lineRule="auto"/>
        <w:ind w:firstLine="540"/>
        <w:jc w:val="both"/>
      </w:pPr>
      <w:r>
        <w:rPr>
          <w:sz w:val="24"/>
        </w:rPr>
        <w:t xml:space="preserve">до остальных дорог и улиц - не нормируются.</w:t>
      </w:r>
    </w:p>
    <w:p>
      <w:pPr>
        <w:pStyle w:val="0"/>
        <w:spacing w:before="240" w:lineRule="auto"/>
        <w:ind w:firstLine="540"/>
        <w:jc w:val="both"/>
      </w:pPr>
      <w:r>
        <w:rPr>
          <w:sz w:val="24"/>
        </w:rPr>
        <w:t xml:space="preserve">6.4. Не допускается размещение АЗС на путепроводах и под ними.</w:t>
      </w:r>
    </w:p>
    <w:p>
      <w:pPr>
        <w:pStyle w:val="0"/>
        <w:spacing w:before="240" w:lineRule="auto"/>
        <w:ind w:firstLine="540"/>
        <w:jc w:val="both"/>
      </w:pPr>
      <w:r>
        <w:rPr>
          <w:sz w:val="24"/>
        </w:rPr>
        <w:t xml:space="preserve">6.5. На АЗС могут размещаться здания, сооружения и помещения для оборудования технологической системы АЗС, котельной, а также административные и бытовые здания (помещения) для персонала АЗС: операторная, администрации, приема пищи, службы охраны, санузлы, кладовые для спецодежды, инструмента, запасных деталей, приборов и оборудования.</w:t>
      </w:r>
    </w:p>
    <w:p>
      <w:pPr>
        <w:pStyle w:val="0"/>
        <w:spacing w:before="240" w:lineRule="auto"/>
        <w:ind w:firstLine="540"/>
        <w:jc w:val="both"/>
      </w:pPr>
      <w:r>
        <w:rPr>
          <w:sz w:val="24"/>
        </w:rPr>
        <w:t xml:space="preserve">На территории многотопливных АЗС, АГНКС, КриоАЗС с двухоболочечными резервуарами СПГ или АГЗС с двустенными резервуарами, а также на территории АЗС с подземными резервуарами для хранения жидкого моторного топлива допускается размещать здания (помещения) сервисного обслуживания пассажиров, водителей и их транспортных средств. Для сервисного обслуживания пассажиров и водителей могут предусматриваться магазин сопутствующих товаров, кафе и санузлы; для сервисного обслуживания транспортных средств - посты технического обслуживания и мойки автомобилей.</w:t>
      </w:r>
    </w:p>
    <w:p>
      <w:pPr>
        <w:pStyle w:val="0"/>
        <w:spacing w:before="240" w:lineRule="auto"/>
        <w:ind w:firstLine="540"/>
        <w:jc w:val="both"/>
      </w:pPr>
      <w:r>
        <w:rPr>
          <w:sz w:val="24"/>
        </w:rPr>
        <w:t xml:space="preserve">На территории АЗС не допускается размещать наружные установки категории АН, БН, ВН и ГН, не относящиеся к технологической системе АЗС или котельной АЗС.</w:t>
      </w:r>
    </w:p>
    <w:p>
      <w:pPr>
        <w:pStyle w:val="0"/>
        <w:spacing w:before="240" w:lineRule="auto"/>
        <w:ind w:firstLine="540"/>
        <w:jc w:val="both"/>
      </w:pPr>
      <w:r>
        <w:rPr>
          <w:sz w:val="24"/>
        </w:rPr>
        <w:t xml:space="preserve">На АГНСВ, эксплуатирующейся в качестве топливозаправочного пункта, могут применяться либо технологическая система передвижной АГНСВ, либо только стационарно установленные на островках безопасности раздаточные колонки, КВ к которым подается по трубопроводам от оборудования, размещаемого на других технологических площадках предприятия, в состав которых этот топливозаправочный пункт входит.</w:t>
      </w:r>
    </w:p>
    <w:p>
      <w:pPr>
        <w:pStyle w:val="0"/>
        <w:jc w:val="both"/>
      </w:pPr>
      <w:r>
        <w:rPr>
          <w:sz w:val="24"/>
        </w:rPr>
        <w:t xml:space="preserve">(абзац введен </w:t>
      </w:r>
      <w:hyperlink w:history="0" r:id="rId44"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w:t>
        </w:r>
      </w:hyperlink>
      <w:r>
        <w:rPr>
          <w:sz w:val="24"/>
        </w:rPr>
        <w:t xml:space="preserve"> N 2, утв. Приказом МЧС России от 21.06.2024 N 505)</w:t>
      </w:r>
    </w:p>
    <w:bookmarkStart w:id="203" w:name="P203"/>
    <w:bookmarkEnd w:id="203"/>
    <w:p>
      <w:pPr>
        <w:pStyle w:val="0"/>
        <w:spacing w:before="240" w:lineRule="auto"/>
        <w:ind w:firstLine="540"/>
        <w:jc w:val="both"/>
      </w:pPr>
      <w:r>
        <w:rPr>
          <w:sz w:val="24"/>
        </w:rPr>
        <w:t xml:space="preserve">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теплоизолирующую способность в течение времени и в условиях эксплуатации резервуара (трубопровода), при воздействии на нее воды во время тушения пожара, а также в течение 60 минут огневого воздействия на нее возможного пожара.</w:t>
      </w:r>
    </w:p>
    <w:p>
      <w:pPr>
        <w:pStyle w:val="0"/>
        <w:jc w:val="both"/>
      </w:pPr>
      <w:r>
        <w:rPr>
          <w:sz w:val="24"/>
        </w:rPr>
        <w:t xml:space="preserve">(в ред. </w:t>
      </w:r>
      <w:hyperlink w:history="0" r:id="rId45"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Пример - Указанное требование допускается выполнять следующим образом.</w:t>
      </w:r>
    </w:p>
    <w:p>
      <w:pPr>
        <w:pStyle w:val="0"/>
        <w:spacing w:before="240" w:lineRule="auto"/>
        <w:ind w:firstLine="540"/>
        <w:jc w:val="both"/>
      </w:pPr>
      <w:r>
        <w:rPr>
          <w:sz w:val="24"/>
        </w:rPr>
        <w:t xml:space="preserve">Для защиты от воздействия пожара резервуаров (трубопроводов), полностью или частично расположенных над поверхностью земли, позволяющей приравнивать их к подземным, допускается применять поверхностную огнезащиту, выполненную из негорючих материалов и обеспечивающую целостность указанных резервуаров (трубопроводов) при воздействии на них возможного пожара в течение времени не менее 60 минут, а также работоспособность оборудования, необходимого для их безопасного опорожнения от топлива и его паров. Поверхностная огнезащита должна выполняться стойкой как к воздействию огня, так и к воздействию воды при тушении пожара.</w:t>
      </w:r>
    </w:p>
    <w:p>
      <w:pPr>
        <w:pStyle w:val="0"/>
        <w:spacing w:before="240" w:lineRule="auto"/>
        <w:ind w:firstLine="540"/>
        <w:jc w:val="both"/>
      </w:pPr>
      <w:r>
        <w:rPr>
          <w:sz w:val="24"/>
        </w:rPr>
        <w:t xml:space="preserve">6.7. На территории АЗС не допускается размещение помещений категорий А, Б (за исключением помещений для оборудования, которое относится к технологической системе АЗС и не является резервуарами хранения жидкого моторного топлива, СУГ и СПГ) и Г (за исключением котельной).</w:t>
      </w:r>
    </w:p>
    <w:p>
      <w:pPr>
        <w:pStyle w:val="0"/>
        <w:jc w:val="both"/>
      </w:pPr>
      <w:r>
        <w:rPr>
          <w:sz w:val="24"/>
        </w:rPr>
        <w:t xml:space="preserve">(в ред. </w:t>
      </w:r>
      <w:hyperlink w:history="0" r:id="rId4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В помещениях сервисного обслуживания транспортных средств не допускается предусматривать технологические процессы, в которых обращаются горючие газы, легковоспламеняющиеся жидкости, а также горючие пыли.</w:t>
      </w:r>
    </w:p>
    <w:p>
      <w:pPr>
        <w:pStyle w:val="0"/>
        <w:spacing w:before="240" w:lineRule="auto"/>
        <w:ind w:firstLine="540"/>
        <w:jc w:val="both"/>
      </w:pPr>
      <w:r>
        <w:rPr>
          <w:sz w:val="24"/>
        </w:rPr>
        <w:t xml:space="preserve">6.8. При расположении помещений различного функционального назначения (помещение сервисного обслуживания водителей и пассажиров, помещение сервисного обслуживания транспортных средств или помещение для персонала АЗС) в одном здании минимальные расстояния определяются до ближайшей перегородки, стены и проема в стене помещения как до здания того же функционального назначения. При этом расстояния от зданий (помещений) для персонала АЗС, сервисного обслуживания водителей, пассажиров и их транспортных средств до объектов, не относящихся к АЗС, определяются по другим нормативным документам по пожарной безопасности.</w:t>
      </w:r>
    </w:p>
    <w:p>
      <w:pPr>
        <w:pStyle w:val="0"/>
        <w:spacing w:before="240" w:lineRule="auto"/>
        <w:ind w:firstLine="540"/>
        <w:jc w:val="both"/>
      </w:pPr>
      <w:r>
        <w:rPr>
          <w:sz w:val="24"/>
        </w:rPr>
        <w:t xml:space="preserve">6.9. Здания и сооружения, расположенные на территории АЗС, должны быть одноэтажные, I, II или III степени огнестойкости класса С0 или С1, или IV степени огнестойкости класса С0. Допускается проектирование двухэтажных зданий I или II степени огнестойкости класса С0 общей площадью не более 150 м2, в которых отсутствуют складские помещения для хранения легковоспламеняющихся и горючих жидкостей.</w:t>
      </w:r>
    </w:p>
    <w:p>
      <w:pPr>
        <w:pStyle w:val="0"/>
        <w:spacing w:before="240" w:lineRule="auto"/>
        <w:ind w:firstLine="540"/>
        <w:jc w:val="both"/>
      </w:pPr>
      <w:r>
        <w:rPr>
          <w:sz w:val="24"/>
        </w:rPr>
        <w:t xml:space="preserve">Опоры и несущие конструкции эстакад для прокладки трубопроводов с топливом и его парами должны изготавливаться из негорючих материалов и иметь предел огнестойкости не менее R60. В случае прокладки трубопроводов СПГ указанные опоры и конструкции должны сохранять свои функциональные свойства при воздействии на них аварийных проливов криогенных жидкостей.</w:t>
      </w:r>
    </w:p>
    <w:p>
      <w:pPr>
        <w:pStyle w:val="0"/>
        <w:spacing w:before="240" w:lineRule="auto"/>
        <w:ind w:firstLine="540"/>
        <w:jc w:val="both"/>
      </w:pPr>
      <w:r>
        <w:rPr>
          <w:sz w:val="24"/>
        </w:rPr>
        <w:t xml:space="preserve">6.10. На территории АЗС допускается предусматривать котельные только для нужд АЗС. При проектировании котельной АЗС следует предусматривать автоматизированные водогрейные котлы с температурой теплоносителя не выше 80 °C. Следует применять электрические котлы или котлы, предназначенные для работы на дизельном топливе (за исключением АЗС с надземными резервуарами для хранения жидкого моторного топлива, АГЗС с одностенными резервуарами и КриоАЗС с резервуарами СПГ в кожухе и АГНСВ) с температурой вспышки более 45 °C.</w:t>
      </w:r>
    </w:p>
    <w:p>
      <w:pPr>
        <w:pStyle w:val="0"/>
        <w:jc w:val="both"/>
      </w:pPr>
      <w:r>
        <w:rPr>
          <w:sz w:val="24"/>
        </w:rPr>
        <w:t xml:space="preserve">(в ред. </w:t>
      </w:r>
      <w:hyperlink w:history="0" r:id="rId47"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При проектировании котельных многотопливных АЗС, АГНКС, КриоАЗС и АГЗС (кроме АГЗС с одностенными резервуарами) допускается применение автоматизированных водогрейных котлов с использованием в качестве топлива природного газа, в том числе, регазифицированного.</w:t>
      </w:r>
    </w:p>
    <w:p>
      <w:pPr>
        <w:pStyle w:val="0"/>
        <w:spacing w:before="240" w:lineRule="auto"/>
        <w:ind w:firstLine="540"/>
        <w:jc w:val="both"/>
      </w:pPr>
      <w:r>
        <w:rPr>
          <w:sz w:val="24"/>
        </w:rPr>
        <w:t xml:space="preserve">Вывод дымовых газов в атмосферу должен быть предусмотрен через дымовую трубу, выполненную из негорючих материалов и размещаемую с наружной стороны стены здания котельной, обращенной не в сторону оборудования технологической системы АЗС и площадки для АЦ. Дымовая труба должна оснащаться искрогасителем, установленным на выходе дымовых газов.</w:t>
      </w:r>
    </w:p>
    <w:p>
      <w:pPr>
        <w:pStyle w:val="0"/>
        <w:spacing w:before="240" w:lineRule="auto"/>
        <w:ind w:firstLine="540"/>
        <w:jc w:val="both"/>
      </w:pPr>
      <w:r>
        <w:rPr>
          <w:sz w:val="24"/>
        </w:rPr>
        <w:t xml:space="preserve">6.11. Котельные на дизельном топливе должны размещаться в отдельно стоящем одноэтажном здании I или II степени огнестойкости классов С0, С1. Котельные на дизельном топливе допускается пристраивать к отдельно стоящим зданиям I или II степени огнестойкости классов С0, С1, предназначенным для персонала АЗС или мойки транспортных средств.</w:t>
      </w:r>
    </w:p>
    <w:p>
      <w:pPr>
        <w:pStyle w:val="0"/>
        <w:spacing w:before="240" w:lineRule="auto"/>
        <w:ind w:firstLine="540"/>
        <w:jc w:val="both"/>
      </w:pPr>
      <w:r>
        <w:rPr>
          <w:sz w:val="24"/>
        </w:rPr>
        <w:t xml:space="preserve">Оборудование хранения и линии подачи дизельного топлива к котлу должно отвечать требованиям настоящего свода правил, предъявляемым к технологическим системам АЗС с подземным расположением резервуаров для хранения жидкого моторного топлива. При этом с наружной стороны здания котельной на трубопроводе подачи топлива к котлу устанавливается запорная арматура и обратный клапан, закрывающийся при отключении насоса указанной линии.</w:t>
      </w:r>
    </w:p>
    <w:p>
      <w:pPr>
        <w:pStyle w:val="0"/>
        <w:spacing w:before="240" w:lineRule="auto"/>
        <w:ind w:firstLine="540"/>
        <w:jc w:val="both"/>
      </w:pPr>
      <w:r>
        <w:rPr>
          <w:sz w:val="24"/>
        </w:rPr>
        <w:t xml:space="preserve">6.12. На территории АЗС не допускается устройство подземных воздушных пространств (тоннели, каналы), не предназначенных для обращения в них топлива и/или его паров, а также подземных помещений и подпольных пространств, в которые возможно поступление топлива и/или его паров в результате аварийной ситуации. Прокладка трубопроводов с топливом под зданиями АЗС и со стороны эвакуационных выходов не допускается.</w:t>
      </w:r>
    </w:p>
    <w:p>
      <w:pPr>
        <w:pStyle w:val="0"/>
        <w:spacing w:before="240" w:lineRule="auto"/>
        <w:ind w:firstLine="540"/>
        <w:jc w:val="both"/>
      </w:pPr>
      <w:r>
        <w:rPr>
          <w:sz w:val="24"/>
        </w:rPr>
        <w:t xml:space="preserve">6.13. Помещения для персонала АЗС, включая операторную, допускается предусматривать в зданиях сервисного обслуживания водителей, пассажиров или их транспортных средств. При этом указанные помещения должны быть выполнены в конструкциях, соответствующих степени огнестойкости и классу конструктивной пожарной опасности основного здания, отделяться от помещений сервисного обслуживания водителей, пассажиров или их транспортных средств противопожарными перегородками первого типа и перекрытиями третьего типа.</w:t>
      </w:r>
    </w:p>
    <w:p>
      <w:pPr>
        <w:pStyle w:val="0"/>
        <w:spacing w:before="240" w:lineRule="auto"/>
        <w:ind w:firstLine="540"/>
        <w:jc w:val="both"/>
      </w:pPr>
      <w:r>
        <w:rPr>
          <w:sz w:val="24"/>
        </w:rPr>
        <w:t xml:space="preserve">Допускается предусматривать место оператора в помещениях сервисного обслуживания водителей и пассажиров при условиях размещения кабелей электропитания электрических агрегатов технологической системы в специальном помещении электрической щитовой, управления работой технологической системы и обесточивания электропитания АЗС оператором посредством слаботочной системы управления, а также обеспечения возможности визуального контроля за технологическими операциями оператором АЗС.</w:t>
      </w:r>
    </w:p>
    <w:p>
      <w:pPr>
        <w:pStyle w:val="0"/>
        <w:spacing w:before="240" w:lineRule="auto"/>
        <w:ind w:firstLine="540"/>
        <w:jc w:val="both"/>
      </w:pPr>
      <w:r>
        <w:rPr>
          <w:sz w:val="24"/>
        </w:rPr>
        <w:t xml:space="preserve">6.14. Не допускается объединять в едином здании:</w:t>
      </w:r>
    </w:p>
    <w:p>
      <w:pPr>
        <w:pStyle w:val="0"/>
        <w:spacing w:before="240" w:lineRule="auto"/>
        <w:ind w:firstLine="540"/>
        <w:jc w:val="both"/>
      </w:pPr>
      <w:r>
        <w:rPr>
          <w:sz w:val="24"/>
        </w:rPr>
        <w:t xml:space="preserve">помещения для оборудования технологической системы АЗС категорий А, Б и В1 - В2 и помещения сервисного обслуживания транспортных средств, водителей и пассажиров;</w:t>
      </w:r>
    </w:p>
    <w:p>
      <w:pPr>
        <w:pStyle w:val="0"/>
        <w:spacing w:before="240" w:lineRule="auto"/>
        <w:ind w:firstLine="540"/>
        <w:jc w:val="both"/>
      </w:pPr>
      <w:r>
        <w:rPr>
          <w:sz w:val="24"/>
        </w:rPr>
        <w:t xml:space="preserve">помещения сервисного обслуживания транспортных средств (за исключением помещений механизированной мойки автомобилей, работающих на жидком моторном топливе) и помещения сервисного обслуживания водителей и пассажиров;</w:t>
      </w:r>
    </w:p>
    <w:p>
      <w:pPr>
        <w:pStyle w:val="0"/>
        <w:spacing w:before="240" w:lineRule="auto"/>
        <w:ind w:firstLine="540"/>
        <w:jc w:val="both"/>
      </w:pPr>
      <w:r>
        <w:rPr>
          <w:sz w:val="24"/>
        </w:rPr>
        <w:t xml:space="preserve">помещения магазина, в котором предусмотрена продажа товаров, содержащих легковоспламеняющиеся и горючие жидкости, и помещения общественного питания. В случае, если указанные товары размещены только в помещении кладовой, отделенной от помещений сервисного обслуживания водителей и пассажиров противопожарными перегородками первого типа, допускается размещать помещения магазина в едином здании с помещениями общественного питания.</w:t>
      </w:r>
    </w:p>
    <w:p>
      <w:pPr>
        <w:pStyle w:val="0"/>
        <w:spacing w:before="240" w:lineRule="auto"/>
        <w:ind w:firstLine="540"/>
        <w:jc w:val="both"/>
      </w:pPr>
      <w:r>
        <w:rPr>
          <w:sz w:val="24"/>
        </w:rPr>
        <w:t xml:space="preserve">6.15. В зданиях сервисного обслуживания транспортных средств допускается предусматривать не более трех постов технического обслуживания. Помещения различной функциональной пожарной опасности должны разделяться противопожарными перегородками первого типа.</w:t>
      </w:r>
    </w:p>
    <w:p>
      <w:pPr>
        <w:pStyle w:val="0"/>
        <w:spacing w:before="240" w:lineRule="auto"/>
        <w:ind w:firstLine="540"/>
        <w:jc w:val="both"/>
      </w:pPr>
      <w:r>
        <w:rPr>
          <w:sz w:val="24"/>
        </w:rPr>
        <w:t xml:space="preserve">При проектировании АЗС, предназначенных для размещения в населенных пунктах, допускается предусматривать помещения постов технического обслуживания только легковых автомобилей.</w:t>
      </w:r>
    </w:p>
    <w:p>
      <w:pPr>
        <w:pStyle w:val="0"/>
        <w:spacing w:before="240" w:lineRule="auto"/>
        <w:ind w:firstLine="540"/>
        <w:jc w:val="both"/>
      </w:pPr>
      <w:r>
        <w:rPr>
          <w:sz w:val="24"/>
        </w:rPr>
        <w:t xml:space="preserve">6.16. В зданиях АЗС запрещается предусматривать помещения для проведения огневых и сварочных работ.</w:t>
      </w:r>
    </w:p>
    <w:p>
      <w:pPr>
        <w:pStyle w:val="0"/>
        <w:spacing w:before="240" w:lineRule="auto"/>
        <w:ind w:firstLine="540"/>
        <w:jc w:val="both"/>
      </w:pPr>
      <w:r>
        <w:rPr>
          <w:sz w:val="24"/>
        </w:rPr>
        <w:t xml:space="preserve">6.17. Помещения категорий В1 - В3, а также кладовые магазина для хранения легковоспламеняющихся и горючих жидкостей следует размещать у наружных стен зданий с оконными проемами.</w:t>
      </w:r>
    </w:p>
    <w:p>
      <w:pPr>
        <w:pStyle w:val="0"/>
        <w:spacing w:before="240" w:lineRule="auto"/>
        <w:ind w:firstLine="540"/>
        <w:jc w:val="both"/>
      </w:pPr>
      <w:r>
        <w:rPr>
          <w:sz w:val="24"/>
        </w:rPr>
        <w:t xml:space="preserve">Смазочные масла (включая отработанные) должны храниться в емкостях общей вместимостью не более 1 м3, размещаемых либо подземно снаружи здания, либо в специальном помещении, отделенном от соседних помещений противопожарными перегородками первого типа и имеющем самостоятельный выход непосредственно наружу здания.</w:t>
      </w:r>
    </w:p>
    <w:p>
      <w:pPr>
        <w:pStyle w:val="0"/>
        <w:spacing w:before="240" w:lineRule="auto"/>
        <w:ind w:firstLine="540"/>
        <w:jc w:val="both"/>
      </w:pPr>
      <w:r>
        <w:rPr>
          <w:sz w:val="24"/>
        </w:rPr>
        <w:t xml:space="preserve">Допускается увеличивать общую вместимость указанных емкостей и производить заправку маслом транспортных средств на самостоятельных заправочных островках в случае, если оборудование для приема, хранения и выдачи смазочных масел и его размещение отвечает требованиям настоящего свода правил, предъявляемым к технологическим системам АЗС жидкого моторного топлива.</w:t>
      </w:r>
    </w:p>
    <w:p>
      <w:pPr>
        <w:pStyle w:val="0"/>
        <w:spacing w:before="240" w:lineRule="auto"/>
        <w:ind w:firstLine="540"/>
        <w:jc w:val="both"/>
      </w:pPr>
      <w:r>
        <w:rPr>
          <w:sz w:val="24"/>
        </w:rPr>
        <w:t xml:space="preserve">6.18. В случае, если выход из зданий АЗС расположен на расстоянии менее 15 м от площадок АЦ, заправочных островков, резервуаров (сосудов) для хранения топлива и размещенного вне зданий наземного и надземного оборудования, в котором обращаются горючие газы и/или жидкости, то следует предусмотреть дополнительный эвакуационный выход, размещаемый на расстоянии более 15 м от указанных выше сооружений и оборудования или в противоположную от них сторону.</w:t>
      </w:r>
    </w:p>
    <w:p>
      <w:pPr>
        <w:pStyle w:val="0"/>
        <w:spacing w:before="240" w:lineRule="auto"/>
        <w:ind w:firstLine="540"/>
        <w:jc w:val="both"/>
      </w:pPr>
      <w:r>
        <w:rPr>
          <w:sz w:val="24"/>
        </w:rPr>
        <w:t xml:space="preserve">6.19. Навесы должны быть выполнены из негорючих материалов. В покрытии (за исключением несущих конструкций) навесов высотой не менее 4 м над заправочными островками для легковых автомобилей допускается использование материалов группы горючести Г1 - Г2.</w:t>
      </w:r>
    </w:p>
    <w:p>
      <w:pPr>
        <w:pStyle w:val="0"/>
        <w:spacing w:before="240" w:lineRule="auto"/>
        <w:ind w:firstLine="540"/>
        <w:jc w:val="both"/>
      </w:pPr>
      <w:r>
        <w:rPr>
          <w:sz w:val="24"/>
        </w:rPr>
        <w:t xml:space="preserve">Устройство навесов над площадками для АЦ и над надземными резервуарами для хранения жидкого моторного топлива, СУГ и СПГ, сосудами для хранения КВ не допускается за исключением навесов на площадках слива СПГ из АЦ в зоне работы оператора, без перекрытия навесами АЦ и резервуаров.</w:t>
      </w:r>
    </w:p>
    <w:p>
      <w:pPr>
        <w:pStyle w:val="0"/>
        <w:jc w:val="both"/>
      </w:pPr>
      <w:r>
        <w:rPr>
          <w:sz w:val="24"/>
        </w:rPr>
        <w:t xml:space="preserve">(в ред. Изменений </w:t>
      </w:r>
      <w:hyperlink w:history="0" r:id="rId4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N 1</w:t>
        </w:r>
      </w:hyperlink>
      <w:r>
        <w:rPr>
          <w:sz w:val="24"/>
        </w:rPr>
        <w:t xml:space="preserve">, утв. Приказом МЧС России от 18.08.2023 N 842, </w:t>
      </w:r>
      <w:hyperlink w:history="0" r:id="rId49"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N 2</w:t>
        </w:r>
      </w:hyperlink>
      <w:r>
        <w:rPr>
          <w:sz w:val="24"/>
        </w:rPr>
        <w:t xml:space="preserve">, утв. Приказом МЧС России от 21.06.2024 N 505)</w:t>
      </w:r>
    </w:p>
    <w:p>
      <w:pPr>
        <w:pStyle w:val="0"/>
        <w:spacing w:before="240" w:lineRule="auto"/>
        <w:ind w:firstLine="540"/>
        <w:jc w:val="both"/>
      </w:pPr>
      <w:r>
        <w:rPr>
          <w:sz w:val="24"/>
        </w:rPr>
        <w:t xml:space="preserve">6.20. Технологические системы должны быть изготовлены и/или размещены таким образом, чтобы обеспечивались их целостность и работоспособность при воздействии на них возможных нагрузок (при движении и остановке транспортных средств, подвижках грунта, вибрации), определяемых проектом на АЗС.</w:t>
      </w:r>
    </w:p>
    <w:p>
      <w:pPr>
        <w:pStyle w:val="0"/>
        <w:spacing w:before="240" w:lineRule="auto"/>
        <w:ind w:firstLine="540"/>
        <w:jc w:val="both"/>
      </w:pPr>
      <w:r>
        <w:rPr>
          <w:sz w:val="24"/>
        </w:rPr>
        <w:t xml:space="preserve">6.21. Планировка территории АЗС (за исключением АГНКС) с учетом размещения на ее территории зданий, сооружений и технологического оборудования должна исключать возможность растекания аварийного пролива топлива как по территории АЗС, так и за ее пределы.</w:t>
      </w:r>
    </w:p>
    <w:p>
      <w:pPr>
        <w:pStyle w:val="0"/>
        <w:jc w:val="both"/>
      </w:pPr>
      <w:r>
        <w:rPr>
          <w:sz w:val="24"/>
        </w:rPr>
        <w:t xml:space="preserve">(в ред. </w:t>
      </w:r>
      <w:hyperlink w:history="0" r:id="rId5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На въезде и выезде с территории АЗС, осуществляющей заправку жидким моторным топливом, необходимо выполнять пологие участки высотой не менее 0,2 м от отметки участков, на которых предполагается размещение сооружений и технологического оборудования с обращением жидкого моторного топлива. На АЗС, на которых отсутствует заправка СУГ и СПГ, вместо указанных повышенных участков допускается предусматривать дренажные лотки, предотвращающие растекание аварийного пролива топлива за территорию АЗС и отводящие загрязненные нефтепродуктами атмосферные осадки в очистные сооружения.</w:t>
      </w:r>
    </w:p>
    <w:p>
      <w:pPr>
        <w:pStyle w:val="0"/>
        <w:jc w:val="both"/>
      </w:pPr>
      <w:r>
        <w:rPr>
          <w:sz w:val="24"/>
        </w:rPr>
        <w:t xml:space="preserve">(в ред. </w:t>
      </w:r>
      <w:hyperlink w:history="0" r:id="rId5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6.22. При оснащении АЗС очистными сооружениями для атмосферных осадков, загрязненных нефтепродуктами, эти сооружения должны отвечать следующим требованиям:</w:t>
      </w:r>
    </w:p>
    <w:p>
      <w:pPr>
        <w:pStyle w:val="0"/>
        <w:spacing w:before="240" w:lineRule="auto"/>
        <w:ind w:firstLine="540"/>
        <w:jc w:val="both"/>
      </w:pPr>
      <w:r>
        <w:rPr>
          <w:sz w:val="24"/>
        </w:rPr>
        <w:t xml:space="preserve">оборудование очистных сооружений, в свободное пространство которого могут поступать пары топлива, должно располагаться подземно;</w:t>
      </w:r>
    </w:p>
    <w:p>
      <w:pPr>
        <w:pStyle w:val="0"/>
        <w:spacing w:before="240" w:lineRule="auto"/>
        <w:ind w:firstLine="540"/>
        <w:jc w:val="both"/>
      </w:pPr>
      <w:r>
        <w:rPr>
          <w:sz w:val="24"/>
        </w:rPr>
        <w:t xml:space="preserve">емкости-накопители (при наличии) необходимо оснащать датчиками уровня, обеспечивающими подачу звукового и светового сигнала оператору АЗС при их номинальном заполнении;</w:t>
      </w:r>
    </w:p>
    <w:p>
      <w:pPr>
        <w:pStyle w:val="0"/>
        <w:spacing w:before="240" w:lineRule="auto"/>
        <w:ind w:firstLine="540"/>
        <w:jc w:val="both"/>
      </w:pPr>
      <w:r>
        <w:rPr>
          <w:sz w:val="24"/>
        </w:rPr>
        <w:t xml:space="preserve">оборудование для опорожнения емкостей-накопителей от нефтепродуктов должно обеспечивать осуществление этой операции закрытым способом;</w:t>
      </w:r>
    </w:p>
    <w:p>
      <w:pPr>
        <w:pStyle w:val="0"/>
        <w:spacing w:before="240" w:lineRule="auto"/>
        <w:ind w:firstLine="540"/>
        <w:jc w:val="both"/>
      </w:pPr>
      <w:r>
        <w:rPr>
          <w:sz w:val="24"/>
        </w:rPr>
        <w:t xml:space="preserve">линии деаэрации емкостей должны соответствовать требованиям, предъявляемым настоящим сводом правил к линиям деаэрации топливных резервуаров;</w:t>
      </w:r>
    </w:p>
    <w:p>
      <w:pPr>
        <w:pStyle w:val="0"/>
        <w:spacing w:before="240" w:lineRule="auto"/>
        <w:ind w:firstLine="540"/>
        <w:jc w:val="both"/>
      </w:pPr>
      <w:r>
        <w:rPr>
          <w:sz w:val="24"/>
        </w:rPr>
        <w:t xml:space="preserve">трубопроводы для жидкости необходимо оснащать гидрозатворами;</w:t>
      </w:r>
    </w:p>
    <w:p>
      <w:pPr>
        <w:pStyle w:val="0"/>
        <w:spacing w:before="240" w:lineRule="auto"/>
        <w:ind w:firstLine="540"/>
        <w:jc w:val="both"/>
      </w:pPr>
      <w:r>
        <w:rPr>
          <w:sz w:val="24"/>
        </w:rPr>
        <w:t xml:space="preserve">крышки люков для очистки песколовушек, устанавливаемых на стоках атмосферных осадков, загрязненных нефтепродуктами, должны быть выполнены в виде решеток, обеспечивающих проветривание песколовушек.</w:t>
      </w:r>
    </w:p>
    <w:p>
      <w:pPr>
        <w:pStyle w:val="0"/>
        <w:spacing w:before="240" w:lineRule="auto"/>
        <w:ind w:firstLine="540"/>
        <w:jc w:val="both"/>
      </w:pPr>
      <w:r>
        <w:rPr>
          <w:sz w:val="24"/>
        </w:rPr>
        <w:t xml:space="preserve">6.23. Конструкция колодцев инженерных сооружений (за исключением приемных устройств колодцев ливневой канализации) должна предотвращать попадание в них горючих газов и жидкостей при аварийных проливах топлива, а также грунтовых вод через их стенки и крышки.</w:t>
      </w:r>
    </w:p>
    <w:p>
      <w:pPr>
        <w:pStyle w:val="0"/>
        <w:spacing w:before="240" w:lineRule="auto"/>
        <w:ind w:firstLine="540"/>
        <w:jc w:val="both"/>
      </w:pPr>
      <w:r>
        <w:rPr>
          <w:sz w:val="24"/>
        </w:rPr>
        <w:t xml:space="preserve">6.24. При наличии ограждения территории АЗС или территории отдельной площадки (площадок) на АЗС оно должно быть выполнено из негорючих материалов и не препятствовать свободному проветриванию.</w:t>
      </w:r>
    </w:p>
    <w:p>
      <w:pPr>
        <w:pStyle w:val="0"/>
        <w:spacing w:before="240" w:lineRule="auto"/>
        <w:ind w:firstLine="540"/>
        <w:jc w:val="both"/>
      </w:pPr>
      <w:r>
        <w:rPr>
          <w:sz w:val="24"/>
        </w:rPr>
        <w:t xml:space="preserve">6.25. Не допускается озеленение территории АЗС кустарниками и деревьями, выделяющими при цветении хлопья, волокнистые вещества или опушенные семена.</w:t>
      </w:r>
    </w:p>
    <w:p>
      <w:pPr>
        <w:pStyle w:val="0"/>
        <w:spacing w:before="240" w:lineRule="auto"/>
        <w:ind w:firstLine="540"/>
        <w:jc w:val="both"/>
      </w:pPr>
      <w:r>
        <w:rPr>
          <w:sz w:val="24"/>
        </w:rPr>
        <w:t xml:space="preserve">6.26. При размещении АЗС вблизи посадок сельскохозяйственных культур, по которым возможно распространение пламени, вдоль прилегающих к посадкам границ АЗС должны предусматриваться наземное покрытие из материалов, не распространяющих пламя по своей поверхности, или вспаханная полоса земли шириной не менее 5 м.</w:t>
      </w:r>
    </w:p>
    <w:p>
      <w:pPr>
        <w:pStyle w:val="0"/>
        <w:spacing w:before="240" w:lineRule="auto"/>
        <w:ind w:firstLine="540"/>
        <w:jc w:val="both"/>
      </w:pPr>
      <w:r>
        <w:rPr>
          <w:sz w:val="24"/>
        </w:rPr>
        <w:t xml:space="preserve">6.27. Движение транспортных средств по территории АЗС должно быть односторонним. Въезд на территорию АЗС и выезд с нее должны быть раздельными.</w:t>
      </w:r>
    </w:p>
    <w:p>
      <w:pPr>
        <w:pStyle w:val="0"/>
        <w:spacing w:before="240" w:lineRule="auto"/>
        <w:ind w:firstLine="540"/>
        <w:jc w:val="both"/>
      </w:pPr>
      <w:r>
        <w:rPr>
          <w:sz w:val="24"/>
        </w:rPr>
        <w:t xml:space="preserve">6.28. Покрытие проездов, заправочных островков и площадок для АЦ должно проектироваться стойким к воздействию нефтепродуктов.</w:t>
      </w:r>
    </w:p>
    <w:p>
      <w:pPr>
        <w:pStyle w:val="0"/>
        <w:spacing w:before="240" w:lineRule="auto"/>
        <w:ind w:firstLine="540"/>
        <w:jc w:val="both"/>
      </w:pPr>
      <w:r>
        <w:rPr>
          <w:sz w:val="24"/>
        </w:rPr>
        <w:t xml:space="preserve">Площадки, предназначенные под установку наземного оборудования СПГ, включая площадки для автоцистерны СПГ и заправочные островки СПГ, должны выполняться из негорючих материалов.</w:t>
      </w:r>
    </w:p>
    <w:p>
      <w:pPr>
        <w:pStyle w:val="0"/>
        <w:jc w:val="both"/>
      </w:pPr>
      <w:r>
        <w:rPr>
          <w:sz w:val="24"/>
        </w:rPr>
        <w:t xml:space="preserve">(абзац введен </w:t>
      </w:r>
      <w:hyperlink w:history="0" r:id="rId5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6.29. ТРК и раздаточные колонки, блоки и контейнеры хранения жидкого моторного топлива на блочных и контейнерных АЗС, технологические системы передвижных АЗС, а также наземное и надземное оборудование для СПГ должны быть защищены от повреждения транспортными средствами, специально предусмотренными для этого устройствами и/или сооружениями.</w:t>
      </w:r>
    </w:p>
    <w:p>
      <w:pPr>
        <w:pStyle w:val="0"/>
        <w:jc w:val="both"/>
      </w:pPr>
      <w:r>
        <w:rPr>
          <w:sz w:val="24"/>
        </w:rPr>
        <w:t xml:space="preserve">(в ред. </w:t>
      </w:r>
      <w:hyperlink w:history="0" r:id="rId5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258" w:name="P258"/>
    <w:bookmarkEnd w:id="258"/>
    <w:p>
      <w:pPr>
        <w:pStyle w:val="0"/>
        <w:spacing w:before="240" w:lineRule="auto"/>
        <w:ind w:firstLine="540"/>
        <w:jc w:val="both"/>
      </w:pPr>
      <w:r>
        <w:rPr>
          <w:sz w:val="24"/>
        </w:rPr>
        <w:t xml:space="preserve">6.30. На АЗС применение АЦ для транспортировки топлива, не отвечающих требованиям </w:t>
      </w:r>
      <w:hyperlink w:history="0" w:anchor="P2089" w:tooltip="БИБЛИОГРАФИЯ">
        <w:r>
          <w:rPr>
            <w:sz w:val="24"/>
            <w:color w:val="0000ff"/>
          </w:rPr>
          <w:t xml:space="preserve">[1]</w:t>
        </w:r>
      </w:hyperlink>
      <w:r>
        <w:rPr>
          <w:sz w:val="24"/>
        </w:rPr>
        <w:t xml:space="preserve">, а также АЦ для транспортировки жидкого моторного топлива, не отвечающих требованиям </w:t>
      </w:r>
      <w:hyperlink w:history="0" r:id="rId54" w:tooltip="&quot;ГОСТ 33666-2015. Межгосударственный стандарт. Автомобильные транспортные средства для транспортирования и заправки нефтепродуктов. Технические требования&quot; (введен в действие Приказом Росстандарта от 22.06.2016 N 657-ст) (ред. от 01.10.2024) {КонсультантПлюс}">
        <w:r>
          <w:rPr>
            <w:sz w:val="24"/>
            <w:color w:val="0000ff"/>
          </w:rPr>
          <w:t xml:space="preserve">ГОСТ Р 33666</w:t>
        </w:r>
      </w:hyperlink>
      <w:r>
        <w:rPr>
          <w:sz w:val="24"/>
        </w:rPr>
        <w:t xml:space="preserve">, не допускается.</w:t>
      </w:r>
    </w:p>
    <w:p>
      <w:pPr>
        <w:pStyle w:val="0"/>
        <w:jc w:val="both"/>
      </w:pPr>
      <w:r>
        <w:rPr>
          <w:sz w:val="24"/>
        </w:rPr>
        <w:t xml:space="preserve">(в ред. </w:t>
      </w:r>
      <w:hyperlink w:history="0" r:id="rId5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 этом автоцистерны должны быть оснащены устройствами, автоматически предотвращающими выход СУГ и СПГ из транспортной емкости при аварийных расходах газа по сливоналивным коммуникациям, в том числе и при аварийной разгерметизации этих коммуникаций. Эти устройства, указанные в </w:t>
      </w:r>
      <w:hyperlink w:history="0" w:anchor="P2093" w:tooltip="[1]">
        <w:r>
          <w:rPr>
            <w:sz w:val="24"/>
            <w:color w:val="0000ff"/>
          </w:rPr>
          <w:t xml:space="preserve">[1]</w:t>
        </w:r>
      </w:hyperlink>
      <w:r>
        <w:rPr>
          <w:sz w:val="24"/>
        </w:rPr>
        <w:t xml:space="preserve">, должны отвечать требованиям </w:t>
      </w:r>
      <w:hyperlink w:history="0" w:anchor="P2096" w:tooltip="[2]">
        <w:r>
          <w:rPr>
            <w:sz w:val="24"/>
            <w:color w:val="0000ff"/>
          </w:rPr>
          <w:t xml:space="preserve">[2]</w:t>
        </w:r>
      </w:hyperlink>
      <w:r>
        <w:rPr>
          <w:sz w:val="24"/>
        </w:rPr>
        <w:t xml:space="preserve"> в части защиты от механических повреждений и воздействия пламени, способных привести к отказу указанных устройств.</w:t>
      </w:r>
    </w:p>
    <w:p>
      <w:pPr>
        <w:pStyle w:val="0"/>
        <w:jc w:val="both"/>
      </w:pPr>
      <w:r>
        <w:rPr>
          <w:sz w:val="24"/>
        </w:rPr>
        <w:t xml:space="preserve">(в ред. </w:t>
      </w:r>
      <w:hyperlink w:history="0" r:id="rId5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Применение АЦ для доставки СУГ или СПГ на АЗС с количеством транспортных емкостей (сосудов) СУГ или СПГ более одной не допускается.</w:t>
      </w:r>
    </w:p>
    <w:p>
      <w:pPr>
        <w:pStyle w:val="0"/>
        <w:spacing w:before="240" w:lineRule="auto"/>
        <w:ind w:firstLine="540"/>
        <w:jc w:val="both"/>
      </w:pPr>
      <w:r>
        <w:rPr>
          <w:sz w:val="24"/>
        </w:rPr>
        <w:t xml:space="preserve">6.31. Расположение транспортных средств на площадке для их стоянки не должно препятствовать свободному выезду транспортных средств с ее территории.</w:t>
      </w:r>
    </w:p>
    <w:p>
      <w:pPr>
        <w:pStyle w:val="0"/>
        <w:spacing w:before="240" w:lineRule="auto"/>
        <w:ind w:firstLine="540"/>
        <w:jc w:val="both"/>
      </w:pPr>
      <w:r>
        <w:rPr>
          <w:sz w:val="24"/>
        </w:rPr>
        <w:t xml:space="preserve">6.32. Электроснабжение систем противоаварийной защиты должно соответствовать первой категории надежности в соответствии с </w:t>
      </w:r>
      <w:hyperlink w:history="0" w:anchor="P2089" w:tooltip="БИБЛИОГРАФИЯ">
        <w:r>
          <w:rPr>
            <w:sz w:val="24"/>
            <w:color w:val="0000ff"/>
          </w:rPr>
          <w:t xml:space="preserve">[3]</w:t>
        </w:r>
      </w:hyperlink>
      <w:r>
        <w:rPr>
          <w:sz w:val="24"/>
        </w:rPr>
        <w:t xml:space="preserve">.</w:t>
      </w:r>
    </w:p>
    <w:p>
      <w:pPr>
        <w:pStyle w:val="0"/>
        <w:spacing w:before="240" w:lineRule="auto"/>
        <w:ind w:firstLine="540"/>
        <w:jc w:val="both"/>
      </w:pPr>
      <w:r>
        <w:rPr>
          <w:sz w:val="24"/>
        </w:rPr>
        <w:t xml:space="preserve">Монтаж системы молниезащиты, заземления и защиты от статического электричества следует проводить до начала пусконаладочных испытаний технологических систем АЗС.</w:t>
      </w:r>
    </w:p>
    <w:p>
      <w:pPr>
        <w:pStyle w:val="0"/>
        <w:spacing w:before="240" w:lineRule="auto"/>
        <w:ind w:firstLine="540"/>
        <w:jc w:val="both"/>
      </w:pPr>
      <w:r>
        <w:rPr>
          <w:sz w:val="24"/>
        </w:rPr>
        <w:t xml:space="preserve">6.33. Предусматривать на АЗС воздушные линии электропередач не допускается.</w:t>
      </w:r>
    </w:p>
    <w:p>
      <w:pPr>
        <w:pStyle w:val="0"/>
        <w:spacing w:before="240" w:lineRule="auto"/>
        <w:ind w:firstLine="540"/>
        <w:jc w:val="both"/>
      </w:pPr>
      <w:r>
        <w:rPr>
          <w:sz w:val="24"/>
        </w:rPr>
        <w:t xml:space="preserve">6.34. АЗС должны быть оснащены телефонной или радиосвязью, а также системой громкоговорящей связи.</w:t>
      </w:r>
    </w:p>
    <w:p>
      <w:pPr>
        <w:pStyle w:val="0"/>
        <w:spacing w:before="240" w:lineRule="auto"/>
        <w:ind w:firstLine="540"/>
        <w:jc w:val="both"/>
      </w:pPr>
      <w:r>
        <w:rPr>
          <w:sz w:val="24"/>
        </w:rPr>
        <w:t xml:space="preserve">6.35. Для противопожарной защиты АЗС в соответствии с требованиями настоящего свода правил и нормативных документов по пожарной безопасности следует предусматривать:</w:t>
      </w:r>
    </w:p>
    <w:p>
      <w:pPr>
        <w:pStyle w:val="0"/>
        <w:spacing w:before="240" w:lineRule="auto"/>
        <w:ind w:firstLine="540"/>
        <w:jc w:val="both"/>
      </w:pPr>
      <w:r>
        <w:rPr>
          <w:sz w:val="24"/>
        </w:rPr>
        <w:t xml:space="preserve">первичные средства пожаротушения;</w:t>
      </w:r>
    </w:p>
    <w:p>
      <w:pPr>
        <w:pStyle w:val="0"/>
        <w:spacing w:before="240" w:lineRule="auto"/>
        <w:ind w:firstLine="540"/>
        <w:jc w:val="both"/>
      </w:pPr>
      <w:r>
        <w:rPr>
          <w:sz w:val="24"/>
        </w:rPr>
        <w:t xml:space="preserve">установки пожаротушения (в том числе автоматические);</w:t>
      </w:r>
    </w:p>
    <w:p>
      <w:pPr>
        <w:pStyle w:val="0"/>
        <w:spacing w:before="240" w:lineRule="auto"/>
        <w:ind w:firstLine="540"/>
        <w:jc w:val="both"/>
      </w:pPr>
      <w:r>
        <w:rPr>
          <w:sz w:val="24"/>
        </w:rPr>
        <w:t xml:space="preserve">автономные установки пожаротушения;</w:t>
      </w:r>
    </w:p>
    <w:p>
      <w:pPr>
        <w:pStyle w:val="0"/>
        <w:spacing w:before="240" w:lineRule="auto"/>
        <w:ind w:firstLine="540"/>
        <w:jc w:val="both"/>
      </w:pPr>
      <w:r>
        <w:rPr>
          <w:sz w:val="24"/>
        </w:rPr>
        <w:t xml:space="preserve">наружное противопожарное водоснабжение.</w:t>
      </w:r>
    </w:p>
    <w:p>
      <w:pPr>
        <w:pStyle w:val="0"/>
        <w:jc w:val="both"/>
      </w:pPr>
      <w:r>
        <w:rPr>
          <w:sz w:val="24"/>
        </w:rPr>
        <w:t xml:space="preserve">(п. 6.35 в ред. </w:t>
      </w:r>
      <w:hyperlink w:history="0" r:id="rId5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6.36. Тип, необходимое количество и размещение первичных средств пожаротушения следует выбирать в соответствии с </w:t>
      </w:r>
      <w:hyperlink w:history="0" w:anchor="P2089" w:tooltip="БИБЛИОГРАФИЯ">
        <w:r>
          <w:rPr>
            <w:sz w:val="24"/>
            <w:color w:val="0000ff"/>
          </w:rPr>
          <w:t xml:space="preserve">[4]</w:t>
        </w:r>
      </w:hyperlink>
      <w:r>
        <w:rPr>
          <w:sz w:val="24"/>
        </w:rPr>
        <w:t xml:space="preserve">.</w:t>
      </w:r>
    </w:p>
    <w:bookmarkStart w:id="275" w:name="P275"/>
    <w:bookmarkEnd w:id="275"/>
    <w:p>
      <w:pPr>
        <w:pStyle w:val="0"/>
        <w:spacing w:before="240" w:lineRule="auto"/>
        <w:ind w:firstLine="540"/>
        <w:jc w:val="both"/>
      </w:pPr>
      <w:r>
        <w:rPr>
          <w:sz w:val="24"/>
        </w:rPr>
        <w:t xml:space="preserve">6.37. Наружное пожаротушение АЗС должно осуществляться не менее чем от двух пожарных гидрантов или от противопожарного водоема (резервуара), которые должны быть расположены на расстоянии не более 200 м от АЗС.</w:t>
      </w:r>
    </w:p>
    <w:p>
      <w:pPr>
        <w:pStyle w:val="0"/>
        <w:spacing w:before="240" w:lineRule="auto"/>
        <w:ind w:firstLine="540"/>
        <w:jc w:val="both"/>
      </w:pPr>
      <w:r>
        <w:rPr>
          <w:sz w:val="24"/>
        </w:rPr>
        <w:t xml:space="preserve">Общая вместимость противопожарных водоемов (резервуаров) для КриоАЗС, выполненной как самостоятельный участок многотопливной АЗС, резервуары хранения СПГ и транспортные емкости (сосуды) АЦ СПГ которых отвечают требованиям </w:t>
      </w:r>
      <w:hyperlink w:history="0" w:anchor="P203"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
        <w:r>
          <w:rPr>
            <w:sz w:val="24"/>
            <w:color w:val="0000ff"/>
          </w:rPr>
          <w:t xml:space="preserve">пункта 6.6</w:t>
        </w:r>
      </w:hyperlink>
      <w:r>
        <w:rPr>
          <w:sz w:val="24"/>
        </w:rPr>
        <w:t xml:space="preserve"> настоящего свода правил, а также АЗС жидкого моторного топлива и АГНКС, должны определяться расчетом, но составлять не менее 100 м3.</w:t>
      </w:r>
    </w:p>
    <w:p>
      <w:pPr>
        <w:pStyle w:val="0"/>
        <w:spacing w:before="240" w:lineRule="auto"/>
        <w:ind w:firstLine="540"/>
        <w:jc w:val="both"/>
      </w:pPr>
      <w:r>
        <w:rPr>
          <w:sz w:val="24"/>
        </w:rPr>
        <w:t xml:space="preserve">Расход воды на наружное пожаротушение указанных АЗС определяется расчетом как суммарный расход воды, включающий в себя максимальное из значений расхода воды на пожаротушение зданий и общий расход воды на охлаждение надземных (наземных) резервуаров (сосудов), в том числе АЦ.</w:t>
      </w:r>
    </w:p>
    <w:p>
      <w:pPr>
        <w:pStyle w:val="0"/>
        <w:spacing w:before="240" w:lineRule="auto"/>
        <w:ind w:firstLine="540"/>
        <w:jc w:val="both"/>
      </w:pPr>
      <w:r>
        <w:rPr>
          <w:sz w:val="24"/>
        </w:rPr>
        <w:t xml:space="preserve">Расход воды на пожаротушение зданий АЗС определяется в соответствии с другими нормативными документами по пожарной безопасности (для зданий сервисного обслуживания водителей и пассажиров, а также зданий для персонала АЗС как для общественных зданий, для зданий сервисного обслуживания транспортных средств как для производственных зданий).</w:t>
      </w:r>
    </w:p>
    <w:p>
      <w:pPr>
        <w:pStyle w:val="0"/>
        <w:spacing w:before="240" w:lineRule="auto"/>
        <w:ind w:firstLine="540"/>
        <w:jc w:val="both"/>
      </w:pPr>
      <w:r>
        <w:rPr>
          <w:sz w:val="24"/>
        </w:rPr>
        <w:t xml:space="preserve">Общий расход воды на охлаждение надземных резервуаров (сосудов), в том числе - АЦ, следует предусматривать не менее 15 литров в секунду, а расчетное время подачи воды на их охлаждение допускается принимать не менее 60 минут.</w:t>
      </w:r>
    </w:p>
    <w:p>
      <w:pPr>
        <w:pStyle w:val="0"/>
        <w:jc w:val="both"/>
      </w:pPr>
      <w:r>
        <w:rPr>
          <w:sz w:val="24"/>
        </w:rPr>
        <w:t xml:space="preserve">(в ред. </w:t>
      </w:r>
      <w:hyperlink w:history="0" r:id="rId5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281" w:name="P281"/>
    <w:bookmarkEnd w:id="281"/>
    <w:p>
      <w:pPr>
        <w:pStyle w:val="0"/>
        <w:spacing w:before="240" w:lineRule="auto"/>
        <w:ind w:firstLine="540"/>
        <w:jc w:val="both"/>
      </w:pPr>
      <w:r>
        <w:rPr>
          <w:sz w:val="24"/>
        </w:rPr>
        <w:t xml:space="preserve">6.38. Наружное противопожарное водоснабжение АГНКС или АЗС жидкого моторного топлива, размещенных вне населенных пунктов, допускается предусматривать от противопожарных водоемов (резервуаров) общей вместимостью не менее 3 м3 в следующих случаях:</w:t>
      </w:r>
    </w:p>
    <w:p>
      <w:pPr>
        <w:pStyle w:val="0"/>
        <w:spacing w:before="240" w:lineRule="auto"/>
        <w:ind w:firstLine="540"/>
        <w:jc w:val="both"/>
      </w:pPr>
      <w:r>
        <w:rPr>
          <w:sz w:val="24"/>
        </w:rPr>
        <w:t xml:space="preserve">на АГНКС и АЗС жидкого моторного топлива с подземными резервуарами хранения топлива, если отсутствуют помещения сервисного обслуживания;</w:t>
      </w:r>
    </w:p>
    <w:p>
      <w:pPr>
        <w:pStyle w:val="0"/>
        <w:spacing w:before="240" w:lineRule="auto"/>
        <w:ind w:firstLine="540"/>
        <w:jc w:val="both"/>
      </w:pPr>
      <w:r>
        <w:rPr>
          <w:sz w:val="24"/>
        </w:rPr>
        <w:t xml:space="preserve">на АЗС жидкого моторного топлива с надземными двустенными резервуарами хранения топлива общей вместимостью не более 40 м3.</w:t>
      </w:r>
    </w:p>
    <w:p>
      <w:pPr>
        <w:pStyle w:val="0"/>
        <w:spacing w:before="240" w:lineRule="auto"/>
        <w:ind w:firstLine="540"/>
        <w:jc w:val="both"/>
      </w:pPr>
      <w:r>
        <w:rPr>
          <w:sz w:val="24"/>
        </w:rPr>
        <w:t xml:space="preserve">Противопожарные водоемы (резервуары) должны быть расположены на расстоянии не более 200 м от АЗС.</w:t>
      </w:r>
    </w:p>
    <w:p>
      <w:pPr>
        <w:pStyle w:val="0"/>
        <w:spacing w:before="240" w:lineRule="auto"/>
        <w:ind w:firstLine="540"/>
        <w:jc w:val="both"/>
      </w:pPr>
      <w:r>
        <w:rPr>
          <w:sz w:val="24"/>
        </w:rPr>
        <w:t xml:space="preserve">На таких АЗС необходимо предусматривать стационарные или передвижные огнетушители, тип и количество которых определяются в соответствии с </w:t>
      </w:r>
      <w:hyperlink w:history="0" w:anchor="P2089" w:tooltip="БИБЛИОГРАФИЯ">
        <w:r>
          <w:rPr>
            <w:sz w:val="24"/>
            <w:color w:val="0000ff"/>
          </w:rPr>
          <w:t xml:space="preserve">[4]</w:t>
        </w:r>
      </w:hyperlink>
      <w:r>
        <w:rPr>
          <w:sz w:val="24"/>
        </w:rPr>
        <w:t xml:space="preserve">, предъявляемыми к АЗС с заправочными островками для грузовых транспортных средств, а также площадки высадки (посадки) пассажиров за территорией АЗС (присутствие пассажиров на территории таких АЗС не допускается).</w:t>
      </w:r>
    </w:p>
    <w:p>
      <w:pPr>
        <w:pStyle w:val="0"/>
        <w:spacing w:before="240" w:lineRule="auto"/>
        <w:ind w:firstLine="540"/>
        <w:jc w:val="both"/>
      </w:pPr>
      <w:r>
        <w:rPr>
          <w:sz w:val="24"/>
        </w:rPr>
        <w:t xml:space="preserve">6.39. Все помещения АЗС, за исключением помещений категорий В4 и Д, механизированной мойки и помещений для персонала АЗС с круглосуточным пребыванием людей, должны быть оборудованы установками автоматической пожарной сигнализации.</w:t>
      </w:r>
    </w:p>
    <w:p>
      <w:pPr>
        <w:pStyle w:val="0"/>
        <w:spacing w:before="240" w:lineRule="auto"/>
        <w:ind w:firstLine="540"/>
        <w:jc w:val="both"/>
      </w:pPr>
      <w:r>
        <w:rPr>
          <w:sz w:val="24"/>
        </w:rPr>
        <w:t xml:space="preserve">Помещения категорий В1 и В2 по пожарной опасности площадью более 20 м2 (помещения постов технического обслуживания и складские помещения при наличии ГГ, ЛВЖ и ГЖ - независимо от площади), а также помещения многотопливных АЗС, КриоАЗС, АГЗС или АГНКС, в которых размещается оборудование с СУГ, КПГ и/или СПГ, относящиеся к технологической системе АЗС, должны быть оборудованы автоматическими установками пожаротушения.</w:t>
      </w:r>
    </w:p>
    <w:p>
      <w:pPr>
        <w:pStyle w:val="0"/>
        <w:spacing w:before="240" w:lineRule="auto"/>
        <w:ind w:firstLine="540"/>
        <w:jc w:val="both"/>
      </w:pPr>
      <w:r>
        <w:rPr>
          <w:sz w:val="24"/>
        </w:rPr>
        <w:t xml:space="preserve">Указанные помещения с оборудованием, в котором обращается газообразное топливо, допускается не оснащать автоматическими установками пожаротушения в случае, если удельная пожарная нагрузка, не относящаяся к КПГ или СПГ, а также к СУГ, и размещенная в этих помещениях, не превышает </w:t>
      </w:r>
      <w:r>
        <w:rPr>
          <w:position w:val="-9"/>
        </w:rPr>
        <w:drawing>
          <wp:inline distT="0" distB="0" distL="0" distR="0">
            <wp:extent cx="108585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
                      <a:extLst>
                        <a:ext uri="{28A0092B-C50C-407E-A947-70E740481C1C}">
                          <a14:useLocalDpi xmlns:a14="http://schemas.microsoft.com/office/drawing/2010/main" val="0"/>
                        </a:ext>
                      </a:extLst>
                    </a:blip>
                    <a:srcRect/>
                    <a:stretch>
                      <a:fillRect/>
                    </a:stretch>
                  </pic:blipFill>
                  <pic:spPr bwMode="auto">
                    <a:xfrm>
                      <a:off x="0" y="0"/>
                      <a:ext cx="1085850" cy="27686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Торговый зал магазина по продаже ЛВЖ и ГЖ должен быть оборудован автоматическими установками пожаротушения, если количество и способ размещения в нем пожарной нагрузки соответствует количеству и способу размещения пожарной нагрузки в помещении категорий В1 или В2 по пожарной опасности.</w:t>
      </w:r>
    </w:p>
    <w:p>
      <w:pPr>
        <w:pStyle w:val="0"/>
        <w:spacing w:before="240" w:lineRule="auto"/>
        <w:ind w:firstLine="540"/>
        <w:jc w:val="both"/>
      </w:pPr>
      <w:r>
        <w:rPr>
          <w:sz w:val="24"/>
        </w:rPr>
        <w:t xml:space="preserve">На АЗС с обращением СПГ площадки оборудования с СПГ должны быть оснащены системой пожарной сигнализации с передачей сигналов оператору АЗС.</w:t>
      </w:r>
    </w:p>
    <w:p>
      <w:pPr>
        <w:pStyle w:val="0"/>
        <w:jc w:val="both"/>
      </w:pPr>
      <w:r>
        <w:rPr>
          <w:sz w:val="24"/>
        </w:rPr>
        <w:t xml:space="preserve">(абзац введен </w:t>
      </w:r>
      <w:hyperlink w:history="0" r:id="rId6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Размещение технологического оборудования с КВ в помещениях не допускается.</w:t>
      </w:r>
    </w:p>
    <w:p>
      <w:pPr>
        <w:pStyle w:val="0"/>
        <w:jc w:val="both"/>
      </w:pPr>
      <w:r>
        <w:rPr>
          <w:sz w:val="24"/>
        </w:rPr>
        <w:t xml:space="preserve">(абзац введен </w:t>
      </w:r>
      <w:hyperlink w:history="0" r:id="rId61"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w:t>
        </w:r>
      </w:hyperlink>
      <w:r>
        <w:rPr>
          <w:sz w:val="24"/>
        </w:rPr>
        <w:t xml:space="preserve"> N 2, утв. Приказом МЧС России от 21.06.2024 N 505)</w:t>
      </w:r>
    </w:p>
    <w:p>
      <w:pPr>
        <w:pStyle w:val="0"/>
        <w:spacing w:before="240" w:lineRule="auto"/>
        <w:ind w:firstLine="540"/>
        <w:jc w:val="both"/>
      </w:pPr>
      <w:r>
        <w:rPr>
          <w:sz w:val="24"/>
        </w:rPr>
        <w:t xml:space="preserve">6.40. Кабельные линии и электроподводка к устройствам, предназначенным для обеспечения перекрытия поступления топлива, сброса избыточного давления и отключения оборудования в случае пожара, должны сохранять работоспособность в условиях пожара в течение времени, необходимого для выполнения их функций.</w:t>
      </w:r>
    </w:p>
    <w:p>
      <w:pPr>
        <w:pStyle w:val="0"/>
        <w:spacing w:before="240" w:lineRule="auto"/>
        <w:ind w:firstLine="540"/>
        <w:jc w:val="both"/>
      </w:pPr>
      <w:r>
        <w:rPr>
          <w:sz w:val="24"/>
        </w:rPr>
        <w:t xml:space="preserve">Работоспособность указанных кабельных линий и электроподводок в условиях пожара обеспечивается выбором вида исполнения кабелей и проводов согласно </w:t>
      </w:r>
      <w:hyperlink w:history="0" r:id="rId62"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и способами их прокладки. Время работоспособности кабельных линий и электроподводок в условиях воздействия пожара определяется в соответствии с </w:t>
      </w:r>
      <w:hyperlink w:history="0" r:id="rId63" w:tooltip="&quot;ГОСТ Р 53316-2009. Национальный стандарт Российской Федерации. Кабельные линии. Сохранение работоспособности в условиях пожара. Метод испытания&quot; (утв. и введен в действие Приказом Ростехрегулирования от 18.02.2009 N 92-ст) ------------ Утратил силу или отменен {КонсультантПлюс}">
        <w:r>
          <w:rPr>
            <w:sz w:val="24"/>
            <w:color w:val="0000ff"/>
          </w:rPr>
          <w:t xml:space="preserve">ГОСТ Р 53316</w:t>
        </w:r>
      </w:hyperlink>
      <w:r>
        <w:rPr>
          <w:sz w:val="24"/>
        </w:rPr>
        <w:t xml:space="preserve">.</w:t>
      </w:r>
    </w:p>
    <w:p>
      <w:pPr>
        <w:pStyle w:val="0"/>
        <w:spacing w:before="240" w:lineRule="auto"/>
        <w:ind w:firstLine="540"/>
        <w:jc w:val="both"/>
      </w:pPr>
      <w:r>
        <w:rPr>
          <w:sz w:val="24"/>
        </w:rPr>
        <w:t xml:space="preserve">6.41 Запрещается применение оборудования технологической системы АГНСВ (в том числе передвижной) в составе технологической системы многотопливной АЗС. Наполнение аккумуляторов КВ должно осуществляться только на специально предусмотренных для этого технологических участках вне территории станции.</w:t>
      </w:r>
    </w:p>
    <w:p>
      <w:pPr>
        <w:pStyle w:val="0"/>
        <w:jc w:val="both"/>
      </w:pPr>
      <w:r>
        <w:rPr>
          <w:sz w:val="24"/>
        </w:rPr>
        <w:t xml:space="preserve">(п. 6.41 введен </w:t>
      </w:r>
      <w:hyperlink w:history="0" r:id="rId64"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w:t>
        </w:r>
      </w:hyperlink>
      <w:r>
        <w:rPr>
          <w:sz w:val="24"/>
        </w:rPr>
        <w:t xml:space="preserve"> N 2, утв. Приказом МЧС России от 21.06.2024 N 505)</w:t>
      </w:r>
    </w:p>
    <w:p>
      <w:pPr>
        <w:pStyle w:val="0"/>
        <w:spacing w:before="240" w:lineRule="auto"/>
        <w:ind w:firstLine="540"/>
        <w:jc w:val="both"/>
      </w:pPr>
      <w:r>
        <w:rPr>
          <w:sz w:val="24"/>
        </w:rPr>
        <w:t xml:space="preserve">6.42 АГНСВ с подачей водорода на станцию по трубопроводам может проектироваться только как топливозаправочный пункт.</w:t>
      </w:r>
    </w:p>
    <w:p>
      <w:pPr>
        <w:pStyle w:val="0"/>
        <w:jc w:val="both"/>
      </w:pPr>
      <w:r>
        <w:rPr>
          <w:sz w:val="24"/>
        </w:rPr>
        <w:t xml:space="preserve">(п. 6.42 введен </w:t>
      </w:r>
      <w:hyperlink w:history="0" r:id="rId65"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w:t>
        </w:r>
      </w:hyperlink>
      <w:r>
        <w:rPr>
          <w:sz w:val="24"/>
        </w:rPr>
        <w:t xml:space="preserve"> N 2, утв. Приказом МЧС России от 21.06.2024 N 505)</w:t>
      </w:r>
    </w:p>
    <w:p>
      <w:pPr>
        <w:pStyle w:val="0"/>
        <w:jc w:val="both"/>
      </w:pPr>
      <w:r>
        <w:rPr>
          <w:sz w:val="24"/>
        </w:rPr>
      </w:r>
    </w:p>
    <w:p>
      <w:pPr>
        <w:pStyle w:val="2"/>
        <w:outlineLvl w:val="1"/>
        <w:ind w:firstLine="540"/>
        <w:jc w:val="both"/>
      </w:pPr>
      <w:r>
        <w:rPr>
          <w:sz w:val="24"/>
        </w:rPr>
        <w:t xml:space="preserve">7. Дополнительные требования к АЗС жидкого моторного топлива</w:t>
      </w:r>
    </w:p>
    <w:p>
      <w:pPr>
        <w:pStyle w:val="0"/>
        <w:jc w:val="both"/>
      </w:pPr>
      <w:r>
        <w:rPr>
          <w:sz w:val="24"/>
        </w:rPr>
      </w:r>
    </w:p>
    <w:p>
      <w:pPr>
        <w:pStyle w:val="0"/>
        <w:ind w:firstLine="540"/>
        <w:jc w:val="both"/>
      </w:pPr>
      <w:r>
        <w:rPr>
          <w:sz w:val="24"/>
        </w:rPr>
        <w:t xml:space="preserve">7.1. Минимальные расстояния от АЗС жидкого моторного топлива до объектов, к ним не относящихся, принимаются в соответствии с таблицей 1.</w:t>
      </w:r>
    </w:p>
    <w:p>
      <w:pPr>
        <w:pStyle w:val="0"/>
        <w:jc w:val="both"/>
      </w:pPr>
      <w:r>
        <w:rPr>
          <w:sz w:val="24"/>
        </w:rPr>
        <w:t xml:space="preserve">(в ред. </w:t>
      </w:r>
      <w:hyperlink w:history="0" r:id="rId6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bookmarkStart w:id="306" w:name="P306"/>
    <w:bookmarkEnd w:id="306"/>
    <w:p>
      <w:pPr>
        <w:pStyle w:val="2"/>
        <w:outlineLvl w:val="2"/>
        <w:jc w:val="both"/>
      </w:pPr>
      <w:r>
        <w:rPr>
          <w:sz w:val="24"/>
        </w:rPr>
        <w:t xml:space="preserve">Таблица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1474"/>
        <w:gridCol w:w="1474"/>
        <w:gridCol w:w="1531"/>
      </w:tblGrid>
      <w:tr>
        <w:tc>
          <w:tcPr>
            <w:tcW w:w="4535" w:type="dxa"/>
            <w:vMerge w:val="restart"/>
          </w:tcPr>
          <w:p>
            <w:pPr>
              <w:pStyle w:val="0"/>
              <w:jc w:val="center"/>
            </w:pPr>
            <w:r>
              <w:rPr>
                <w:sz w:val="24"/>
              </w:rPr>
              <w:t xml:space="preserve">Наименование объектов, до которых определяется расстояние</w:t>
            </w:r>
          </w:p>
        </w:tc>
        <w:tc>
          <w:tcPr>
            <w:tcW w:w="1474" w:type="dxa"/>
            <w:vMerge w:val="restart"/>
          </w:tcPr>
          <w:p>
            <w:pPr>
              <w:pStyle w:val="0"/>
              <w:jc w:val="center"/>
            </w:pPr>
            <w:r>
              <w:rPr>
                <w:sz w:val="24"/>
              </w:rPr>
              <w:t xml:space="preserve">Расстояние от АЗС с подземными резервуарами, м</w:t>
            </w:r>
          </w:p>
        </w:tc>
        <w:tc>
          <w:tcPr>
            <w:gridSpan w:val="2"/>
            <w:tcW w:w="3005" w:type="dxa"/>
          </w:tcPr>
          <w:p>
            <w:pPr>
              <w:pStyle w:val="0"/>
              <w:jc w:val="center"/>
            </w:pPr>
            <w:r>
              <w:rPr>
                <w:sz w:val="24"/>
              </w:rPr>
              <w:t xml:space="preserve">Расстояние от АЗС с наземными резервуарами, м</w:t>
            </w:r>
          </w:p>
        </w:tc>
      </w:tr>
      <w:tr>
        <w:tc>
          <w:tcPr>
            <w:vMerge w:val="continue"/>
          </w:tcPr>
          <w:p/>
        </w:tc>
        <w:tc>
          <w:tcPr>
            <w:vMerge w:val="continue"/>
          </w:tcPr>
          <w:p/>
        </w:tc>
        <w:tc>
          <w:tcPr>
            <w:tcW w:w="1474" w:type="dxa"/>
          </w:tcPr>
          <w:p>
            <w:pPr>
              <w:pStyle w:val="0"/>
              <w:jc w:val="center"/>
            </w:pPr>
            <w:r>
              <w:rPr>
                <w:sz w:val="24"/>
              </w:rPr>
              <w:t xml:space="preserve">общей вместимостью более 20 м3</w:t>
            </w:r>
          </w:p>
        </w:tc>
        <w:tc>
          <w:tcPr>
            <w:tcW w:w="1531" w:type="dxa"/>
          </w:tcPr>
          <w:p>
            <w:pPr>
              <w:pStyle w:val="0"/>
              <w:jc w:val="center"/>
            </w:pPr>
            <w:r>
              <w:rPr>
                <w:sz w:val="24"/>
              </w:rPr>
              <w:t xml:space="preserve">общей вместимостью не более 20 м3</w:t>
            </w:r>
          </w:p>
        </w:tc>
      </w:tr>
      <w:tr>
        <w:tc>
          <w:tcPr>
            <w:tcW w:w="4535" w:type="dxa"/>
          </w:tcPr>
          <w:bookmarkStart w:id="313" w:name="P313"/>
          <w:bookmarkEnd w:id="313"/>
          <w:p>
            <w:pPr>
              <w:pStyle w:val="0"/>
            </w:pPr>
            <w:r>
              <w:rPr>
                <w:sz w:val="24"/>
              </w:rPr>
              <w:t xml:space="preserve">1. Производственные, складские и административно-бытовые здания и сооружения промышленных организаций (за исключением указанных в </w:t>
            </w:r>
            <w:hyperlink w:history="0" w:anchor="P370" w:tooltip="10.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строках 10</w:t>
              </w:r>
            </w:hyperlink>
            <w:r>
              <w:rPr>
                <w:sz w:val="24"/>
              </w:rPr>
              <w:t xml:space="preserve"> и </w:t>
            </w:r>
            <w:hyperlink w:history="0" w:anchor="P379" w:tooltip="12.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12</w:t>
              </w:r>
            </w:hyperlink>
            <w:r>
              <w:rPr>
                <w:sz w:val="24"/>
              </w:rPr>
              <w:t xml:space="preserve">)</w:t>
            </w:r>
          </w:p>
        </w:tc>
        <w:tc>
          <w:tcPr>
            <w:tcW w:w="1474" w:type="dxa"/>
            <w:vAlign w:val="center"/>
          </w:tcPr>
          <w:p>
            <w:pPr>
              <w:pStyle w:val="0"/>
              <w:jc w:val="center"/>
            </w:pPr>
            <w:r>
              <w:rPr>
                <w:sz w:val="24"/>
              </w:rPr>
              <w:t xml:space="preserve">15</w:t>
            </w:r>
          </w:p>
        </w:tc>
        <w:tc>
          <w:tcPr>
            <w:tcW w:w="1474" w:type="dxa"/>
            <w:vAlign w:val="center"/>
          </w:tcPr>
          <w:p>
            <w:pPr>
              <w:pStyle w:val="0"/>
              <w:jc w:val="center"/>
            </w:pPr>
            <w:r>
              <w:rPr>
                <w:sz w:val="24"/>
              </w:rPr>
              <w:t xml:space="preserve">25</w:t>
            </w:r>
          </w:p>
        </w:tc>
        <w:tc>
          <w:tcPr>
            <w:tcW w:w="1531" w:type="dxa"/>
            <w:vAlign w:val="center"/>
          </w:tcPr>
          <w:p>
            <w:pPr>
              <w:pStyle w:val="0"/>
              <w:jc w:val="center"/>
            </w:pPr>
            <w:r>
              <w:rPr>
                <w:sz w:val="24"/>
              </w:rPr>
              <w:t xml:space="preserve">25</w:t>
            </w:r>
          </w:p>
        </w:tc>
      </w:tr>
      <w:tr>
        <w:tblPrEx>
          <w:tblBorders>
            <w:insideH w:val="nil"/>
          </w:tblBorders>
        </w:tblPrEx>
        <w:tc>
          <w:tcPr>
            <w:tcW w:w="4535" w:type="dxa"/>
            <w:tcBorders>
              <w:bottom w:val="nil"/>
            </w:tcBorders>
          </w:tcPr>
          <w:p>
            <w:pPr>
              <w:pStyle w:val="0"/>
            </w:pPr>
            <w:r>
              <w:rPr>
                <w:sz w:val="24"/>
              </w:rPr>
              <w:t xml:space="preserve">2. Лесничества с лесными насаждениями:</w:t>
            </w:r>
          </w:p>
        </w:tc>
        <w:tc>
          <w:tcPr>
            <w:tcW w:w="1474" w:type="dxa"/>
            <w:vAlign w:val="center"/>
            <w:tcBorders>
              <w:bottom w:val="nil"/>
            </w:tcBorders>
          </w:tcPr>
          <w:p>
            <w:pPr>
              <w:pStyle w:val="0"/>
            </w:pPr>
            <w:r>
              <w:rPr>
                <w:sz w:val="24"/>
              </w:rPr>
            </w:r>
          </w:p>
        </w:tc>
        <w:tc>
          <w:tcPr>
            <w:tcW w:w="1474" w:type="dxa"/>
            <w:vAlign w:val="center"/>
            <w:tcBorders>
              <w:bottom w:val="nil"/>
            </w:tcBorders>
          </w:tcPr>
          <w:p>
            <w:pPr>
              <w:pStyle w:val="0"/>
            </w:pPr>
            <w:r>
              <w:rPr>
                <w:sz w:val="24"/>
              </w:rPr>
            </w:r>
          </w:p>
        </w:tc>
        <w:tc>
          <w:tcPr>
            <w:tcW w:w="1531" w:type="dxa"/>
            <w:vAlign w:val="center"/>
            <w:tcBorders>
              <w:bottom w:val="nil"/>
            </w:tcBorders>
          </w:tcPr>
          <w:p>
            <w:pPr>
              <w:pStyle w:val="0"/>
            </w:pPr>
            <w:r>
              <w:rPr>
                <w:sz w:val="24"/>
              </w:rPr>
            </w:r>
          </w:p>
        </w:tc>
      </w:tr>
      <w:tr>
        <w:tblPrEx>
          <w:tblBorders>
            <w:insideH w:val="nil"/>
          </w:tblBorders>
        </w:tblPrEx>
        <w:tc>
          <w:tcPr>
            <w:gridSpan w:val="4"/>
            <w:tcW w:w="9014" w:type="dxa"/>
            <w:tcBorders>
              <w:top w:val="nil"/>
              <w:bottom w:val="nil"/>
            </w:tcBorders>
          </w:tcPr>
          <w:p>
            <w:pPr>
              <w:pStyle w:val="0"/>
              <w:jc w:val="both"/>
            </w:pPr>
            <w:r>
              <w:rPr>
                <w:sz w:val="24"/>
              </w:rPr>
              <w:t xml:space="preserve">(в ред. </w:t>
            </w:r>
            <w:hyperlink w:history="0" r:id="rId6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blPrEx>
          <w:tblBorders>
            <w:insideH w:val="nil"/>
          </w:tblBorders>
        </w:tblPrEx>
        <w:tc>
          <w:tcPr>
            <w:tcW w:w="4535" w:type="dxa"/>
            <w:tcBorders>
              <w:top w:val="nil"/>
              <w:bottom w:val="nil"/>
            </w:tcBorders>
          </w:tcPr>
          <w:p>
            <w:pPr>
              <w:pStyle w:val="0"/>
            </w:pPr>
            <w:r>
              <w:rPr>
                <w:sz w:val="24"/>
              </w:rPr>
              <w:t xml:space="preserve">хвойных и смешанных пород</w:t>
            </w:r>
          </w:p>
        </w:tc>
        <w:tc>
          <w:tcPr>
            <w:tcW w:w="1474" w:type="dxa"/>
            <w:vAlign w:val="center"/>
            <w:tcBorders>
              <w:top w:val="nil"/>
              <w:bottom w:val="nil"/>
            </w:tcBorders>
          </w:tcPr>
          <w:p>
            <w:pPr>
              <w:pStyle w:val="0"/>
              <w:jc w:val="center"/>
            </w:pPr>
            <w:r>
              <w:rPr>
                <w:sz w:val="24"/>
              </w:rPr>
              <w:t xml:space="preserve">25</w:t>
            </w:r>
          </w:p>
        </w:tc>
        <w:tc>
          <w:tcPr>
            <w:tcW w:w="1474" w:type="dxa"/>
            <w:vAlign w:val="center"/>
            <w:tcBorders>
              <w:top w:val="nil"/>
              <w:bottom w:val="nil"/>
            </w:tcBorders>
          </w:tcPr>
          <w:p>
            <w:pPr>
              <w:pStyle w:val="0"/>
              <w:jc w:val="center"/>
            </w:pPr>
            <w:r>
              <w:rPr>
                <w:sz w:val="24"/>
              </w:rPr>
              <w:t xml:space="preserve">40</w:t>
            </w:r>
          </w:p>
        </w:tc>
        <w:tc>
          <w:tcPr>
            <w:tcW w:w="1531" w:type="dxa"/>
            <w:vAlign w:val="center"/>
            <w:tcBorders>
              <w:top w:val="nil"/>
              <w:bottom w:val="nil"/>
            </w:tcBorders>
          </w:tcPr>
          <w:p>
            <w:pPr>
              <w:pStyle w:val="0"/>
              <w:jc w:val="center"/>
            </w:pPr>
            <w:r>
              <w:rPr>
                <w:sz w:val="24"/>
              </w:rPr>
              <w:t xml:space="preserve">30</w:t>
            </w:r>
          </w:p>
        </w:tc>
      </w:tr>
      <w:tr>
        <w:tblPrEx>
          <w:tblBorders>
            <w:insideH w:val="nil"/>
          </w:tblBorders>
        </w:tblPrEx>
        <w:tc>
          <w:tcPr>
            <w:tcW w:w="4535" w:type="dxa"/>
            <w:tcBorders>
              <w:top w:val="nil"/>
            </w:tcBorders>
          </w:tcPr>
          <w:p>
            <w:pPr>
              <w:pStyle w:val="0"/>
            </w:pPr>
            <w:r>
              <w:rPr>
                <w:sz w:val="24"/>
              </w:rPr>
              <w:t xml:space="preserve">лиственных пород</w:t>
            </w:r>
          </w:p>
        </w:tc>
        <w:tc>
          <w:tcPr>
            <w:tcW w:w="1474" w:type="dxa"/>
            <w:vAlign w:val="center"/>
            <w:tcBorders>
              <w:top w:val="nil"/>
            </w:tcBorders>
          </w:tcPr>
          <w:p>
            <w:pPr>
              <w:pStyle w:val="0"/>
              <w:jc w:val="center"/>
            </w:pPr>
            <w:r>
              <w:rPr>
                <w:sz w:val="24"/>
              </w:rPr>
              <w:t xml:space="preserve">10</w:t>
            </w:r>
          </w:p>
        </w:tc>
        <w:tc>
          <w:tcPr>
            <w:tcW w:w="1474" w:type="dxa"/>
            <w:vAlign w:val="center"/>
            <w:tcBorders>
              <w:top w:val="nil"/>
            </w:tcBorders>
          </w:tcPr>
          <w:p>
            <w:pPr>
              <w:pStyle w:val="0"/>
              <w:jc w:val="center"/>
            </w:pPr>
            <w:r>
              <w:rPr>
                <w:sz w:val="24"/>
              </w:rPr>
              <w:t xml:space="preserve">15</w:t>
            </w:r>
          </w:p>
        </w:tc>
        <w:tc>
          <w:tcPr>
            <w:tcW w:w="1531" w:type="dxa"/>
            <w:vAlign w:val="center"/>
            <w:tcBorders>
              <w:top w:val="nil"/>
            </w:tcBorders>
          </w:tcPr>
          <w:p>
            <w:pPr>
              <w:pStyle w:val="0"/>
              <w:jc w:val="center"/>
            </w:pPr>
            <w:r>
              <w:rPr>
                <w:sz w:val="24"/>
              </w:rPr>
              <w:t xml:space="preserve">12</w:t>
            </w:r>
          </w:p>
        </w:tc>
      </w:tr>
      <w:tr>
        <w:tc>
          <w:tcPr>
            <w:tcW w:w="4535" w:type="dxa"/>
          </w:tcPr>
          <w:bookmarkStart w:id="330" w:name="P330"/>
          <w:bookmarkEnd w:id="330"/>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313" w:tooltip="1. Производственные, складские и административно-бытовые здания и сооружения промышленных организаций (за исключением указанных в строках 10 и 12)">
              <w:r>
                <w:rPr>
                  <w:sz w:val="24"/>
                  <w:color w:val="0000ff"/>
                </w:rPr>
                <w:t xml:space="preserve">строке 1</w:t>
              </w:r>
            </w:hyperlink>
            <w:r>
              <w:rPr>
                <w:sz w:val="24"/>
              </w:rPr>
              <w:t xml:space="preserve">)</w:t>
            </w:r>
          </w:p>
        </w:tc>
        <w:tc>
          <w:tcPr>
            <w:tcW w:w="1474" w:type="dxa"/>
            <w:vAlign w:val="center"/>
          </w:tcPr>
          <w:p>
            <w:pPr>
              <w:pStyle w:val="0"/>
              <w:jc w:val="center"/>
            </w:pPr>
            <w:r>
              <w:rPr>
                <w:sz w:val="24"/>
              </w:rPr>
              <w:t xml:space="preserve">25</w:t>
            </w:r>
          </w:p>
        </w:tc>
        <w:tc>
          <w:tcPr>
            <w:tcW w:w="1474" w:type="dxa"/>
            <w:vAlign w:val="center"/>
          </w:tcPr>
          <w:p>
            <w:pPr>
              <w:pStyle w:val="0"/>
              <w:jc w:val="center"/>
            </w:pPr>
            <w:r>
              <w:rPr>
                <w:sz w:val="24"/>
              </w:rPr>
              <w:t xml:space="preserve">50</w:t>
            </w:r>
          </w:p>
        </w:tc>
        <w:tc>
          <w:tcPr>
            <w:tcW w:w="1531" w:type="dxa"/>
            <w:vAlign w:val="center"/>
          </w:tcPr>
          <w:p>
            <w:pPr>
              <w:pStyle w:val="0"/>
              <w:jc w:val="center"/>
            </w:pPr>
            <w:r>
              <w:rPr>
                <w:sz w:val="24"/>
              </w:rPr>
              <w:t xml:space="preserve">40</w:t>
            </w:r>
          </w:p>
        </w:tc>
      </w:tr>
      <w:tr>
        <w:tc>
          <w:tcPr>
            <w:tcW w:w="4535" w:type="dxa"/>
          </w:tcPr>
          <w:bookmarkStart w:id="334" w:name="P334"/>
          <w:bookmarkEnd w:id="334"/>
          <w:p>
            <w:pPr>
              <w:pStyle w:val="0"/>
            </w:pPr>
            <w:r>
              <w:rPr>
                <w:sz w:val="24"/>
              </w:rPr>
              <w:t xml:space="preserve">4. Места массового пребывания людей</w:t>
            </w:r>
          </w:p>
        </w:tc>
        <w:tc>
          <w:tcPr>
            <w:tcW w:w="1474" w:type="dxa"/>
            <w:vAlign w:val="center"/>
          </w:tcPr>
          <w:p>
            <w:pPr>
              <w:pStyle w:val="0"/>
              <w:jc w:val="center"/>
            </w:pPr>
            <w:r>
              <w:rPr>
                <w:sz w:val="24"/>
              </w:rPr>
              <w:t xml:space="preserve">25</w:t>
            </w:r>
          </w:p>
        </w:tc>
        <w:tc>
          <w:tcPr>
            <w:tcW w:w="1474" w:type="dxa"/>
            <w:vAlign w:val="center"/>
          </w:tcPr>
          <w:p>
            <w:pPr>
              <w:pStyle w:val="0"/>
              <w:jc w:val="center"/>
            </w:pPr>
            <w:r>
              <w:rPr>
                <w:sz w:val="24"/>
              </w:rPr>
              <w:t xml:space="preserve">50</w:t>
            </w:r>
          </w:p>
        </w:tc>
        <w:tc>
          <w:tcPr>
            <w:tcW w:w="1531" w:type="dxa"/>
            <w:vAlign w:val="center"/>
          </w:tcPr>
          <w:p>
            <w:pPr>
              <w:pStyle w:val="0"/>
              <w:jc w:val="center"/>
            </w:pPr>
            <w:r>
              <w:rPr>
                <w:sz w:val="24"/>
              </w:rPr>
              <w:t xml:space="preserve">50</w:t>
            </w:r>
          </w:p>
        </w:tc>
      </w:tr>
      <w:tr>
        <w:tc>
          <w:tcPr>
            <w:tcW w:w="4535" w:type="dxa"/>
          </w:tcPr>
          <w:p>
            <w:pPr>
              <w:pStyle w:val="0"/>
            </w:pPr>
            <w:r>
              <w:rPr>
                <w:sz w:val="24"/>
              </w:rPr>
              <w:t xml:space="preserve">5. Индивидуальные гаражи и открытые стоянки для автомобилей</w:t>
            </w:r>
          </w:p>
        </w:tc>
        <w:tc>
          <w:tcPr>
            <w:tcW w:w="1474" w:type="dxa"/>
            <w:vAlign w:val="center"/>
          </w:tcPr>
          <w:p>
            <w:pPr>
              <w:pStyle w:val="0"/>
              <w:jc w:val="center"/>
            </w:pPr>
            <w:r>
              <w:rPr>
                <w:sz w:val="24"/>
              </w:rPr>
              <w:t xml:space="preserve">18</w:t>
            </w:r>
          </w:p>
        </w:tc>
        <w:tc>
          <w:tcPr>
            <w:tcW w:w="1474" w:type="dxa"/>
            <w:vAlign w:val="center"/>
          </w:tcPr>
          <w:p>
            <w:pPr>
              <w:pStyle w:val="0"/>
              <w:jc w:val="center"/>
            </w:pPr>
            <w:r>
              <w:rPr>
                <w:sz w:val="24"/>
              </w:rPr>
              <w:t xml:space="preserve">30</w:t>
            </w:r>
          </w:p>
        </w:tc>
        <w:tc>
          <w:tcPr>
            <w:tcW w:w="1531" w:type="dxa"/>
            <w:vAlign w:val="center"/>
          </w:tcPr>
          <w:p>
            <w:pPr>
              <w:pStyle w:val="0"/>
              <w:jc w:val="center"/>
            </w:pPr>
            <w:r>
              <w:rPr>
                <w:sz w:val="24"/>
              </w:rPr>
              <w:t xml:space="preserve">20</w:t>
            </w:r>
          </w:p>
        </w:tc>
      </w:tr>
      <w:tr>
        <w:tc>
          <w:tcPr>
            <w:tcW w:w="4535" w:type="dxa"/>
          </w:tcPr>
          <w:p>
            <w:pPr>
              <w:pStyle w:val="0"/>
            </w:pPr>
            <w:r>
              <w:rPr>
                <w:sz w:val="24"/>
              </w:rPr>
              <w:t xml:space="preserve">6. Торговые киоски</w:t>
            </w:r>
          </w:p>
        </w:tc>
        <w:tc>
          <w:tcPr>
            <w:tcW w:w="1474" w:type="dxa"/>
            <w:vAlign w:val="center"/>
          </w:tcPr>
          <w:p>
            <w:pPr>
              <w:pStyle w:val="0"/>
              <w:jc w:val="center"/>
            </w:pPr>
            <w:r>
              <w:rPr>
                <w:sz w:val="24"/>
              </w:rPr>
              <w:t xml:space="preserve">20</w:t>
            </w:r>
          </w:p>
        </w:tc>
        <w:tc>
          <w:tcPr>
            <w:tcW w:w="1474" w:type="dxa"/>
            <w:vAlign w:val="center"/>
          </w:tcPr>
          <w:p>
            <w:pPr>
              <w:pStyle w:val="0"/>
              <w:jc w:val="center"/>
            </w:pPr>
            <w:r>
              <w:rPr>
                <w:sz w:val="24"/>
              </w:rPr>
              <w:t xml:space="preserve">25</w:t>
            </w:r>
          </w:p>
        </w:tc>
        <w:tc>
          <w:tcPr>
            <w:tcW w:w="1531" w:type="dxa"/>
            <w:vAlign w:val="center"/>
          </w:tcPr>
          <w:p>
            <w:pPr>
              <w:pStyle w:val="0"/>
              <w:jc w:val="center"/>
            </w:pPr>
            <w:r>
              <w:rPr>
                <w:sz w:val="24"/>
              </w:rPr>
              <w:t xml:space="preserve">25</w:t>
            </w:r>
          </w:p>
        </w:tc>
      </w:tr>
      <w:tr>
        <w:tblPrEx>
          <w:tblBorders>
            <w:insideH w:val="nil"/>
          </w:tblBorders>
        </w:tblPrEx>
        <w:tc>
          <w:tcPr>
            <w:tcW w:w="4535" w:type="dxa"/>
            <w:tcBorders>
              <w:bottom w:val="nil"/>
            </w:tcBorders>
          </w:tcPr>
          <w:p>
            <w:pPr>
              <w:pStyle w:val="0"/>
            </w:pPr>
            <w:r>
              <w:rPr>
                <w:sz w:val="24"/>
              </w:rPr>
              <w:t xml:space="preserve">7. Автомобильные дороги общей сети (край проезжей части):</w:t>
            </w:r>
          </w:p>
        </w:tc>
        <w:tc>
          <w:tcPr>
            <w:tcW w:w="1474" w:type="dxa"/>
            <w:vAlign w:val="center"/>
            <w:tcBorders>
              <w:bottom w:val="nil"/>
            </w:tcBorders>
          </w:tcPr>
          <w:p>
            <w:pPr>
              <w:pStyle w:val="0"/>
            </w:pPr>
            <w:r>
              <w:rPr>
                <w:sz w:val="24"/>
              </w:rPr>
            </w:r>
          </w:p>
        </w:tc>
        <w:tc>
          <w:tcPr>
            <w:tcW w:w="1474" w:type="dxa"/>
            <w:vAlign w:val="center"/>
            <w:tcBorders>
              <w:bottom w:val="nil"/>
            </w:tcBorders>
          </w:tcPr>
          <w:p>
            <w:pPr>
              <w:pStyle w:val="0"/>
            </w:pPr>
            <w:r>
              <w:rPr>
                <w:sz w:val="24"/>
              </w:rPr>
            </w:r>
          </w:p>
        </w:tc>
        <w:tc>
          <w:tcPr>
            <w:tcW w:w="1531" w:type="dxa"/>
            <w:vAlign w:val="center"/>
            <w:tcBorders>
              <w:bottom w:val="nil"/>
            </w:tcBorders>
          </w:tcPr>
          <w:p>
            <w:pPr>
              <w:pStyle w:val="0"/>
            </w:pPr>
            <w:r>
              <w:rPr>
                <w:sz w:val="24"/>
              </w:rPr>
            </w:r>
          </w:p>
        </w:tc>
      </w:tr>
      <w:tr>
        <w:tblPrEx>
          <w:tblBorders>
            <w:insideH w:val="nil"/>
          </w:tblBorders>
        </w:tblPrEx>
        <w:tc>
          <w:tcPr>
            <w:tcW w:w="4535" w:type="dxa"/>
            <w:tcBorders>
              <w:top w:val="nil"/>
              <w:bottom w:val="nil"/>
            </w:tcBorders>
          </w:tcPr>
          <w:p>
            <w:pPr>
              <w:pStyle w:val="0"/>
            </w:pPr>
            <w:r>
              <w:rPr>
                <w:sz w:val="24"/>
              </w:rPr>
              <w:t xml:space="preserve">I, II и III категории</w:t>
            </w:r>
          </w:p>
        </w:tc>
        <w:tc>
          <w:tcPr>
            <w:tcW w:w="1474" w:type="dxa"/>
            <w:vAlign w:val="center"/>
            <w:tcBorders>
              <w:top w:val="nil"/>
              <w:bottom w:val="nil"/>
            </w:tcBorders>
          </w:tcPr>
          <w:p>
            <w:pPr>
              <w:pStyle w:val="0"/>
              <w:jc w:val="center"/>
            </w:pPr>
            <w:r>
              <w:rPr>
                <w:sz w:val="24"/>
              </w:rPr>
              <w:t xml:space="preserve">12</w:t>
            </w:r>
          </w:p>
        </w:tc>
        <w:tc>
          <w:tcPr>
            <w:tcW w:w="1474" w:type="dxa"/>
            <w:vAlign w:val="center"/>
            <w:tcBorders>
              <w:top w:val="nil"/>
              <w:bottom w:val="nil"/>
            </w:tcBorders>
          </w:tcPr>
          <w:p>
            <w:pPr>
              <w:pStyle w:val="0"/>
              <w:jc w:val="center"/>
            </w:pPr>
            <w:r>
              <w:rPr>
                <w:sz w:val="24"/>
              </w:rPr>
              <w:t xml:space="preserve">20</w:t>
            </w:r>
          </w:p>
        </w:tc>
        <w:tc>
          <w:tcPr>
            <w:tcW w:w="1531" w:type="dxa"/>
            <w:vAlign w:val="center"/>
            <w:tcBorders>
              <w:top w:val="nil"/>
              <w:bottom w:val="nil"/>
            </w:tcBorders>
          </w:tcPr>
          <w:p>
            <w:pPr>
              <w:pStyle w:val="0"/>
              <w:jc w:val="center"/>
            </w:pPr>
            <w:r>
              <w:rPr>
                <w:sz w:val="24"/>
              </w:rPr>
              <w:t xml:space="preserve">15</w:t>
            </w:r>
          </w:p>
        </w:tc>
      </w:tr>
      <w:tr>
        <w:tblPrEx>
          <w:tblBorders>
            <w:insideH w:val="nil"/>
          </w:tblBorders>
        </w:tblPrEx>
        <w:tc>
          <w:tcPr>
            <w:tcW w:w="4535" w:type="dxa"/>
            <w:tcBorders>
              <w:top w:val="nil"/>
              <w:bottom w:val="nil"/>
            </w:tcBorders>
          </w:tcPr>
          <w:p>
            <w:pPr>
              <w:pStyle w:val="0"/>
            </w:pPr>
            <w:r>
              <w:rPr>
                <w:sz w:val="24"/>
              </w:rPr>
              <w:t xml:space="preserve">IV и V категории</w:t>
            </w:r>
          </w:p>
        </w:tc>
        <w:tc>
          <w:tcPr>
            <w:tcW w:w="1474" w:type="dxa"/>
            <w:vAlign w:val="center"/>
            <w:tcBorders>
              <w:top w:val="nil"/>
              <w:bottom w:val="nil"/>
            </w:tcBorders>
          </w:tcPr>
          <w:p>
            <w:pPr>
              <w:pStyle w:val="0"/>
              <w:jc w:val="center"/>
            </w:pPr>
            <w:r>
              <w:rPr>
                <w:sz w:val="24"/>
              </w:rPr>
              <w:t xml:space="preserve">9</w:t>
            </w:r>
          </w:p>
        </w:tc>
        <w:tc>
          <w:tcPr>
            <w:tcW w:w="1474" w:type="dxa"/>
            <w:vAlign w:val="center"/>
            <w:tcBorders>
              <w:top w:val="nil"/>
              <w:bottom w:val="nil"/>
            </w:tcBorders>
          </w:tcPr>
          <w:p>
            <w:pPr>
              <w:pStyle w:val="0"/>
              <w:jc w:val="center"/>
            </w:pPr>
            <w:r>
              <w:rPr>
                <w:sz w:val="24"/>
              </w:rPr>
              <w:t xml:space="preserve">12</w:t>
            </w:r>
          </w:p>
        </w:tc>
        <w:tc>
          <w:tcPr>
            <w:tcW w:w="1531" w:type="dxa"/>
            <w:vAlign w:val="center"/>
            <w:tcBorders>
              <w:top w:val="nil"/>
              <w:bottom w:val="nil"/>
            </w:tcBorders>
          </w:tcPr>
          <w:p>
            <w:pPr>
              <w:pStyle w:val="0"/>
              <w:jc w:val="center"/>
            </w:pPr>
            <w:r>
              <w:rPr>
                <w:sz w:val="24"/>
              </w:rPr>
              <w:t xml:space="preserve">9</w:t>
            </w:r>
          </w:p>
        </w:tc>
      </w:tr>
      <w:tr>
        <w:tblPrEx>
          <w:tblBorders>
            <w:insideH w:val="nil"/>
          </w:tblBorders>
        </w:tblPrEx>
        <w:tc>
          <w:tcPr>
            <w:tcW w:w="4535" w:type="dxa"/>
            <w:tcBorders>
              <w:top w:val="nil"/>
            </w:tcBorders>
          </w:tcPr>
          <w:p>
            <w:pPr>
              <w:pStyle w:val="0"/>
            </w:pPr>
            <w:r>
              <w:rPr>
                <w:sz w:val="24"/>
              </w:rPr>
              <w:t xml:space="preserve">Маршруты электрифицированного городского транспорта (до контактной сети)</w:t>
            </w:r>
          </w:p>
        </w:tc>
        <w:tc>
          <w:tcPr>
            <w:tcW w:w="1474" w:type="dxa"/>
            <w:vAlign w:val="center"/>
            <w:tcBorders>
              <w:top w:val="nil"/>
            </w:tcBorders>
          </w:tcPr>
          <w:p>
            <w:pPr>
              <w:pStyle w:val="0"/>
              <w:jc w:val="center"/>
            </w:pPr>
            <w:r>
              <w:rPr>
                <w:sz w:val="24"/>
              </w:rPr>
              <w:t xml:space="preserve">15</w:t>
            </w:r>
          </w:p>
        </w:tc>
        <w:tc>
          <w:tcPr>
            <w:tcW w:w="1474" w:type="dxa"/>
            <w:vAlign w:val="center"/>
            <w:tcBorders>
              <w:top w:val="nil"/>
            </w:tcBorders>
          </w:tcPr>
          <w:p>
            <w:pPr>
              <w:pStyle w:val="0"/>
              <w:jc w:val="center"/>
            </w:pPr>
            <w:r>
              <w:rPr>
                <w:sz w:val="24"/>
              </w:rPr>
              <w:t xml:space="preserve">20</w:t>
            </w:r>
          </w:p>
        </w:tc>
        <w:tc>
          <w:tcPr>
            <w:tcW w:w="1531" w:type="dxa"/>
            <w:vAlign w:val="center"/>
            <w:tcBorders>
              <w:top w:val="nil"/>
            </w:tcBorders>
          </w:tcPr>
          <w:p>
            <w:pPr>
              <w:pStyle w:val="0"/>
              <w:jc w:val="center"/>
            </w:pPr>
            <w:r>
              <w:rPr>
                <w:sz w:val="24"/>
              </w:rPr>
              <w:t xml:space="preserve">20</w:t>
            </w:r>
          </w:p>
        </w:tc>
      </w:tr>
      <w:tr>
        <w:tc>
          <w:tcPr>
            <w:tcW w:w="4535" w:type="dxa"/>
          </w:tcPr>
          <w:p>
            <w:pPr>
              <w:pStyle w:val="0"/>
            </w:pPr>
            <w:r>
              <w:rPr>
                <w:sz w:val="24"/>
              </w:rPr>
              <w:t xml:space="preserve">8. Железные дороги общей сети (до подошвы насыпи или бровки выемки)</w:t>
            </w:r>
          </w:p>
        </w:tc>
        <w:tc>
          <w:tcPr>
            <w:tcW w:w="1474" w:type="dxa"/>
            <w:vAlign w:val="center"/>
          </w:tcPr>
          <w:p>
            <w:pPr>
              <w:pStyle w:val="0"/>
              <w:jc w:val="center"/>
            </w:pPr>
            <w:r>
              <w:rPr>
                <w:sz w:val="24"/>
              </w:rPr>
              <w:t xml:space="preserve">25</w:t>
            </w:r>
          </w:p>
        </w:tc>
        <w:tc>
          <w:tcPr>
            <w:tcW w:w="1474" w:type="dxa"/>
            <w:vAlign w:val="center"/>
          </w:tcPr>
          <w:p>
            <w:pPr>
              <w:pStyle w:val="0"/>
              <w:jc w:val="center"/>
            </w:pPr>
            <w:r>
              <w:rPr>
                <w:sz w:val="24"/>
              </w:rPr>
              <w:t xml:space="preserve">30</w:t>
            </w:r>
          </w:p>
        </w:tc>
        <w:tc>
          <w:tcPr>
            <w:tcW w:w="1531" w:type="dxa"/>
            <w:vAlign w:val="center"/>
          </w:tcPr>
          <w:p>
            <w:pPr>
              <w:pStyle w:val="0"/>
              <w:jc w:val="center"/>
            </w:pPr>
            <w:r>
              <w:rPr>
                <w:sz w:val="24"/>
              </w:rPr>
              <w:t xml:space="preserve">30</w:t>
            </w:r>
          </w:p>
        </w:tc>
      </w:tr>
      <w:tr>
        <w:tc>
          <w:tcPr>
            <w:tcW w:w="4535" w:type="dxa"/>
          </w:tcPr>
          <w:p>
            <w:pPr>
              <w:pStyle w:val="0"/>
            </w:pPr>
            <w:r>
              <w:rPr>
                <w:sz w:val="24"/>
              </w:rPr>
              <w:t xml:space="preserve">9. Очистные канализационные сооружения и насосные станции, не относящиеся к АЗС</w:t>
            </w:r>
          </w:p>
        </w:tc>
        <w:tc>
          <w:tcPr>
            <w:tcW w:w="1474" w:type="dxa"/>
            <w:vAlign w:val="center"/>
          </w:tcPr>
          <w:p>
            <w:pPr>
              <w:pStyle w:val="0"/>
              <w:jc w:val="center"/>
            </w:pPr>
            <w:r>
              <w:rPr>
                <w:sz w:val="24"/>
              </w:rPr>
              <w:t xml:space="preserve">15</w:t>
            </w:r>
          </w:p>
        </w:tc>
        <w:tc>
          <w:tcPr>
            <w:tcW w:w="1474" w:type="dxa"/>
            <w:vAlign w:val="center"/>
          </w:tcPr>
          <w:p>
            <w:pPr>
              <w:pStyle w:val="0"/>
              <w:jc w:val="center"/>
            </w:pPr>
            <w:r>
              <w:rPr>
                <w:sz w:val="24"/>
              </w:rPr>
              <w:t xml:space="preserve">30</w:t>
            </w:r>
          </w:p>
        </w:tc>
        <w:tc>
          <w:tcPr>
            <w:tcW w:w="1531" w:type="dxa"/>
            <w:vAlign w:val="center"/>
          </w:tcPr>
          <w:p>
            <w:pPr>
              <w:pStyle w:val="0"/>
              <w:jc w:val="center"/>
            </w:pPr>
            <w:r>
              <w:rPr>
                <w:sz w:val="24"/>
              </w:rPr>
              <w:t xml:space="preserve">25</w:t>
            </w:r>
          </w:p>
        </w:tc>
      </w:tr>
      <w:tr>
        <w:tblPrEx>
          <w:tblBorders>
            <w:insideH w:val="nil"/>
          </w:tblBorders>
        </w:tblPrEx>
        <w:tc>
          <w:tcPr>
            <w:tcW w:w="4535" w:type="dxa"/>
            <w:tcBorders>
              <w:bottom w:val="nil"/>
            </w:tcBorders>
          </w:tcPr>
          <w:bookmarkStart w:id="370" w:name="P370"/>
          <w:bookmarkEnd w:id="370"/>
          <w:p>
            <w:pPr>
              <w:pStyle w:val="0"/>
            </w:pPr>
            <w:r>
              <w:rPr>
                <w:sz w:val="24"/>
              </w:rPr>
              <w:t xml:space="preserve">10. Наружные установки категорий АН, БН, ГН, здания и сооружения с наличием радиоактивных, а также вредных веществ I и II классов опасности по </w:t>
            </w:r>
            <w:hyperlink w:history="0" r:id="rId68"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1474" w:type="dxa"/>
            <w:vAlign w:val="center"/>
            <w:tcBorders>
              <w:bottom w:val="nil"/>
            </w:tcBorders>
          </w:tcPr>
          <w:p>
            <w:pPr>
              <w:pStyle w:val="0"/>
              <w:jc w:val="center"/>
            </w:pPr>
            <w:r>
              <w:rPr>
                <w:sz w:val="24"/>
              </w:rPr>
              <w:t xml:space="preserve">100</w:t>
            </w:r>
          </w:p>
        </w:tc>
        <w:tc>
          <w:tcPr>
            <w:tcW w:w="1474" w:type="dxa"/>
            <w:vAlign w:val="center"/>
            <w:tcBorders>
              <w:bottom w:val="nil"/>
            </w:tcBorders>
          </w:tcPr>
          <w:p>
            <w:pPr>
              <w:pStyle w:val="0"/>
              <w:jc w:val="center"/>
            </w:pPr>
            <w:r>
              <w:rPr>
                <w:sz w:val="24"/>
              </w:rPr>
              <w:t xml:space="preserve">100</w:t>
            </w:r>
          </w:p>
        </w:tc>
        <w:tc>
          <w:tcPr>
            <w:tcW w:w="1531" w:type="dxa"/>
            <w:vAlign w:val="center"/>
            <w:tcBorders>
              <w:bottom w:val="nil"/>
            </w:tcBorders>
          </w:tcPr>
          <w:p>
            <w:pPr>
              <w:pStyle w:val="0"/>
              <w:jc w:val="center"/>
            </w:pPr>
            <w:r>
              <w:rPr>
                <w:sz w:val="24"/>
              </w:rPr>
              <w:t xml:space="preserve">100</w:t>
            </w:r>
          </w:p>
        </w:tc>
      </w:tr>
      <w:tr>
        <w:tblPrEx>
          <w:tblBorders>
            <w:insideH w:val="nil"/>
          </w:tblBorders>
        </w:tblPrEx>
        <w:tc>
          <w:tcPr>
            <w:gridSpan w:val="4"/>
            <w:tcW w:w="9014" w:type="dxa"/>
            <w:tcBorders>
              <w:top w:val="nil"/>
            </w:tcBorders>
          </w:tcPr>
          <w:p>
            <w:pPr>
              <w:pStyle w:val="0"/>
              <w:jc w:val="both"/>
            </w:pPr>
            <w:r>
              <w:rPr>
                <w:sz w:val="24"/>
              </w:rPr>
              <w:t xml:space="preserve">(в ред. </w:t>
            </w:r>
            <w:hyperlink w:history="0" r:id="rId6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c>
          <w:tcPr>
            <w:tcW w:w="4535" w:type="dxa"/>
          </w:tcPr>
          <w:bookmarkStart w:id="375" w:name="P375"/>
          <w:bookmarkEnd w:id="375"/>
          <w:p>
            <w:pPr>
              <w:pStyle w:val="0"/>
            </w:pPr>
            <w:r>
              <w:rPr>
                <w:sz w:val="24"/>
              </w:rPr>
              <w:t xml:space="preserve">11. Линии электропередач, электроподстанции (в том числе трансформаторные подстанции)</w:t>
            </w:r>
          </w:p>
        </w:tc>
        <w:tc>
          <w:tcPr>
            <w:tcW w:w="1474" w:type="dxa"/>
            <w:vAlign w:val="center"/>
          </w:tcPr>
          <w:p>
            <w:pPr>
              <w:pStyle w:val="0"/>
              <w:jc w:val="center"/>
            </w:pPr>
            <w:r>
              <w:rPr>
                <w:sz w:val="24"/>
              </w:rPr>
              <w:t xml:space="preserve">В соответствии с </w:t>
            </w:r>
            <w:hyperlink w:history="0" w:anchor="P2089" w:tooltip="БИБЛИОГРАФИЯ">
              <w:r>
                <w:rPr>
                  <w:sz w:val="24"/>
                  <w:color w:val="0000ff"/>
                </w:rPr>
                <w:t xml:space="preserve">[3]</w:t>
              </w:r>
            </w:hyperlink>
          </w:p>
        </w:tc>
        <w:tc>
          <w:tcPr>
            <w:tcW w:w="1474" w:type="dxa"/>
            <w:vAlign w:val="center"/>
          </w:tcPr>
          <w:p>
            <w:pPr>
              <w:pStyle w:val="0"/>
              <w:jc w:val="center"/>
            </w:pPr>
            <w:r>
              <w:rPr>
                <w:sz w:val="24"/>
              </w:rPr>
              <w:t xml:space="preserve">В соответствии с </w:t>
            </w:r>
            <w:hyperlink w:history="0" w:anchor="P2089" w:tooltip="БИБЛИОГРАФИЯ">
              <w:r>
                <w:rPr>
                  <w:sz w:val="24"/>
                  <w:color w:val="0000ff"/>
                </w:rPr>
                <w:t xml:space="preserve">[3]</w:t>
              </w:r>
            </w:hyperlink>
          </w:p>
        </w:tc>
        <w:tc>
          <w:tcPr>
            <w:tcW w:w="1531" w:type="dxa"/>
            <w:vAlign w:val="center"/>
          </w:tcPr>
          <w:p>
            <w:pPr>
              <w:pStyle w:val="0"/>
              <w:jc w:val="center"/>
            </w:pPr>
            <w:r>
              <w:rPr>
                <w:sz w:val="24"/>
              </w:rPr>
              <w:t xml:space="preserve">В соответствии с </w:t>
            </w:r>
            <w:hyperlink w:history="0" w:anchor="P2089" w:tooltip="БИБЛИОГРАФИЯ">
              <w:r>
                <w:rPr>
                  <w:sz w:val="24"/>
                  <w:color w:val="0000ff"/>
                </w:rPr>
                <w:t xml:space="preserve">[3]</w:t>
              </w:r>
            </w:hyperlink>
          </w:p>
        </w:tc>
      </w:tr>
      <w:tr>
        <w:tc>
          <w:tcPr>
            <w:tcW w:w="4535" w:type="dxa"/>
          </w:tcPr>
          <w:bookmarkStart w:id="379" w:name="P379"/>
          <w:bookmarkEnd w:id="379"/>
          <w:p>
            <w:pPr>
              <w:pStyle w:val="0"/>
            </w:pPr>
            <w:r>
              <w:rPr>
                <w:sz w:val="24"/>
              </w:rPr>
              <w:t xml:space="preserve">12. Склады (вне зданий): лесных материалов, торфа, волокнистых горючих веществ, сена, соломы, а также участки открытого залегания торфа</w:t>
            </w:r>
          </w:p>
        </w:tc>
        <w:tc>
          <w:tcPr>
            <w:tcW w:w="1474" w:type="dxa"/>
            <w:vAlign w:val="center"/>
          </w:tcPr>
          <w:p>
            <w:pPr>
              <w:pStyle w:val="0"/>
              <w:jc w:val="center"/>
            </w:pPr>
            <w:r>
              <w:rPr>
                <w:sz w:val="24"/>
              </w:rPr>
              <w:t xml:space="preserve">20</w:t>
            </w:r>
          </w:p>
        </w:tc>
        <w:tc>
          <w:tcPr>
            <w:tcW w:w="1474" w:type="dxa"/>
            <w:vAlign w:val="center"/>
          </w:tcPr>
          <w:p>
            <w:pPr>
              <w:pStyle w:val="0"/>
              <w:jc w:val="center"/>
            </w:pPr>
            <w:r>
              <w:rPr>
                <w:sz w:val="24"/>
              </w:rPr>
              <w:t xml:space="preserve">40</w:t>
            </w:r>
          </w:p>
        </w:tc>
        <w:tc>
          <w:tcPr>
            <w:tcW w:w="1531" w:type="dxa"/>
            <w:vAlign w:val="center"/>
          </w:tcPr>
          <w:p>
            <w:pPr>
              <w:pStyle w:val="0"/>
              <w:jc w:val="center"/>
            </w:pPr>
            <w:r>
              <w:rPr>
                <w:sz w:val="24"/>
              </w:rPr>
              <w:t xml:space="preserve">30</w:t>
            </w:r>
          </w:p>
        </w:tc>
      </w:tr>
      <w:tr>
        <w:tblPrEx>
          <w:tblBorders>
            <w:insideH w:val="nil"/>
          </w:tblBorders>
        </w:tblPrEx>
        <w:tc>
          <w:tcPr>
            <w:gridSpan w:val="4"/>
            <w:tcW w:w="9014" w:type="dxa"/>
            <w:tcBorders>
              <w:bottom w:val="nil"/>
            </w:tcBorders>
          </w:tcPr>
          <w:bookmarkStart w:id="383" w:name="P383"/>
          <w:bookmarkEnd w:id="383"/>
          <w:p>
            <w:pPr>
              <w:pStyle w:val="0"/>
              <w:jc w:val="both"/>
            </w:pPr>
            <w:r>
              <w:rPr>
                <w:sz w:val="24"/>
              </w:rPr>
              <w:t xml:space="preserve">Примечания</w:t>
            </w:r>
          </w:p>
          <w:p>
            <w:pPr>
              <w:pStyle w:val="0"/>
              <w:jc w:val="both"/>
            </w:pPr>
            <w:r>
              <w:rPr>
                <w:sz w:val="24"/>
              </w:rPr>
              <w:t xml:space="preserve">1. Расстояния от АЗС с надземными резервуарами, а также от подземных резервуаров до стен жилых и общественных зданий I и II степени огнестойкости класса С0 или С1, указанные в </w:t>
            </w:r>
            <w:hyperlink w:history="0" w:anchor="P306" w:tooltip="Таблица 1">
              <w:r>
                <w:rPr>
                  <w:sz w:val="24"/>
                  <w:color w:val="0000ff"/>
                </w:rPr>
                <w:t xml:space="preserve">таблице 1</w:t>
              </w:r>
            </w:hyperlink>
            <w:r>
              <w:rPr>
                <w:sz w:val="24"/>
              </w:rPr>
              <w:t xml:space="preserve"> настоящего свода правил, допускается уменьшать (за исключением расстояний до окон и дверей) не более чем на 25%, за исключением расстояний от надземных резервуаров с одностенными перекрытиями.</w:t>
            </w:r>
          </w:p>
          <w:p>
            <w:pPr>
              <w:pStyle w:val="0"/>
              <w:jc w:val="both"/>
            </w:pPr>
            <w:r>
              <w:rPr>
                <w:sz w:val="24"/>
              </w:rPr>
              <w:t xml:space="preserve">2. При оснащении технологической системы АЗС системой флегматизации или иными системами, предотвращающими воспламенение и/или сгорание паровоздушных смесей внутри технологического оборудования, указанные в </w:t>
            </w:r>
            <w:hyperlink w:history="0" w:anchor="P306" w:tooltip="Таблица 1">
              <w:r>
                <w:rPr>
                  <w:sz w:val="24"/>
                  <w:color w:val="0000ff"/>
                </w:rPr>
                <w:t xml:space="preserve">таблице 1</w:t>
              </w:r>
            </w:hyperlink>
            <w:r>
              <w:rPr>
                <w:sz w:val="24"/>
              </w:rPr>
              <w:t xml:space="preserve"> настоящего свода правил расстояния допускается уменьшать не более чем на 25% (за исключением указанных в </w:t>
            </w:r>
            <w:hyperlink w:history="0" w:anchor="P330" w:tooltip="3. Здания и сооружения классов функциональной пожарной опасности Ф1 - Ф4 (за исключением указанных в строке 1)">
              <w:r>
                <w:rPr>
                  <w:sz w:val="24"/>
                  <w:color w:val="0000ff"/>
                </w:rPr>
                <w:t xml:space="preserve">строках 3</w:t>
              </w:r>
            </w:hyperlink>
            <w:r>
              <w:rPr>
                <w:sz w:val="24"/>
              </w:rPr>
              <w:t xml:space="preserve">, </w:t>
            </w:r>
            <w:hyperlink w:history="0" w:anchor="P334" w:tooltip="4. Места массового пребывания людей">
              <w:r>
                <w:rPr>
                  <w:sz w:val="24"/>
                  <w:color w:val="0000ff"/>
                </w:rPr>
                <w:t xml:space="preserve">4</w:t>
              </w:r>
            </w:hyperlink>
            <w:r>
              <w:rPr>
                <w:sz w:val="24"/>
              </w:rPr>
              <w:t xml:space="preserve">, </w:t>
            </w:r>
            <w:hyperlink w:history="0" w:anchor="P370" w:tooltip="10.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10</w:t>
              </w:r>
            </w:hyperlink>
            <w:r>
              <w:rPr>
                <w:sz w:val="24"/>
              </w:rPr>
              <w:t xml:space="preserve">, </w:t>
            </w:r>
            <w:hyperlink w:history="0" w:anchor="P375" w:tooltip="11. Линии электропередач, электроподстанции (в том числе трансформаторные подстанции)">
              <w:r>
                <w:rPr>
                  <w:sz w:val="24"/>
                  <w:color w:val="0000ff"/>
                </w:rPr>
                <w:t xml:space="preserve">11</w:t>
              </w:r>
            </w:hyperlink>
            <w:r>
              <w:rPr>
                <w:sz w:val="24"/>
              </w:rPr>
              <w:t xml:space="preserve">).</w:t>
            </w:r>
          </w:p>
          <w:p>
            <w:pPr>
              <w:pStyle w:val="0"/>
              <w:jc w:val="both"/>
            </w:pPr>
            <w:r>
              <w:rPr>
                <w:sz w:val="24"/>
              </w:rPr>
              <w:t xml:space="preserve">3. Расстояния от АЗС до границ лесных насаждений смешанных пород (хвойных и лиственных) лесничеств допускается уменьшать в два раза. При этом вдоль границ лесных насаждений лесничеств с АЗС должны предусматриваться наземное покрытие из материалов, не распространяющих пламя по своей поверхности, или вспаханная полоса земли шириной не менее 5 м.</w:t>
            </w:r>
          </w:p>
        </w:tc>
      </w:tr>
      <w:tr>
        <w:tblPrEx>
          <w:tblBorders>
            <w:insideH w:val="nil"/>
          </w:tblBorders>
        </w:tblPrEx>
        <w:tc>
          <w:tcPr>
            <w:gridSpan w:val="4"/>
            <w:tcW w:w="9014" w:type="dxa"/>
            <w:tcBorders>
              <w:top w:val="nil"/>
            </w:tcBorders>
          </w:tcPr>
          <w:p>
            <w:pPr>
              <w:pStyle w:val="0"/>
              <w:jc w:val="both"/>
            </w:pPr>
            <w:r>
              <w:rPr>
                <w:sz w:val="24"/>
              </w:rPr>
              <w:t xml:space="preserve">(в ред. </w:t>
            </w:r>
            <w:hyperlink w:history="0" r:id="rId7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bl>
    <w:p>
      <w:pPr>
        <w:pStyle w:val="0"/>
        <w:jc w:val="both"/>
      </w:pPr>
      <w:r>
        <w:rPr>
          <w:sz w:val="24"/>
        </w:rPr>
      </w:r>
    </w:p>
    <w:p>
      <w:pPr>
        <w:pStyle w:val="0"/>
        <w:ind w:firstLine="540"/>
        <w:jc w:val="both"/>
      </w:pPr>
      <w:r>
        <w:rPr>
          <w:sz w:val="24"/>
        </w:rPr>
        <w:t xml:space="preserve">7.2. Минимальные расстояния между зданиями и сооружениями, расположенными на территории АЗС жидкого моторного топлива с подземными резервуарами, принимаются в соответствии с таблицей 2.</w:t>
      </w:r>
    </w:p>
    <w:p>
      <w:pPr>
        <w:pStyle w:val="0"/>
        <w:jc w:val="both"/>
      </w:pPr>
      <w:r>
        <w:rPr>
          <w:sz w:val="24"/>
        </w:rPr>
      </w:r>
    </w:p>
    <w:bookmarkStart w:id="391" w:name="P391"/>
    <w:bookmarkEnd w:id="391"/>
    <w:p>
      <w:pPr>
        <w:pStyle w:val="2"/>
        <w:outlineLvl w:val="2"/>
        <w:jc w:val="both"/>
      </w:pPr>
      <w:r>
        <w:rPr>
          <w:sz w:val="24"/>
        </w:rPr>
        <w:t xml:space="preserve">Таблица 2</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742"/>
        <w:gridCol w:w="964"/>
        <w:gridCol w:w="1134"/>
        <w:gridCol w:w="1077"/>
        <w:gridCol w:w="1020"/>
        <w:gridCol w:w="964"/>
        <w:gridCol w:w="1077"/>
        <w:gridCol w:w="1020"/>
        <w:gridCol w:w="1020"/>
        <w:gridCol w:w="850"/>
        <w:gridCol w:w="874"/>
      </w:tblGrid>
      <w:tr>
        <w:tc>
          <w:tcPr>
            <w:tcW w:w="3742" w:type="dxa"/>
            <w:vMerge w:val="restart"/>
          </w:tcPr>
          <w:p>
            <w:pPr>
              <w:pStyle w:val="0"/>
              <w:jc w:val="center"/>
            </w:pPr>
            <w:r>
              <w:rPr>
                <w:sz w:val="24"/>
              </w:rPr>
              <w:t xml:space="preserve">Наименование зданий и сооружений АЗС</w:t>
            </w:r>
          </w:p>
        </w:tc>
        <w:tc>
          <w:tcPr>
            <w:gridSpan w:val="10"/>
            <w:tcW w:w="10000" w:type="dxa"/>
          </w:tcPr>
          <w:p>
            <w:pPr>
              <w:pStyle w:val="0"/>
              <w:jc w:val="center"/>
            </w:pPr>
            <w:r>
              <w:rPr>
                <w:sz w:val="24"/>
              </w:rPr>
              <w:t xml:space="preserve">Минимальное расстояние между соответствующими зданиями, сооружениями и оборудованием в порядке их записи в заголовке таблицы, м</w:t>
            </w:r>
          </w:p>
        </w:tc>
      </w:tr>
      <w:tr>
        <w:tc>
          <w:tcPr>
            <w:vMerge w:val="continue"/>
          </w:tcPr>
          <w:p/>
        </w:tc>
        <w:tc>
          <w:tcPr>
            <w:tcW w:w="964" w:type="dxa"/>
          </w:tcPr>
          <w:p>
            <w:pPr>
              <w:pStyle w:val="0"/>
              <w:jc w:val="center"/>
            </w:pPr>
            <w:r>
              <w:rPr>
                <w:sz w:val="24"/>
              </w:rPr>
              <w:t xml:space="preserve">1</w:t>
            </w:r>
          </w:p>
        </w:tc>
        <w:tc>
          <w:tcPr>
            <w:tcW w:w="1134" w:type="dxa"/>
          </w:tcPr>
          <w:p>
            <w:pPr>
              <w:pStyle w:val="0"/>
              <w:jc w:val="center"/>
            </w:pPr>
            <w:r>
              <w:rPr>
                <w:sz w:val="24"/>
              </w:rPr>
              <w:t xml:space="preserve">2</w:t>
            </w:r>
          </w:p>
        </w:tc>
        <w:tc>
          <w:tcPr>
            <w:tcW w:w="1077" w:type="dxa"/>
          </w:tcPr>
          <w:p>
            <w:pPr>
              <w:pStyle w:val="0"/>
              <w:jc w:val="center"/>
            </w:pPr>
            <w:r>
              <w:rPr>
                <w:sz w:val="24"/>
              </w:rPr>
              <w:t xml:space="preserve">3</w:t>
            </w:r>
          </w:p>
        </w:tc>
        <w:tc>
          <w:tcPr>
            <w:tcW w:w="1020" w:type="dxa"/>
          </w:tcPr>
          <w:p>
            <w:pPr>
              <w:pStyle w:val="0"/>
              <w:jc w:val="center"/>
            </w:pPr>
            <w:r>
              <w:rPr>
                <w:sz w:val="24"/>
              </w:rPr>
              <w:t xml:space="preserve">4 а)</w:t>
            </w:r>
          </w:p>
        </w:tc>
        <w:tc>
          <w:tcPr>
            <w:tcW w:w="964" w:type="dxa"/>
          </w:tcPr>
          <w:p>
            <w:pPr>
              <w:pStyle w:val="0"/>
              <w:jc w:val="center"/>
            </w:pPr>
            <w:r>
              <w:rPr>
                <w:sz w:val="24"/>
              </w:rPr>
              <w:t xml:space="preserve">4 б)</w:t>
            </w:r>
          </w:p>
        </w:tc>
        <w:tc>
          <w:tcPr>
            <w:tcW w:w="1077" w:type="dxa"/>
          </w:tcPr>
          <w:p>
            <w:pPr>
              <w:pStyle w:val="0"/>
              <w:jc w:val="center"/>
            </w:pPr>
            <w:r>
              <w:rPr>
                <w:sz w:val="24"/>
              </w:rPr>
              <w:t xml:space="preserve">5 а)</w:t>
            </w:r>
          </w:p>
        </w:tc>
        <w:tc>
          <w:tcPr>
            <w:tcW w:w="1020" w:type="dxa"/>
          </w:tcPr>
          <w:p>
            <w:pPr>
              <w:pStyle w:val="0"/>
              <w:jc w:val="center"/>
            </w:pPr>
            <w:r>
              <w:rPr>
                <w:sz w:val="24"/>
              </w:rPr>
              <w:t xml:space="preserve">5 б)</w:t>
            </w:r>
          </w:p>
        </w:tc>
        <w:tc>
          <w:tcPr>
            <w:tcW w:w="1020" w:type="dxa"/>
          </w:tcPr>
          <w:p>
            <w:pPr>
              <w:pStyle w:val="0"/>
              <w:jc w:val="center"/>
            </w:pPr>
            <w:r>
              <w:rPr>
                <w:sz w:val="24"/>
              </w:rPr>
              <w:t xml:space="preserve">6</w:t>
            </w:r>
          </w:p>
        </w:tc>
        <w:tc>
          <w:tcPr>
            <w:tcW w:w="850" w:type="dxa"/>
          </w:tcPr>
          <w:p>
            <w:pPr>
              <w:pStyle w:val="0"/>
              <w:jc w:val="center"/>
            </w:pPr>
            <w:r>
              <w:rPr>
                <w:sz w:val="24"/>
              </w:rPr>
              <w:t xml:space="preserve">7</w:t>
            </w:r>
          </w:p>
        </w:tc>
        <w:tc>
          <w:tcPr>
            <w:tcW w:w="874" w:type="dxa"/>
          </w:tcPr>
          <w:p>
            <w:pPr>
              <w:pStyle w:val="0"/>
              <w:jc w:val="center"/>
            </w:pPr>
            <w:r>
              <w:rPr>
                <w:sz w:val="24"/>
              </w:rPr>
              <w:t xml:space="preserve">8</w:t>
            </w:r>
          </w:p>
        </w:tc>
      </w:tr>
      <w:tr>
        <w:tc>
          <w:tcPr>
            <w:tcW w:w="3742" w:type="dxa"/>
          </w:tcPr>
          <w:p>
            <w:pPr>
              <w:pStyle w:val="0"/>
            </w:pPr>
            <w:r>
              <w:rPr>
                <w:sz w:val="24"/>
              </w:rPr>
              <w:t xml:space="preserve">1. Подземные резервуары для хранения топлива</w:t>
            </w:r>
          </w:p>
        </w:tc>
        <w:tc>
          <w:tcPr>
            <w:tcW w:w="964" w:type="dxa"/>
            <w:vAlign w:val="center"/>
          </w:tcPr>
          <w:p>
            <w:pPr>
              <w:pStyle w:val="0"/>
              <w:jc w:val="center"/>
            </w:pPr>
            <w:r>
              <w:rPr>
                <w:sz w:val="24"/>
              </w:rPr>
              <w:t xml:space="preserve">-</w:t>
            </w:r>
          </w:p>
        </w:tc>
        <w:tc>
          <w:tcPr>
            <w:tcW w:w="1134" w:type="dxa"/>
            <w:vAlign w:val="center"/>
          </w:tcPr>
          <w:p>
            <w:pPr>
              <w:pStyle w:val="0"/>
              <w:jc w:val="center"/>
            </w:pPr>
            <w:r>
              <w:rPr>
                <w:sz w:val="24"/>
              </w:rPr>
              <w:t xml:space="preserve">4</w:t>
            </w:r>
          </w:p>
        </w:tc>
        <w:tc>
          <w:tcPr>
            <w:tcW w:w="1077" w:type="dxa"/>
            <w:vAlign w:val="center"/>
          </w:tcPr>
          <w:p>
            <w:pPr>
              <w:pStyle w:val="0"/>
              <w:jc w:val="center"/>
            </w:pPr>
            <w:r>
              <w:rPr>
                <w:sz w:val="24"/>
              </w:rPr>
              <w:t xml:space="preserve">-</w:t>
            </w:r>
          </w:p>
        </w:tc>
        <w:tc>
          <w:tcPr>
            <w:tcW w:w="1020" w:type="dxa"/>
            <w:vAlign w:val="center"/>
          </w:tcPr>
          <w:p>
            <w:pPr>
              <w:pStyle w:val="0"/>
              <w:jc w:val="center"/>
            </w:pPr>
            <w:r>
              <w:rPr>
                <w:sz w:val="24"/>
              </w:rPr>
              <w:t xml:space="preserve">3/9</w:t>
            </w:r>
          </w:p>
        </w:tc>
        <w:tc>
          <w:tcPr>
            <w:tcW w:w="964" w:type="dxa"/>
            <w:vAlign w:val="center"/>
          </w:tcPr>
          <w:p>
            <w:pPr>
              <w:pStyle w:val="0"/>
              <w:jc w:val="center"/>
            </w:pPr>
            <w:r>
              <w:rPr>
                <w:sz w:val="24"/>
              </w:rPr>
              <w:t xml:space="preserve">9</w:t>
            </w:r>
          </w:p>
        </w:tc>
        <w:tc>
          <w:tcPr>
            <w:tcW w:w="1077" w:type="dxa"/>
            <w:vAlign w:val="center"/>
          </w:tcPr>
          <w:p>
            <w:pPr>
              <w:pStyle w:val="0"/>
              <w:jc w:val="center"/>
            </w:pPr>
            <w:r>
              <w:rPr>
                <w:sz w:val="24"/>
              </w:rPr>
              <w:t xml:space="preserve">9/15</w:t>
            </w:r>
          </w:p>
        </w:tc>
        <w:tc>
          <w:tcPr>
            <w:tcW w:w="1020" w:type="dxa"/>
            <w:vAlign w:val="center"/>
          </w:tcPr>
          <w:p>
            <w:pPr>
              <w:pStyle w:val="0"/>
              <w:jc w:val="center"/>
            </w:pPr>
            <w:r>
              <w:rPr>
                <w:sz w:val="24"/>
              </w:rPr>
              <w:t xml:space="preserve">15</w:t>
            </w:r>
          </w:p>
        </w:tc>
        <w:tc>
          <w:tcPr>
            <w:tcW w:w="1020" w:type="dxa"/>
            <w:vAlign w:val="center"/>
          </w:tcPr>
          <w:p>
            <w:pPr>
              <w:pStyle w:val="0"/>
              <w:jc w:val="center"/>
            </w:pPr>
            <w:r>
              <w:rPr>
                <w:sz w:val="24"/>
              </w:rPr>
              <w:t xml:space="preserve">-</w:t>
            </w:r>
          </w:p>
        </w:tc>
        <w:tc>
          <w:tcPr>
            <w:tcW w:w="850" w:type="dxa"/>
            <w:vAlign w:val="center"/>
          </w:tcPr>
          <w:p>
            <w:pPr>
              <w:pStyle w:val="0"/>
              <w:jc w:val="center"/>
            </w:pPr>
            <w:r>
              <w:rPr>
                <w:sz w:val="24"/>
              </w:rPr>
              <w:t xml:space="preserve">6</w:t>
            </w:r>
          </w:p>
        </w:tc>
        <w:tc>
          <w:tcPr>
            <w:tcW w:w="874" w:type="dxa"/>
            <w:vAlign w:val="center"/>
          </w:tcPr>
          <w:p>
            <w:pPr>
              <w:pStyle w:val="0"/>
              <w:jc w:val="center"/>
            </w:pPr>
            <w:r>
              <w:rPr>
                <w:sz w:val="24"/>
              </w:rPr>
              <w:t xml:space="preserve">9</w:t>
            </w:r>
          </w:p>
        </w:tc>
      </w:tr>
      <w:tr>
        <w:tc>
          <w:tcPr>
            <w:tcW w:w="3742" w:type="dxa"/>
          </w:tcPr>
          <w:p>
            <w:pPr>
              <w:pStyle w:val="0"/>
            </w:pPr>
            <w:r>
              <w:rPr>
                <w:sz w:val="24"/>
              </w:rPr>
              <w:t xml:space="preserve">2. Топливораздаточные колонки</w:t>
            </w:r>
          </w:p>
        </w:tc>
        <w:tc>
          <w:tcPr>
            <w:tcW w:w="964" w:type="dxa"/>
            <w:vAlign w:val="center"/>
          </w:tcPr>
          <w:p>
            <w:pPr>
              <w:pStyle w:val="0"/>
              <w:jc w:val="center"/>
            </w:pPr>
            <w:r>
              <w:rPr>
                <w:sz w:val="24"/>
              </w:rPr>
              <w:t xml:space="preserve">4</w:t>
            </w:r>
          </w:p>
        </w:tc>
        <w:tc>
          <w:tcPr>
            <w:tcW w:w="1134" w:type="dxa"/>
            <w:vAlign w:val="center"/>
          </w:tcPr>
          <w:p>
            <w:pPr>
              <w:pStyle w:val="0"/>
              <w:jc w:val="center"/>
            </w:pPr>
            <w:r>
              <w:rPr>
                <w:sz w:val="24"/>
              </w:rPr>
              <w:t xml:space="preserve">-</w:t>
            </w:r>
          </w:p>
        </w:tc>
        <w:tc>
          <w:tcPr>
            <w:tcW w:w="1077" w:type="dxa"/>
            <w:vAlign w:val="center"/>
          </w:tcPr>
          <w:p>
            <w:pPr>
              <w:pStyle w:val="0"/>
              <w:jc w:val="center"/>
            </w:pPr>
            <w:r>
              <w:rPr>
                <w:sz w:val="24"/>
              </w:rPr>
              <w:t xml:space="preserve">-</w:t>
            </w:r>
          </w:p>
        </w:tc>
        <w:tc>
          <w:tcPr>
            <w:tcW w:w="1020" w:type="dxa"/>
            <w:vAlign w:val="center"/>
          </w:tcPr>
          <w:p>
            <w:pPr>
              <w:pStyle w:val="0"/>
              <w:jc w:val="center"/>
            </w:pPr>
            <w:r>
              <w:rPr>
                <w:sz w:val="24"/>
              </w:rPr>
              <w:t xml:space="preserve">6/9</w:t>
            </w:r>
          </w:p>
        </w:tc>
        <w:tc>
          <w:tcPr>
            <w:tcW w:w="964" w:type="dxa"/>
            <w:vAlign w:val="center"/>
          </w:tcPr>
          <w:p>
            <w:pPr>
              <w:pStyle w:val="0"/>
              <w:jc w:val="center"/>
            </w:pPr>
            <w:r>
              <w:rPr>
                <w:sz w:val="24"/>
              </w:rPr>
              <w:t xml:space="preserve">9</w:t>
            </w:r>
          </w:p>
        </w:tc>
        <w:tc>
          <w:tcPr>
            <w:tcW w:w="1077" w:type="dxa"/>
            <w:vAlign w:val="center"/>
          </w:tcPr>
          <w:p>
            <w:pPr>
              <w:pStyle w:val="0"/>
              <w:jc w:val="center"/>
            </w:pPr>
            <w:r>
              <w:rPr>
                <w:sz w:val="24"/>
              </w:rPr>
              <w:t xml:space="preserve">12/15</w:t>
            </w:r>
          </w:p>
        </w:tc>
        <w:tc>
          <w:tcPr>
            <w:tcW w:w="1020" w:type="dxa"/>
            <w:vAlign w:val="center"/>
          </w:tcPr>
          <w:p>
            <w:pPr>
              <w:pStyle w:val="0"/>
              <w:jc w:val="center"/>
            </w:pPr>
            <w:r>
              <w:rPr>
                <w:sz w:val="24"/>
              </w:rPr>
              <w:t xml:space="preserve">15</w:t>
            </w:r>
          </w:p>
        </w:tc>
        <w:tc>
          <w:tcPr>
            <w:tcW w:w="1020" w:type="dxa"/>
            <w:vAlign w:val="center"/>
          </w:tcPr>
          <w:p>
            <w:pPr>
              <w:pStyle w:val="0"/>
              <w:jc w:val="center"/>
            </w:pPr>
            <w:r>
              <w:rPr>
                <w:sz w:val="24"/>
              </w:rPr>
              <w:t xml:space="preserve">4</w:t>
            </w:r>
          </w:p>
        </w:tc>
        <w:tc>
          <w:tcPr>
            <w:tcW w:w="850" w:type="dxa"/>
            <w:vAlign w:val="center"/>
          </w:tcPr>
          <w:p>
            <w:pPr>
              <w:pStyle w:val="0"/>
              <w:jc w:val="center"/>
            </w:pPr>
            <w:r>
              <w:rPr>
                <w:sz w:val="24"/>
              </w:rPr>
              <w:t xml:space="preserve">9</w:t>
            </w:r>
          </w:p>
        </w:tc>
        <w:tc>
          <w:tcPr>
            <w:tcW w:w="874" w:type="dxa"/>
            <w:vAlign w:val="center"/>
          </w:tcPr>
          <w:p>
            <w:pPr>
              <w:pStyle w:val="0"/>
              <w:jc w:val="center"/>
            </w:pPr>
            <w:r>
              <w:rPr>
                <w:sz w:val="24"/>
              </w:rPr>
              <w:t xml:space="preserve">9</w:t>
            </w:r>
          </w:p>
        </w:tc>
      </w:tr>
      <w:tr>
        <w:tc>
          <w:tcPr>
            <w:tcW w:w="3742" w:type="dxa"/>
          </w:tcPr>
          <w:p>
            <w:pPr>
              <w:pStyle w:val="0"/>
            </w:pPr>
            <w:r>
              <w:rPr>
                <w:sz w:val="24"/>
              </w:rPr>
              <w:t xml:space="preserve">3. Площадка для АЦ</w:t>
            </w:r>
          </w:p>
        </w:tc>
        <w:tc>
          <w:tcPr>
            <w:tcW w:w="964" w:type="dxa"/>
            <w:vAlign w:val="center"/>
          </w:tcPr>
          <w:p>
            <w:pPr>
              <w:pStyle w:val="0"/>
              <w:jc w:val="center"/>
            </w:pPr>
            <w:r>
              <w:rPr>
                <w:sz w:val="24"/>
              </w:rPr>
              <w:t xml:space="preserve">-</w:t>
            </w:r>
          </w:p>
        </w:tc>
        <w:tc>
          <w:tcPr>
            <w:tcW w:w="1134" w:type="dxa"/>
            <w:vAlign w:val="center"/>
          </w:tcPr>
          <w:p>
            <w:pPr>
              <w:pStyle w:val="0"/>
              <w:jc w:val="center"/>
            </w:pPr>
            <w:r>
              <w:rPr>
                <w:sz w:val="24"/>
              </w:rPr>
              <w:t xml:space="preserve">-</w:t>
            </w:r>
          </w:p>
        </w:tc>
        <w:tc>
          <w:tcPr>
            <w:tcW w:w="1077" w:type="dxa"/>
            <w:vAlign w:val="center"/>
          </w:tcPr>
          <w:p>
            <w:pPr>
              <w:pStyle w:val="0"/>
              <w:jc w:val="center"/>
            </w:pPr>
            <w:r>
              <w:rPr>
                <w:sz w:val="24"/>
              </w:rPr>
              <w:t xml:space="preserve">-</w:t>
            </w:r>
          </w:p>
        </w:tc>
        <w:tc>
          <w:tcPr>
            <w:tcW w:w="1020" w:type="dxa"/>
            <w:vAlign w:val="center"/>
          </w:tcPr>
          <w:p>
            <w:pPr>
              <w:pStyle w:val="0"/>
              <w:jc w:val="center"/>
            </w:pPr>
            <w:r>
              <w:rPr>
                <w:sz w:val="24"/>
              </w:rPr>
              <w:t xml:space="preserve">6/9</w:t>
            </w:r>
          </w:p>
        </w:tc>
        <w:tc>
          <w:tcPr>
            <w:tcW w:w="964" w:type="dxa"/>
            <w:vAlign w:val="center"/>
          </w:tcPr>
          <w:p>
            <w:pPr>
              <w:pStyle w:val="0"/>
              <w:jc w:val="center"/>
            </w:pPr>
            <w:r>
              <w:rPr>
                <w:sz w:val="24"/>
              </w:rPr>
              <w:t xml:space="preserve">9</w:t>
            </w:r>
          </w:p>
        </w:tc>
        <w:tc>
          <w:tcPr>
            <w:tcW w:w="1077" w:type="dxa"/>
            <w:vAlign w:val="center"/>
          </w:tcPr>
          <w:p>
            <w:pPr>
              <w:pStyle w:val="0"/>
              <w:jc w:val="center"/>
            </w:pPr>
            <w:r>
              <w:rPr>
                <w:sz w:val="24"/>
              </w:rPr>
              <w:t xml:space="preserve">12/15</w:t>
            </w:r>
          </w:p>
        </w:tc>
        <w:tc>
          <w:tcPr>
            <w:tcW w:w="1020" w:type="dxa"/>
            <w:vAlign w:val="center"/>
          </w:tcPr>
          <w:p>
            <w:pPr>
              <w:pStyle w:val="0"/>
              <w:jc w:val="center"/>
            </w:pPr>
            <w:r>
              <w:rPr>
                <w:sz w:val="24"/>
              </w:rPr>
              <w:t xml:space="preserve">15</w:t>
            </w:r>
          </w:p>
        </w:tc>
        <w:tc>
          <w:tcPr>
            <w:tcW w:w="1020" w:type="dxa"/>
            <w:vAlign w:val="center"/>
          </w:tcPr>
          <w:p>
            <w:pPr>
              <w:pStyle w:val="0"/>
              <w:jc w:val="center"/>
            </w:pPr>
            <w:r>
              <w:rPr>
                <w:sz w:val="24"/>
              </w:rPr>
              <w:t xml:space="preserve">-</w:t>
            </w:r>
          </w:p>
        </w:tc>
        <w:tc>
          <w:tcPr>
            <w:tcW w:w="850" w:type="dxa"/>
            <w:vAlign w:val="center"/>
          </w:tcPr>
          <w:p>
            <w:pPr>
              <w:pStyle w:val="0"/>
              <w:jc w:val="center"/>
            </w:pPr>
            <w:r>
              <w:rPr>
                <w:sz w:val="24"/>
              </w:rPr>
              <w:t xml:space="preserve">9</w:t>
            </w:r>
          </w:p>
        </w:tc>
        <w:tc>
          <w:tcPr>
            <w:tcW w:w="874" w:type="dxa"/>
            <w:vAlign w:val="center"/>
          </w:tcPr>
          <w:p>
            <w:pPr>
              <w:pStyle w:val="0"/>
              <w:jc w:val="center"/>
            </w:pPr>
            <w:r>
              <w:rPr>
                <w:sz w:val="24"/>
              </w:rPr>
              <w:t xml:space="preserve">12</w:t>
            </w:r>
          </w:p>
        </w:tc>
      </w:tr>
      <w:tr>
        <w:tblPrEx>
          <w:tblBorders>
            <w:insideH w:val="nil"/>
          </w:tblBorders>
        </w:tblPrEx>
        <w:tc>
          <w:tcPr>
            <w:tcW w:w="3742" w:type="dxa"/>
            <w:tcBorders>
              <w:bottom w:val="nil"/>
            </w:tcBorders>
          </w:tcPr>
          <w:p>
            <w:pPr>
              <w:pStyle w:val="0"/>
            </w:pPr>
            <w:r>
              <w:rPr>
                <w:sz w:val="24"/>
              </w:rPr>
              <w:t xml:space="preserve">4. Здания для персонала АЗС и сервисного обслуживания транспортных средств:</w:t>
            </w:r>
          </w:p>
        </w:tc>
        <w:tc>
          <w:tcPr>
            <w:tcW w:w="964" w:type="dxa"/>
            <w:vAlign w:val="center"/>
            <w:tcBorders>
              <w:bottom w:val="nil"/>
            </w:tcBorders>
          </w:tcPr>
          <w:p>
            <w:pPr>
              <w:pStyle w:val="0"/>
            </w:pPr>
            <w:r>
              <w:rPr>
                <w:sz w:val="24"/>
              </w:rPr>
            </w:r>
          </w:p>
        </w:tc>
        <w:tc>
          <w:tcPr>
            <w:tcW w:w="1134" w:type="dxa"/>
            <w:vAlign w:val="center"/>
            <w:tcBorders>
              <w:bottom w:val="nil"/>
            </w:tcBorders>
          </w:tcPr>
          <w:p>
            <w:pPr>
              <w:pStyle w:val="0"/>
            </w:pPr>
            <w:r>
              <w:rPr>
                <w:sz w:val="24"/>
              </w:rPr>
            </w:r>
          </w:p>
        </w:tc>
        <w:tc>
          <w:tcPr>
            <w:tcW w:w="1077"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964" w:type="dxa"/>
            <w:vAlign w:val="center"/>
            <w:tcBorders>
              <w:bottom w:val="nil"/>
            </w:tcBorders>
          </w:tcPr>
          <w:p>
            <w:pPr>
              <w:pStyle w:val="0"/>
            </w:pPr>
            <w:r>
              <w:rPr>
                <w:sz w:val="24"/>
              </w:rPr>
            </w:r>
          </w:p>
        </w:tc>
        <w:tc>
          <w:tcPr>
            <w:tcW w:w="1077"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850" w:type="dxa"/>
            <w:vAlign w:val="center"/>
            <w:tcBorders>
              <w:bottom w:val="nil"/>
            </w:tcBorders>
          </w:tcPr>
          <w:p>
            <w:pPr>
              <w:pStyle w:val="0"/>
            </w:pPr>
            <w:r>
              <w:rPr>
                <w:sz w:val="24"/>
              </w:rPr>
            </w:r>
          </w:p>
        </w:tc>
        <w:tc>
          <w:tcPr>
            <w:tcW w:w="874" w:type="dxa"/>
            <w:vAlign w:val="center"/>
            <w:tcBorders>
              <w:bottom w:val="nil"/>
            </w:tcBorders>
          </w:tcPr>
          <w:p>
            <w:pPr>
              <w:pStyle w:val="0"/>
            </w:pPr>
            <w:r>
              <w:rPr>
                <w:sz w:val="24"/>
              </w:rPr>
            </w:r>
          </w:p>
        </w:tc>
      </w:tr>
      <w:tr>
        <w:tblPrEx>
          <w:tblBorders>
            <w:insideH w:val="nil"/>
          </w:tblBorders>
        </w:tblPrEx>
        <w:tc>
          <w:tcPr>
            <w:tcW w:w="3742" w:type="dxa"/>
            <w:tcBorders>
              <w:top w:val="nil"/>
              <w:bottom w:val="nil"/>
            </w:tcBorders>
          </w:tcPr>
          <w:p>
            <w:pPr>
              <w:pStyle w:val="0"/>
            </w:pPr>
            <w:r>
              <w:rPr>
                <w:sz w:val="24"/>
              </w:rPr>
              <w:t xml:space="preserve">а) I, II и III степени огнестойкости класса С0 или С1</w:t>
            </w:r>
          </w:p>
        </w:tc>
        <w:tc>
          <w:tcPr>
            <w:tcW w:w="964" w:type="dxa"/>
            <w:vAlign w:val="center"/>
            <w:tcBorders>
              <w:top w:val="nil"/>
              <w:bottom w:val="nil"/>
            </w:tcBorders>
          </w:tcPr>
          <w:p>
            <w:pPr>
              <w:pStyle w:val="0"/>
              <w:jc w:val="center"/>
            </w:pPr>
            <w:r>
              <w:rPr>
                <w:sz w:val="24"/>
              </w:rPr>
              <w:t xml:space="preserve">3/9</w:t>
            </w:r>
          </w:p>
        </w:tc>
        <w:tc>
          <w:tcPr>
            <w:tcW w:w="1134" w:type="dxa"/>
            <w:vAlign w:val="center"/>
            <w:tcBorders>
              <w:top w:val="nil"/>
              <w:bottom w:val="nil"/>
            </w:tcBorders>
          </w:tcPr>
          <w:p>
            <w:pPr>
              <w:pStyle w:val="0"/>
              <w:jc w:val="center"/>
            </w:pPr>
            <w:r>
              <w:rPr>
                <w:sz w:val="24"/>
              </w:rPr>
              <w:t xml:space="preserve">6/9</w:t>
            </w:r>
          </w:p>
        </w:tc>
        <w:tc>
          <w:tcPr>
            <w:tcW w:w="1077" w:type="dxa"/>
            <w:vAlign w:val="center"/>
            <w:tcBorders>
              <w:top w:val="nil"/>
              <w:bottom w:val="nil"/>
            </w:tcBorders>
          </w:tcPr>
          <w:p>
            <w:pPr>
              <w:pStyle w:val="0"/>
              <w:jc w:val="center"/>
            </w:pPr>
            <w:r>
              <w:rPr>
                <w:sz w:val="24"/>
              </w:rPr>
              <w:t xml:space="preserve">6/9</w:t>
            </w:r>
          </w:p>
        </w:tc>
        <w:tc>
          <w:tcPr>
            <w:tcW w:w="1020" w:type="dxa"/>
            <w:vAlign w:val="center"/>
            <w:tcBorders>
              <w:top w:val="nil"/>
              <w:bottom w:val="nil"/>
            </w:tcBorders>
          </w:tcPr>
          <w:p>
            <w:pPr>
              <w:pStyle w:val="0"/>
              <w:jc w:val="center"/>
            </w:pPr>
            <w:r>
              <w:rPr>
                <w:sz w:val="24"/>
              </w:rPr>
              <w:t xml:space="preserve">6</w:t>
            </w:r>
          </w:p>
        </w:tc>
        <w:tc>
          <w:tcPr>
            <w:tcW w:w="964" w:type="dxa"/>
            <w:vAlign w:val="center"/>
            <w:tcBorders>
              <w:top w:val="nil"/>
              <w:bottom w:val="nil"/>
            </w:tcBorders>
          </w:tcPr>
          <w:p>
            <w:pPr>
              <w:pStyle w:val="0"/>
              <w:jc w:val="center"/>
            </w:pPr>
            <w:r>
              <w:rPr>
                <w:sz w:val="24"/>
              </w:rPr>
              <w:t xml:space="preserve">9</w:t>
            </w:r>
          </w:p>
        </w:tc>
        <w:tc>
          <w:tcPr>
            <w:tcW w:w="1077" w:type="dxa"/>
            <w:vAlign w:val="center"/>
            <w:tcBorders>
              <w:top w:val="nil"/>
              <w:bottom w:val="nil"/>
            </w:tcBorders>
          </w:tcPr>
          <w:p>
            <w:pPr>
              <w:pStyle w:val="0"/>
              <w:jc w:val="center"/>
            </w:pPr>
            <w:r>
              <w:rPr>
                <w:sz w:val="24"/>
              </w:rPr>
              <w:t xml:space="preserve">9</w:t>
            </w:r>
          </w:p>
        </w:tc>
        <w:tc>
          <w:tcPr>
            <w:tcW w:w="1020" w:type="dxa"/>
            <w:vAlign w:val="center"/>
            <w:tcBorders>
              <w:top w:val="nil"/>
              <w:bottom w:val="nil"/>
            </w:tcBorders>
          </w:tcPr>
          <w:p>
            <w:pPr>
              <w:pStyle w:val="0"/>
              <w:jc w:val="center"/>
            </w:pPr>
            <w:r>
              <w:rPr>
                <w:sz w:val="24"/>
              </w:rPr>
              <w:t xml:space="preserve">9</w:t>
            </w:r>
          </w:p>
        </w:tc>
        <w:tc>
          <w:tcPr>
            <w:tcW w:w="1020" w:type="dxa"/>
            <w:vAlign w:val="center"/>
            <w:tcBorders>
              <w:top w:val="nil"/>
              <w:bottom w:val="nil"/>
            </w:tcBorders>
          </w:tcPr>
          <w:p>
            <w:pPr>
              <w:pStyle w:val="0"/>
              <w:jc w:val="center"/>
            </w:pPr>
            <w:r>
              <w:rPr>
                <w:sz w:val="24"/>
              </w:rPr>
              <w:t xml:space="preserve">3/9</w:t>
            </w:r>
          </w:p>
        </w:tc>
        <w:tc>
          <w:tcPr>
            <w:tcW w:w="850" w:type="dxa"/>
            <w:vAlign w:val="center"/>
            <w:tcBorders>
              <w:top w:val="nil"/>
              <w:bottom w:val="nil"/>
            </w:tcBorders>
          </w:tcPr>
          <w:p>
            <w:pPr>
              <w:pStyle w:val="0"/>
              <w:jc w:val="center"/>
            </w:pPr>
            <w:r>
              <w:rPr>
                <w:sz w:val="24"/>
              </w:rPr>
              <w:t xml:space="preserve">-/9</w:t>
            </w:r>
          </w:p>
        </w:tc>
        <w:tc>
          <w:tcPr>
            <w:tcW w:w="874" w:type="dxa"/>
            <w:vAlign w:val="center"/>
            <w:tcBorders>
              <w:top w:val="nil"/>
              <w:bottom w:val="nil"/>
            </w:tcBorders>
          </w:tcPr>
          <w:p>
            <w:pPr>
              <w:pStyle w:val="0"/>
              <w:jc w:val="center"/>
            </w:pPr>
            <w:r>
              <w:rPr>
                <w:sz w:val="24"/>
              </w:rPr>
              <w:t xml:space="preserve">6</w:t>
            </w:r>
          </w:p>
        </w:tc>
      </w:tr>
      <w:tr>
        <w:tblPrEx>
          <w:tblBorders>
            <w:insideH w:val="nil"/>
          </w:tblBorders>
        </w:tblPrEx>
        <w:tc>
          <w:tcPr>
            <w:tcW w:w="3742" w:type="dxa"/>
            <w:tcBorders>
              <w:top w:val="nil"/>
            </w:tcBorders>
          </w:tcPr>
          <w:p>
            <w:pPr>
              <w:pStyle w:val="0"/>
            </w:pPr>
            <w:r>
              <w:rPr>
                <w:sz w:val="24"/>
              </w:rPr>
              <w:t xml:space="preserve">б) IV степени огнестойкости класса С0</w:t>
            </w:r>
          </w:p>
        </w:tc>
        <w:tc>
          <w:tcPr>
            <w:tcW w:w="964" w:type="dxa"/>
            <w:vAlign w:val="center"/>
            <w:tcBorders>
              <w:top w:val="nil"/>
            </w:tcBorders>
          </w:tcPr>
          <w:p>
            <w:pPr>
              <w:pStyle w:val="0"/>
              <w:jc w:val="center"/>
            </w:pPr>
            <w:r>
              <w:rPr>
                <w:sz w:val="24"/>
              </w:rPr>
              <w:t xml:space="preserve">9</w:t>
            </w:r>
          </w:p>
        </w:tc>
        <w:tc>
          <w:tcPr>
            <w:tcW w:w="1134" w:type="dxa"/>
            <w:vAlign w:val="center"/>
            <w:tcBorders>
              <w:top w:val="nil"/>
            </w:tcBorders>
          </w:tcPr>
          <w:p>
            <w:pPr>
              <w:pStyle w:val="0"/>
              <w:jc w:val="center"/>
            </w:pPr>
            <w:r>
              <w:rPr>
                <w:sz w:val="24"/>
              </w:rPr>
              <w:t xml:space="preserve">9</w:t>
            </w:r>
          </w:p>
        </w:tc>
        <w:tc>
          <w:tcPr>
            <w:tcW w:w="1077" w:type="dxa"/>
            <w:vAlign w:val="center"/>
            <w:tcBorders>
              <w:top w:val="nil"/>
            </w:tcBorders>
          </w:tcPr>
          <w:p>
            <w:pPr>
              <w:pStyle w:val="0"/>
              <w:jc w:val="center"/>
            </w:pPr>
            <w:r>
              <w:rPr>
                <w:sz w:val="24"/>
              </w:rPr>
              <w:t xml:space="preserve">9</w:t>
            </w:r>
          </w:p>
        </w:tc>
        <w:tc>
          <w:tcPr>
            <w:tcW w:w="1020" w:type="dxa"/>
            <w:vAlign w:val="center"/>
            <w:tcBorders>
              <w:top w:val="nil"/>
            </w:tcBorders>
          </w:tcPr>
          <w:p>
            <w:pPr>
              <w:pStyle w:val="0"/>
              <w:jc w:val="center"/>
            </w:pPr>
            <w:r>
              <w:rPr>
                <w:sz w:val="24"/>
              </w:rPr>
              <w:t xml:space="preserve">9</w:t>
            </w:r>
          </w:p>
        </w:tc>
        <w:tc>
          <w:tcPr>
            <w:tcW w:w="964" w:type="dxa"/>
            <w:vAlign w:val="center"/>
            <w:tcBorders>
              <w:top w:val="nil"/>
            </w:tcBorders>
          </w:tcPr>
          <w:p>
            <w:pPr>
              <w:pStyle w:val="0"/>
              <w:jc w:val="center"/>
            </w:pPr>
            <w:r>
              <w:rPr>
                <w:sz w:val="24"/>
              </w:rPr>
              <w:t xml:space="preserve">12</w:t>
            </w:r>
          </w:p>
        </w:tc>
        <w:tc>
          <w:tcPr>
            <w:tcW w:w="1077" w:type="dxa"/>
            <w:vAlign w:val="center"/>
            <w:tcBorders>
              <w:top w:val="nil"/>
            </w:tcBorders>
          </w:tcPr>
          <w:p>
            <w:pPr>
              <w:pStyle w:val="0"/>
              <w:jc w:val="center"/>
            </w:pPr>
            <w:r>
              <w:rPr>
                <w:sz w:val="24"/>
              </w:rPr>
              <w:t xml:space="preserve">9</w:t>
            </w:r>
          </w:p>
        </w:tc>
        <w:tc>
          <w:tcPr>
            <w:tcW w:w="1020" w:type="dxa"/>
            <w:vAlign w:val="center"/>
            <w:tcBorders>
              <w:top w:val="nil"/>
            </w:tcBorders>
          </w:tcPr>
          <w:p>
            <w:pPr>
              <w:pStyle w:val="0"/>
              <w:jc w:val="center"/>
            </w:pPr>
            <w:r>
              <w:rPr>
                <w:sz w:val="24"/>
              </w:rPr>
              <w:t xml:space="preserve">12</w:t>
            </w:r>
          </w:p>
        </w:tc>
        <w:tc>
          <w:tcPr>
            <w:tcW w:w="1020" w:type="dxa"/>
            <w:vAlign w:val="center"/>
            <w:tcBorders>
              <w:top w:val="nil"/>
            </w:tcBorders>
          </w:tcPr>
          <w:p>
            <w:pPr>
              <w:pStyle w:val="0"/>
              <w:jc w:val="center"/>
            </w:pPr>
            <w:r>
              <w:rPr>
                <w:sz w:val="24"/>
              </w:rPr>
              <w:t xml:space="preserve">6/9</w:t>
            </w:r>
          </w:p>
        </w:tc>
        <w:tc>
          <w:tcPr>
            <w:tcW w:w="850" w:type="dxa"/>
            <w:vAlign w:val="center"/>
            <w:tcBorders>
              <w:top w:val="nil"/>
            </w:tcBorders>
          </w:tcPr>
          <w:p>
            <w:pPr>
              <w:pStyle w:val="0"/>
              <w:jc w:val="center"/>
            </w:pPr>
            <w:r>
              <w:rPr>
                <w:sz w:val="24"/>
              </w:rPr>
              <w:t xml:space="preserve">6/9</w:t>
            </w:r>
          </w:p>
        </w:tc>
        <w:tc>
          <w:tcPr>
            <w:tcW w:w="874" w:type="dxa"/>
            <w:vAlign w:val="center"/>
            <w:tcBorders>
              <w:top w:val="nil"/>
            </w:tcBorders>
          </w:tcPr>
          <w:p>
            <w:pPr>
              <w:pStyle w:val="0"/>
              <w:jc w:val="center"/>
            </w:pPr>
            <w:r>
              <w:rPr>
                <w:sz w:val="24"/>
              </w:rPr>
              <w:t xml:space="preserve">9</w:t>
            </w:r>
          </w:p>
        </w:tc>
      </w:tr>
      <w:tr>
        <w:tblPrEx>
          <w:tblBorders>
            <w:insideH w:val="nil"/>
          </w:tblBorders>
        </w:tblPrEx>
        <w:tc>
          <w:tcPr>
            <w:tcW w:w="3742" w:type="dxa"/>
            <w:tcBorders>
              <w:bottom w:val="nil"/>
            </w:tcBorders>
          </w:tcPr>
          <w:p>
            <w:pPr>
              <w:pStyle w:val="0"/>
            </w:pPr>
            <w:r>
              <w:rPr>
                <w:sz w:val="24"/>
              </w:rPr>
              <w:t xml:space="preserve">5. Здания сервисного обслуживания водителей и пассажиров:</w:t>
            </w:r>
          </w:p>
        </w:tc>
        <w:tc>
          <w:tcPr>
            <w:tcW w:w="964" w:type="dxa"/>
            <w:vAlign w:val="center"/>
            <w:tcBorders>
              <w:bottom w:val="nil"/>
            </w:tcBorders>
          </w:tcPr>
          <w:p>
            <w:pPr>
              <w:pStyle w:val="0"/>
            </w:pPr>
            <w:r>
              <w:rPr>
                <w:sz w:val="24"/>
              </w:rPr>
            </w:r>
          </w:p>
        </w:tc>
        <w:tc>
          <w:tcPr>
            <w:tcW w:w="1134" w:type="dxa"/>
            <w:vAlign w:val="center"/>
            <w:tcBorders>
              <w:bottom w:val="nil"/>
            </w:tcBorders>
          </w:tcPr>
          <w:p>
            <w:pPr>
              <w:pStyle w:val="0"/>
            </w:pPr>
            <w:r>
              <w:rPr>
                <w:sz w:val="24"/>
              </w:rPr>
            </w:r>
          </w:p>
        </w:tc>
        <w:tc>
          <w:tcPr>
            <w:tcW w:w="1077"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964" w:type="dxa"/>
            <w:vAlign w:val="center"/>
            <w:tcBorders>
              <w:bottom w:val="nil"/>
            </w:tcBorders>
          </w:tcPr>
          <w:p>
            <w:pPr>
              <w:pStyle w:val="0"/>
            </w:pPr>
            <w:r>
              <w:rPr>
                <w:sz w:val="24"/>
              </w:rPr>
            </w:r>
          </w:p>
        </w:tc>
        <w:tc>
          <w:tcPr>
            <w:tcW w:w="1077"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850" w:type="dxa"/>
            <w:vAlign w:val="center"/>
            <w:tcBorders>
              <w:bottom w:val="nil"/>
            </w:tcBorders>
          </w:tcPr>
          <w:p>
            <w:pPr>
              <w:pStyle w:val="0"/>
            </w:pPr>
            <w:r>
              <w:rPr>
                <w:sz w:val="24"/>
              </w:rPr>
            </w:r>
          </w:p>
        </w:tc>
        <w:tc>
          <w:tcPr>
            <w:tcW w:w="874" w:type="dxa"/>
            <w:vAlign w:val="center"/>
            <w:tcBorders>
              <w:bottom w:val="nil"/>
            </w:tcBorders>
          </w:tcPr>
          <w:p>
            <w:pPr>
              <w:pStyle w:val="0"/>
            </w:pPr>
            <w:r>
              <w:rPr>
                <w:sz w:val="24"/>
              </w:rPr>
            </w:r>
          </w:p>
        </w:tc>
      </w:tr>
      <w:tr>
        <w:tblPrEx>
          <w:tblBorders>
            <w:insideH w:val="nil"/>
          </w:tblBorders>
        </w:tblPrEx>
        <w:tc>
          <w:tcPr>
            <w:tcW w:w="3742" w:type="dxa"/>
            <w:tcBorders>
              <w:top w:val="nil"/>
              <w:bottom w:val="nil"/>
            </w:tcBorders>
          </w:tcPr>
          <w:p>
            <w:pPr>
              <w:pStyle w:val="0"/>
            </w:pPr>
            <w:r>
              <w:rPr>
                <w:sz w:val="24"/>
              </w:rPr>
              <w:t xml:space="preserve">а) I, II и III степени огнестойкости класса С0 или С1</w:t>
            </w:r>
          </w:p>
        </w:tc>
        <w:tc>
          <w:tcPr>
            <w:tcW w:w="964" w:type="dxa"/>
            <w:vAlign w:val="center"/>
            <w:tcBorders>
              <w:top w:val="nil"/>
              <w:bottom w:val="nil"/>
            </w:tcBorders>
          </w:tcPr>
          <w:p>
            <w:pPr>
              <w:pStyle w:val="0"/>
              <w:jc w:val="center"/>
            </w:pPr>
            <w:r>
              <w:rPr>
                <w:sz w:val="24"/>
              </w:rPr>
              <w:t xml:space="preserve">9/15</w:t>
            </w:r>
          </w:p>
        </w:tc>
        <w:tc>
          <w:tcPr>
            <w:tcW w:w="1134" w:type="dxa"/>
            <w:vAlign w:val="center"/>
            <w:tcBorders>
              <w:top w:val="nil"/>
              <w:bottom w:val="nil"/>
            </w:tcBorders>
          </w:tcPr>
          <w:p>
            <w:pPr>
              <w:pStyle w:val="0"/>
              <w:jc w:val="center"/>
            </w:pPr>
            <w:r>
              <w:rPr>
                <w:sz w:val="24"/>
              </w:rPr>
              <w:t xml:space="preserve">12/15</w:t>
            </w:r>
          </w:p>
        </w:tc>
        <w:tc>
          <w:tcPr>
            <w:tcW w:w="1077" w:type="dxa"/>
            <w:vAlign w:val="center"/>
            <w:tcBorders>
              <w:top w:val="nil"/>
              <w:bottom w:val="nil"/>
            </w:tcBorders>
          </w:tcPr>
          <w:p>
            <w:pPr>
              <w:pStyle w:val="0"/>
              <w:jc w:val="center"/>
            </w:pPr>
            <w:r>
              <w:rPr>
                <w:sz w:val="24"/>
              </w:rPr>
              <w:t xml:space="preserve">12/15</w:t>
            </w:r>
          </w:p>
        </w:tc>
        <w:tc>
          <w:tcPr>
            <w:tcW w:w="1020" w:type="dxa"/>
            <w:vAlign w:val="center"/>
            <w:tcBorders>
              <w:top w:val="nil"/>
              <w:bottom w:val="nil"/>
            </w:tcBorders>
          </w:tcPr>
          <w:p>
            <w:pPr>
              <w:pStyle w:val="0"/>
              <w:jc w:val="center"/>
            </w:pPr>
            <w:r>
              <w:rPr>
                <w:sz w:val="24"/>
              </w:rPr>
              <w:t xml:space="preserve">9</w:t>
            </w:r>
          </w:p>
        </w:tc>
        <w:tc>
          <w:tcPr>
            <w:tcW w:w="964" w:type="dxa"/>
            <w:vAlign w:val="center"/>
            <w:tcBorders>
              <w:top w:val="nil"/>
              <w:bottom w:val="nil"/>
            </w:tcBorders>
          </w:tcPr>
          <w:p>
            <w:pPr>
              <w:pStyle w:val="0"/>
              <w:jc w:val="center"/>
            </w:pPr>
            <w:r>
              <w:rPr>
                <w:sz w:val="24"/>
              </w:rPr>
              <w:t xml:space="preserve">9</w:t>
            </w:r>
          </w:p>
        </w:tc>
        <w:tc>
          <w:tcPr>
            <w:tcW w:w="1077" w:type="dxa"/>
            <w:vAlign w:val="center"/>
            <w:tcBorders>
              <w:top w:val="nil"/>
              <w:bottom w:val="nil"/>
            </w:tcBorders>
          </w:tcPr>
          <w:p>
            <w:pPr>
              <w:pStyle w:val="0"/>
              <w:jc w:val="center"/>
            </w:pPr>
            <w:r>
              <w:rPr>
                <w:sz w:val="24"/>
              </w:rPr>
              <w:t xml:space="preserve">6</w:t>
            </w:r>
          </w:p>
        </w:tc>
        <w:tc>
          <w:tcPr>
            <w:tcW w:w="1020" w:type="dxa"/>
            <w:vAlign w:val="center"/>
            <w:tcBorders>
              <w:top w:val="nil"/>
              <w:bottom w:val="nil"/>
            </w:tcBorders>
          </w:tcPr>
          <w:p>
            <w:pPr>
              <w:pStyle w:val="0"/>
              <w:jc w:val="center"/>
            </w:pPr>
            <w:r>
              <w:rPr>
                <w:sz w:val="24"/>
              </w:rPr>
              <w:t xml:space="preserve">9</w:t>
            </w:r>
          </w:p>
        </w:tc>
        <w:tc>
          <w:tcPr>
            <w:tcW w:w="1020" w:type="dxa"/>
            <w:vAlign w:val="center"/>
            <w:tcBorders>
              <w:top w:val="nil"/>
              <w:bottom w:val="nil"/>
            </w:tcBorders>
          </w:tcPr>
          <w:p>
            <w:pPr>
              <w:pStyle w:val="0"/>
              <w:jc w:val="center"/>
            </w:pPr>
            <w:r>
              <w:rPr>
                <w:sz w:val="24"/>
              </w:rPr>
              <w:t xml:space="preserve">9/15</w:t>
            </w:r>
          </w:p>
        </w:tc>
        <w:tc>
          <w:tcPr>
            <w:tcW w:w="850" w:type="dxa"/>
            <w:vAlign w:val="center"/>
            <w:tcBorders>
              <w:top w:val="nil"/>
              <w:bottom w:val="nil"/>
            </w:tcBorders>
          </w:tcPr>
          <w:p>
            <w:pPr>
              <w:pStyle w:val="0"/>
              <w:jc w:val="center"/>
            </w:pPr>
            <w:r>
              <w:rPr>
                <w:sz w:val="24"/>
              </w:rPr>
              <w:t xml:space="preserve">-/9</w:t>
            </w:r>
          </w:p>
        </w:tc>
        <w:tc>
          <w:tcPr>
            <w:tcW w:w="874" w:type="dxa"/>
            <w:vAlign w:val="center"/>
            <w:tcBorders>
              <w:top w:val="nil"/>
              <w:bottom w:val="nil"/>
            </w:tcBorders>
          </w:tcPr>
          <w:p>
            <w:pPr>
              <w:pStyle w:val="0"/>
              <w:jc w:val="center"/>
            </w:pPr>
            <w:r>
              <w:rPr>
                <w:sz w:val="24"/>
              </w:rPr>
              <w:t xml:space="preserve">9</w:t>
            </w:r>
          </w:p>
        </w:tc>
      </w:tr>
      <w:tr>
        <w:tblPrEx>
          <w:tblBorders>
            <w:insideH w:val="nil"/>
          </w:tblBorders>
        </w:tblPrEx>
        <w:tc>
          <w:tcPr>
            <w:tcW w:w="3742" w:type="dxa"/>
            <w:tcBorders>
              <w:top w:val="nil"/>
            </w:tcBorders>
          </w:tcPr>
          <w:p>
            <w:pPr>
              <w:pStyle w:val="0"/>
            </w:pPr>
            <w:r>
              <w:rPr>
                <w:sz w:val="24"/>
              </w:rPr>
              <w:t xml:space="preserve">б) IV степени огнестойкости класса С0</w:t>
            </w:r>
          </w:p>
        </w:tc>
        <w:tc>
          <w:tcPr>
            <w:tcW w:w="964" w:type="dxa"/>
            <w:vAlign w:val="center"/>
            <w:tcBorders>
              <w:top w:val="nil"/>
            </w:tcBorders>
          </w:tcPr>
          <w:p>
            <w:pPr>
              <w:pStyle w:val="0"/>
              <w:jc w:val="center"/>
            </w:pPr>
            <w:r>
              <w:rPr>
                <w:sz w:val="24"/>
              </w:rPr>
              <w:t xml:space="preserve">15</w:t>
            </w:r>
          </w:p>
        </w:tc>
        <w:tc>
          <w:tcPr>
            <w:tcW w:w="1134" w:type="dxa"/>
            <w:vAlign w:val="center"/>
            <w:tcBorders>
              <w:top w:val="nil"/>
            </w:tcBorders>
          </w:tcPr>
          <w:p>
            <w:pPr>
              <w:pStyle w:val="0"/>
              <w:jc w:val="center"/>
            </w:pPr>
            <w:r>
              <w:rPr>
                <w:sz w:val="24"/>
              </w:rPr>
              <w:t xml:space="preserve">15</w:t>
            </w:r>
          </w:p>
        </w:tc>
        <w:tc>
          <w:tcPr>
            <w:tcW w:w="1077" w:type="dxa"/>
            <w:vAlign w:val="center"/>
            <w:tcBorders>
              <w:top w:val="nil"/>
            </w:tcBorders>
          </w:tcPr>
          <w:p>
            <w:pPr>
              <w:pStyle w:val="0"/>
              <w:jc w:val="center"/>
            </w:pPr>
            <w:r>
              <w:rPr>
                <w:sz w:val="24"/>
              </w:rPr>
              <w:t xml:space="preserve">15</w:t>
            </w:r>
          </w:p>
        </w:tc>
        <w:tc>
          <w:tcPr>
            <w:tcW w:w="1020" w:type="dxa"/>
            <w:vAlign w:val="center"/>
            <w:tcBorders>
              <w:top w:val="nil"/>
            </w:tcBorders>
          </w:tcPr>
          <w:p>
            <w:pPr>
              <w:pStyle w:val="0"/>
              <w:jc w:val="center"/>
            </w:pPr>
            <w:r>
              <w:rPr>
                <w:sz w:val="24"/>
              </w:rPr>
              <w:t xml:space="preserve">9</w:t>
            </w:r>
          </w:p>
        </w:tc>
        <w:tc>
          <w:tcPr>
            <w:tcW w:w="964" w:type="dxa"/>
            <w:vAlign w:val="center"/>
            <w:tcBorders>
              <w:top w:val="nil"/>
            </w:tcBorders>
          </w:tcPr>
          <w:p>
            <w:pPr>
              <w:pStyle w:val="0"/>
              <w:jc w:val="center"/>
            </w:pPr>
            <w:r>
              <w:rPr>
                <w:sz w:val="24"/>
              </w:rPr>
              <w:t xml:space="preserve">12</w:t>
            </w:r>
          </w:p>
        </w:tc>
        <w:tc>
          <w:tcPr>
            <w:tcW w:w="1077" w:type="dxa"/>
            <w:vAlign w:val="center"/>
            <w:tcBorders>
              <w:top w:val="nil"/>
            </w:tcBorders>
          </w:tcPr>
          <w:p>
            <w:pPr>
              <w:pStyle w:val="0"/>
              <w:jc w:val="center"/>
            </w:pPr>
            <w:r>
              <w:rPr>
                <w:sz w:val="24"/>
              </w:rPr>
              <w:t xml:space="preserve">9</w:t>
            </w:r>
          </w:p>
        </w:tc>
        <w:tc>
          <w:tcPr>
            <w:tcW w:w="1020" w:type="dxa"/>
            <w:vAlign w:val="center"/>
            <w:tcBorders>
              <w:top w:val="nil"/>
            </w:tcBorders>
          </w:tcPr>
          <w:p>
            <w:pPr>
              <w:pStyle w:val="0"/>
              <w:jc w:val="center"/>
            </w:pPr>
            <w:r>
              <w:rPr>
                <w:sz w:val="24"/>
              </w:rPr>
              <w:t xml:space="preserve">12</w:t>
            </w:r>
          </w:p>
        </w:tc>
        <w:tc>
          <w:tcPr>
            <w:tcW w:w="1020" w:type="dxa"/>
            <w:vAlign w:val="center"/>
            <w:tcBorders>
              <w:top w:val="nil"/>
            </w:tcBorders>
          </w:tcPr>
          <w:p>
            <w:pPr>
              <w:pStyle w:val="0"/>
              <w:jc w:val="center"/>
            </w:pPr>
            <w:r>
              <w:rPr>
                <w:sz w:val="24"/>
              </w:rPr>
              <w:t xml:space="preserve">12/15</w:t>
            </w:r>
          </w:p>
        </w:tc>
        <w:tc>
          <w:tcPr>
            <w:tcW w:w="850" w:type="dxa"/>
            <w:vAlign w:val="center"/>
            <w:tcBorders>
              <w:top w:val="nil"/>
            </w:tcBorders>
          </w:tcPr>
          <w:p>
            <w:pPr>
              <w:pStyle w:val="0"/>
              <w:jc w:val="center"/>
            </w:pPr>
            <w:r>
              <w:rPr>
                <w:sz w:val="24"/>
              </w:rPr>
              <w:t xml:space="preserve">6/9</w:t>
            </w:r>
          </w:p>
        </w:tc>
        <w:tc>
          <w:tcPr>
            <w:tcW w:w="874" w:type="dxa"/>
            <w:vAlign w:val="center"/>
            <w:tcBorders>
              <w:top w:val="nil"/>
            </w:tcBorders>
          </w:tcPr>
          <w:p>
            <w:pPr>
              <w:pStyle w:val="0"/>
              <w:jc w:val="center"/>
            </w:pPr>
            <w:r>
              <w:rPr>
                <w:sz w:val="24"/>
              </w:rPr>
              <w:t xml:space="preserve">12</w:t>
            </w:r>
          </w:p>
        </w:tc>
      </w:tr>
      <w:tr>
        <w:tc>
          <w:tcPr>
            <w:tcW w:w="3742" w:type="dxa"/>
          </w:tcPr>
          <w:p>
            <w:pPr>
              <w:pStyle w:val="0"/>
            </w:pPr>
            <w:r>
              <w:rPr>
                <w:sz w:val="24"/>
              </w:rPr>
              <w:t xml:space="preserve">6. Очистные сооружения для атмосферных осадков, загрязненных нефтепродуктами</w:t>
            </w:r>
          </w:p>
        </w:tc>
        <w:tc>
          <w:tcPr>
            <w:tcW w:w="964" w:type="dxa"/>
            <w:vAlign w:val="center"/>
          </w:tcPr>
          <w:p>
            <w:pPr>
              <w:pStyle w:val="0"/>
              <w:jc w:val="center"/>
            </w:pPr>
            <w:r>
              <w:rPr>
                <w:sz w:val="24"/>
              </w:rPr>
              <w:t xml:space="preserve">-</w:t>
            </w:r>
          </w:p>
        </w:tc>
        <w:tc>
          <w:tcPr>
            <w:tcW w:w="1134" w:type="dxa"/>
            <w:vAlign w:val="center"/>
          </w:tcPr>
          <w:p>
            <w:pPr>
              <w:pStyle w:val="0"/>
              <w:jc w:val="center"/>
            </w:pPr>
            <w:r>
              <w:rPr>
                <w:sz w:val="24"/>
              </w:rPr>
              <w:t xml:space="preserve">4</w:t>
            </w:r>
          </w:p>
        </w:tc>
        <w:tc>
          <w:tcPr>
            <w:tcW w:w="1077" w:type="dxa"/>
            <w:vAlign w:val="center"/>
          </w:tcPr>
          <w:p>
            <w:pPr>
              <w:pStyle w:val="0"/>
              <w:jc w:val="center"/>
            </w:pPr>
            <w:r>
              <w:rPr>
                <w:sz w:val="24"/>
              </w:rPr>
              <w:t xml:space="preserve">-</w:t>
            </w:r>
          </w:p>
        </w:tc>
        <w:tc>
          <w:tcPr>
            <w:tcW w:w="1020" w:type="dxa"/>
            <w:vAlign w:val="center"/>
          </w:tcPr>
          <w:p>
            <w:pPr>
              <w:pStyle w:val="0"/>
              <w:jc w:val="center"/>
            </w:pPr>
            <w:r>
              <w:rPr>
                <w:sz w:val="24"/>
              </w:rPr>
              <w:t xml:space="preserve">3/9</w:t>
            </w:r>
          </w:p>
        </w:tc>
        <w:tc>
          <w:tcPr>
            <w:tcW w:w="964" w:type="dxa"/>
            <w:vAlign w:val="center"/>
          </w:tcPr>
          <w:p>
            <w:pPr>
              <w:pStyle w:val="0"/>
              <w:jc w:val="center"/>
            </w:pPr>
            <w:r>
              <w:rPr>
                <w:sz w:val="24"/>
              </w:rPr>
              <w:t xml:space="preserve">6/9</w:t>
            </w:r>
          </w:p>
        </w:tc>
        <w:tc>
          <w:tcPr>
            <w:tcW w:w="1077" w:type="dxa"/>
            <w:vAlign w:val="center"/>
          </w:tcPr>
          <w:p>
            <w:pPr>
              <w:pStyle w:val="0"/>
              <w:jc w:val="center"/>
            </w:pPr>
            <w:r>
              <w:rPr>
                <w:sz w:val="24"/>
              </w:rPr>
              <w:t xml:space="preserve">9/15</w:t>
            </w:r>
          </w:p>
        </w:tc>
        <w:tc>
          <w:tcPr>
            <w:tcW w:w="1020" w:type="dxa"/>
            <w:vAlign w:val="center"/>
          </w:tcPr>
          <w:p>
            <w:pPr>
              <w:pStyle w:val="0"/>
              <w:jc w:val="center"/>
            </w:pPr>
            <w:r>
              <w:rPr>
                <w:sz w:val="24"/>
              </w:rPr>
              <w:t xml:space="preserve">12/15</w:t>
            </w:r>
          </w:p>
        </w:tc>
        <w:tc>
          <w:tcPr>
            <w:tcW w:w="1020" w:type="dxa"/>
            <w:vAlign w:val="center"/>
          </w:tcPr>
          <w:p>
            <w:pPr>
              <w:pStyle w:val="0"/>
              <w:jc w:val="center"/>
            </w:pPr>
            <w:r>
              <w:rPr>
                <w:sz w:val="24"/>
              </w:rPr>
              <w:t xml:space="preserve">-</w:t>
            </w:r>
          </w:p>
        </w:tc>
        <w:tc>
          <w:tcPr>
            <w:tcW w:w="850" w:type="dxa"/>
            <w:vAlign w:val="center"/>
          </w:tcPr>
          <w:p>
            <w:pPr>
              <w:pStyle w:val="0"/>
              <w:jc w:val="center"/>
            </w:pPr>
            <w:r>
              <w:rPr>
                <w:sz w:val="24"/>
              </w:rPr>
              <w:t xml:space="preserve">6</w:t>
            </w:r>
          </w:p>
        </w:tc>
        <w:tc>
          <w:tcPr>
            <w:tcW w:w="874" w:type="dxa"/>
            <w:vAlign w:val="center"/>
          </w:tcPr>
          <w:p>
            <w:pPr>
              <w:pStyle w:val="0"/>
              <w:jc w:val="center"/>
            </w:pPr>
            <w:r>
              <w:rPr>
                <w:sz w:val="24"/>
              </w:rPr>
              <w:t xml:space="preserve">9</w:t>
            </w:r>
          </w:p>
        </w:tc>
      </w:tr>
      <w:tr>
        <w:tc>
          <w:tcPr>
            <w:tcW w:w="3742" w:type="dxa"/>
          </w:tcPr>
          <w:bookmarkStart w:id="515" w:name="P515"/>
          <w:bookmarkEnd w:id="515"/>
          <w:p>
            <w:pPr>
              <w:pStyle w:val="0"/>
            </w:pPr>
            <w:r>
              <w:rPr>
                <w:sz w:val="24"/>
              </w:rPr>
              <w:t xml:space="preserve">7. Площадка для стоянки транспортных средств</w:t>
            </w:r>
          </w:p>
        </w:tc>
        <w:tc>
          <w:tcPr>
            <w:tcW w:w="964" w:type="dxa"/>
            <w:vAlign w:val="center"/>
          </w:tcPr>
          <w:p>
            <w:pPr>
              <w:pStyle w:val="0"/>
              <w:jc w:val="center"/>
            </w:pPr>
            <w:r>
              <w:rPr>
                <w:sz w:val="24"/>
              </w:rPr>
              <w:t xml:space="preserve">6</w:t>
            </w:r>
          </w:p>
        </w:tc>
        <w:tc>
          <w:tcPr>
            <w:tcW w:w="1134" w:type="dxa"/>
            <w:vAlign w:val="center"/>
          </w:tcPr>
          <w:p>
            <w:pPr>
              <w:pStyle w:val="0"/>
              <w:jc w:val="center"/>
            </w:pPr>
            <w:r>
              <w:rPr>
                <w:sz w:val="24"/>
              </w:rPr>
              <w:t xml:space="preserve">9</w:t>
            </w:r>
          </w:p>
        </w:tc>
        <w:tc>
          <w:tcPr>
            <w:tcW w:w="1077" w:type="dxa"/>
            <w:vAlign w:val="center"/>
          </w:tcPr>
          <w:p>
            <w:pPr>
              <w:pStyle w:val="0"/>
              <w:jc w:val="center"/>
            </w:pPr>
            <w:r>
              <w:rPr>
                <w:sz w:val="24"/>
              </w:rPr>
              <w:t xml:space="preserve">9</w:t>
            </w:r>
          </w:p>
        </w:tc>
        <w:tc>
          <w:tcPr>
            <w:tcW w:w="1020" w:type="dxa"/>
            <w:vAlign w:val="center"/>
          </w:tcPr>
          <w:p>
            <w:pPr>
              <w:pStyle w:val="0"/>
              <w:jc w:val="center"/>
            </w:pPr>
            <w:r>
              <w:rPr>
                <w:sz w:val="24"/>
              </w:rPr>
              <w:t xml:space="preserve">-/9</w:t>
            </w:r>
          </w:p>
        </w:tc>
        <w:tc>
          <w:tcPr>
            <w:tcW w:w="964" w:type="dxa"/>
            <w:vAlign w:val="center"/>
          </w:tcPr>
          <w:p>
            <w:pPr>
              <w:pStyle w:val="0"/>
              <w:jc w:val="center"/>
            </w:pPr>
            <w:r>
              <w:rPr>
                <w:sz w:val="24"/>
              </w:rPr>
              <w:t xml:space="preserve">6/9</w:t>
            </w:r>
          </w:p>
        </w:tc>
        <w:tc>
          <w:tcPr>
            <w:tcW w:w="1077" w:type="dxa"/>
            <w:vAlign w:val="center"/>
          </w:tcPr>
          <w:p>
            <w:pPr>
              <w:pStyle w:val="0"/>
              <w:jc w:val="center"/>
            </w:pPr>
            <w:r>
              <w:rPr>
                <w:sz w:val="24"/>
              </w:rPr>
              <w:t xml:space="preserve">-/9</w:t>
            </w:r>
          </w:p>
        </w:tc>
        <w:tc>
          <w:tcPr>
            <w:tcW w:w="1020" w:type="dxa"/>
            <w:vAlign w:val="center"/>
          </w:tcPr>
          <w:p>
            <w:pPr>
              <w:pStyle w:val="0"/>
              <w:jc w:val="center"/>
            </w:pPr>
            <w:r>
              <w:rPr>
                <w:sz w:val="24"/>
              </w:rPr>
              <w:t xml:space="preserve">6/9</w:t>
            </w:r>
          </w:p>
        </w:tc>
        <w:tc>
          <w:tcPr>
            <w:tcW w:w="1020" w:type="dxa"/>
            <w:vAlign w:val="center"/>
          </w:tcPr>
          <w:p>
            <w:pPr>
              <w:pStyle w:val="0"/>
              <w:jc w:val="center"/>
            </w:pPr>
            <w:r>
              <w:rPr>
                <w:sz w:val="24"/>
              </w:rPr>
              <w:t xml:space="preserve">6</w:t>
            </w:r>
          </w:p>
        </w:tc>
        <w:tc>
          <w:tcPr>
            <w:tcW w:w="850" w:type="dxa"/>
            <w:vAlign w:val="center"/>
          </w:tcPr>
          <w:p>
            <w:pPr>
              <w:pStyle w:val="0"/>
              <w:jc w:val="center"/>
            </w:pPr>
            <w:r>
              <w:rPr>
                <w:sz w:val="24"/>
              </w:rPr>
              <w:t xml:space="preserve">12</w:t>
            </w:r>
          </w:p>
        </w:tc>
        <w:tc>
          <w:tcPr>
            <w:tcW w:w="874" w:type="dxa"/>
            <w:vAlign w:val="center"/>
          </w:tcPr>
          <w:p>
            <w:pPr>
              <w:pStyle w:val="0"/>
              <w:jc w:val="center"/>
            </w:pPr>
            <w:r>
              <w:rPr>
                <w:sz w:val="24"/>
              </w:rPr>
              <w:t xml:space="preserve">6</w:t>
            </w:r>
          </w:p>
        </w:tc>
      </w:tr>
      <w:tr>
        <w:tc>
          <w:tcPr>
            <w:tcW w:w="3742" w:type="dxa"/>
          </w:tcPr>
          <w:p>
            <w:pPr>
              <w:pStyle w:val="0"/>
            </w:pPr>
            <w:r>
              <w:rPr>
                <w:sz w:val="24"/>
              </w:rPr>
              <w:t xml:space="preserve">8. Здание котельной на дизельном топливе</w:t>
            </w:r>
          </w:p>
        </w:tc>
        <w:tc>
          <w:tcPr>
            <w:tcW w:w="964" w:type="dxa"/>
            <w:vAlign w:val="center"/>
          </w:tcPr>
          <w:p>
            <w:pPr>
              <w:pStyle w:val="0"/>
              <w:jc w:val="center"/>
            </w:pPr>
            <w:r>
              <w:rPr>
                <w:sz w:val="24"/>
              </w:rPr>
              <w:t xml:space="preserve">9</w:t>
            </w:r>
          </w:p>
        </w:tc>
        <w:tc>
          <w:tcPr>
            <w:tcW w:w="1134" w:type="dxa"/>
            <w:vAlign w:val="center"/>
          </w:tcPr>
          <w:p>
            <w:pPr>
              <w:pStyle w:val="0"/>
              <w:jc w:val="center"/>
            </w:pPr>
            <w:r>
              <w:rPr>
                <w:sz w:val="24"/>
              </w:rPr>
              <w:t xml:space="preserve">9</w:t>
            </w:r>
          </w:p>
        </w:tc>
        <w:tc>
          <w:tcPr>
            <w:tcW w:w="1077" w:type="dxa"/>
            <w:vAlign w:val="center"/>
          </w:tcPr>
          <w:p>
            <w:pPr>
              <w:pStyle w:val="0"/>
              <w:jc w:val="center"/>
            </w:pPr>
            <w:r>
              <w:rPr>
                <w:sz w:val="24"/>
              </w:rPr>
              <w:t xml:space="preserve">12</w:t>
            </w:r>
          </w:p>
        </w:tc>
        <w:tc>
          <w:tcPr>
            <w:tcW w:w="1020" w:type="dxa"/>
            <w:vAlign w:val="center"/>
          </w:tcPr>
          <w:p>
            <w:pPr>
              <w:pStyle w:val="0"/>
              <w:jc w:val="center"/>
            </w:pPr>
            <w:r>
              <w:rPr>
                <w:sz w:val="24"/>
              </w:rPr>
              <w:t xml:space="preserve">6</w:t>
            </w:r>
          </w:p>
        </w:tc>
        <w:tc>
          <w:tcPr>
            <w:tcW w:w="964" w:type="dxa"/>
            <w:vAlign w:val="center"/>
          </w:tcPr>
          <w:p>
            <w:pPr>
              <w:pStyle w:val="0"/>
              <w:jc w:val="center"/>
            </w:pPr>
            <w:r>
              <w:rPr>
                <w:sz w:val="24"/>
              </w:rPr>
              <w:t xml:space="preserve">9</w:t>
            </w:r>
          </w:p>
        </w:tc>
        <w:tc>
          <w:tcPr>
            <w:tcW w:w="1077" w:type="dxa"/>
            <w:vAlign w:val="center"/>
          </w:tcPr>
          <w:p>
            <w:pPr>
              <w:pStyle w:val="0"/>
              <w:jc w:val="center"/>
            </w:pPr>
            <w:r>
              <w:rPr>
                <w:sz w:val="24"/>
              </w:rPr>
              <w:t xml:space="preserve">9</w:t>
            </w:r>
          </w:p>
        </w:tc>
        <w:tc>
          <w:tcPr>
            <w:tcW w:w="1020" w:type="dxa"/>
            <w:vAlign w:val="center"/>
          </w:tcPr>
          <w:p>
            <w:pPr>
              <w:pStyle w:val="0"/>
              <w:jc w:val="center"/>
            </w:pPr>
            <w:r>
              <w:rPr>
                <w:sz w:val="24"/>
              </w:rPr>
              <w:t xml:space="preserve">12</w:t>
            </w:r>
          </w:p>
        </w:tc>
        <w:tc>
          <w:tcPr>
            <w:tcW w:w="1020" w:type="dxa"/>
            <w:vAlign w:val="center"/>
          </w:tcPr>
          <w:p>
            <w:pPr>
              <w:pStyle w:val="0"/>
              <w:jc w:val="center"/>
            </w:pPr>
            <w:r>
              <w:rPr>
                <w:sz w:val="24"/>
              </w:rPr>
              <w:t xml:space="preserve">9</w:t>
            </w:r>
          </w:p>
        </w:tc>
        <w:tc>
          <w:tcPr>
            <w:tcW w:w="850" w:type="dxa"/>
            <w:vAlign w:val="center"/>
          </w:tcPr>
          <w:p>
            <w:pPr>
              <w:pStyle w:val="0"/>
              <w:jc w:val="center"/>
            </w:pPr>
            <w:r>
              <w:rPr>
                <w:sz w:val="24"/>
              </w:rPr>
              <w:t xml:space="preserve">6</w:t>
            </w:r>
          </w:p>
        </w:tc>
        <w:tc>
          <w:tcPr>
            <w:tcW w:w="874" w:type="dxa"/>
            <w:vAlign w:val="center"/>
          </w:tcPr>
          <w:p>
            <w:pPr>
              <w:pStyle w:val="0"/>
              <w:jc w:val="center"/>
            </w:pPr>
            <w:r>
              <w:rPr>
                <w:sz w:val="24"/>
              </w:rPr>
              <w:t xml:space="preserve">-</w:t>
            </w:r>
          </w:p>
        </w:tc>
      </w:tr>
      <w:tr>
        <w:tc>
          <w:tcPr>
            <w:gridSpan w:val="11"/>
            <w:tcW w:w="13742" w:type="dxa"/>
          </w:tcPr>
          <w:p>
            <w:pPr>
              <w:pStyle w:val="0"/>
              <w:jc w:val="both"/>
            </w:pPr>
            <w:r>
              <w:rPr>
                <w:sz w:val="24"/>
              </w:rPr>
              <w:t xml:space="preserve">Примечания</w:t>
            </w:r>
          </w:p>
          <w:p>
            <w:pPr>
              <w:pStyle w:val="0"/>
              <w:jc w:val="both"/>
            </w:pPr>
            <w:r>
              <w:rPr>
                <w:sz w:val="24"/>
              </w:rPr>
              <w:t xml:space="preserve">1. Расстояния указаны: в числителе - до стен зданий, в знаменателе - до проемов стен зданий. Расстояния, обозначенные "-", не нормируются и принимаются, исходя из конструктивных особенностей, если иное не оговорено настоящим сводом правил.</w:t>
            </w:r>
          </w:p>
          <w:p>
            <w:pPr>
              <w:pStyle w:val="0"/>
              <w:jc w:val="both"/>
            </w:pPr>
            <w:r>
              <w:rPr>
                <w:sz w:val="24"/>
              </w:rPr>
              <w:t xml:space="preserve">2. При проектировании блочной АЗС расстояние между резервуарами для хранения топлива и ТРК не нормируется.</w:t>
            </w:r>
          </w:p>
          <w:p>
            <w:pPr>
              <w:pStyle w:val="0"/>
              <w:jc w:val="both"/>
            </w:pPr>
            <w:r>
              <w:rPr>
                <w:sz w:val="24"/>
              </w:rPr>
              <w:t xml:space="preserve">3. Для АЗС, в задании на проектирование которых предусматривается их эксплуатация без приостановки во время наполнения резервуаров топливом из АЦ, расстояния от площадки для АЦ до ТРК следует принимать не менее 8 м, до площадки для стоянки транспортных средств не менее 18 м (вне зависимости от вида транспортных средств), а до зданий и сооружений АЗС расстояния следует увеличивать на 30%.</w:t>
            </w:r>
          </w:p>
          <w:p>
            <w:pPr>
              <w:pStyle w:val="0"/>
              <w:jc w:val="both"/>
            </w:pPr>
            <w:r>
              <w:rPr>
                <w:sz w:val="24"/>
              </w:rPr>
              <w:t xml:space="preserve">4. Расстояния не нормируются:</w:t>
            </w:r>
          </w:p>
          <w:p>
            <w:pPr>
              <w:pStyle w:val="0"/>
              <w:jc w:val="both"/>
            </w:pPr>
            <w:r>
              <w:rPr>
                <w:sz w:val="24"/>
              </w:rPr>
              <w:t xml:space="preserve">а) между зданиями сервисного обслуживания транспортных средств, если стена более широкого здания, обращенная в сторону другого здания, является противопожарной;</w:t>
            </w:r>
          </w:p>
          <w:p>
            <w:pPr>
              <w:pStyle w:val="0"/>
              <w:jc w:val="both"/>
            </w:pPr>
            <w:r>
              <w:rPr>
                <w:sz w:val="24"/>
              </w:rPr>
              <w:t xml:space="preserve">б) между зданиями для персонала АЗС при условии, если в них отсутствуют помещения сервисного обслуживания водителей, пассажиров и их транспортных средств.</w:t>
            </w:r>
          </w:p>
          <w:p>
            <w:pPr>
              <w:pStyle w:val="0"/>
              <w:jc w:val="both"/>
            </w:pPr>
            <w:r>
              <w:rPr>
                <w:sz w:val="24"/>
              </w:rPr>
              <w:t xml:space="preserve">5. Размеры площадки для стоянки транспортных средств должны обеспечивать одновременное пребывание на ней не более 10 единиц транспортных средств. В </w:t>
            </w:r>
            <w:hyperlink w:history="0" w:anchor="P515" w:tooltip="7. Площадка для стоянки транспортных средств">
              <w:r>
                <w:rPr>
                  <w:sz w:val="24"/>
                  <w:color w:val="0000ff"/>
                </w:rPr>
                <w:t xml:space="preserve">строке 7</w:t>
              </w:r>
            </w:hyperlink>
            <w:r>
              <w:rPr>
                <w:sz w:val="24"/>
              </w:rPr>
              <w:t xml:space="preserve"> приведены расстояния до стоянок легкового и мототранспорта. При организации стоянок других транспортных средств расстояние до стен без проемов зданий I и II степени огнестойкости класса С0 или С1 должно быть не менее 9 м, а остальные расстояния следует увеличивать на 50%.</w:t>
            </w:r>
          </w:p>
          <w:p>
            <w:pPr>
              <w:pStyle w:val="0"/>
              <w:jc w:val="both"/>
            </w:pPr>
            <w:r>
              <w:rPr>
                <w:sz w:val="24"/>
              </w:rPr>
              <w:t xml:space="preserve">6. Расстояния от трансформаторной подстанции до зданий и сооружений АЗС принимаются в соответствии с </w:t>
            </w:r>
            <w:hyperlink w:history="0" w:anchor="P2089" w:tooltip="БИБЛИОГРАФИЯ">
              <w:r>
                <w:rPr>
                  <w:sz w:val="24"/>
                  <w:color w:val="0000ff"/>
                </w:rPr>
                <w:t xml:space="preserve">[3]</w:t>
              </w:r>
            </w:hyperlink>
            <w:r>
              <w:rPr>
                <w:sz w:val="24"/>
              </w:rPr>
              <w:t xml:space="preserve">.</w:t>
            </w:r>
          </w:p>
          <w:p>
            <w:pPr>
              <w:pStyle w:val="0"/>
              <w:jc w:val="both"/>
            </w:pPr>
            <w:r>
              <w:rPr>
                <w:sz w:val="24"/>
              </w:rPr>
              <w:t xml:space="preserve">7. Расстояния от котельной на дизельном топливе, пристроенной к зданию иного назначения, до остальных зданий, а также до сооружений и оборудования АЗС определяются по </w:t>
            </w:r>
            <w:hyperlink w:history="0" w:anchor="P391" w:tooltip="Таблица 2">
              <w:r>
                <w:rPr>
                  <w:sz w:val="24"/>
                  <w:color w:val="0000ff"/>
                </w:rPr>
                <w:t xml:space="preserve">таблице 2</w:t>
              </w:r>
            </w:hyperlink>
            <w:r>
              <w:rPr>
                <w:sz w:val="24"/>
              </w:rPr>
              <w:t xml:space="preserve"> настоящего свода правил как от отдельно стоящего здания указанной котельной.</w:t>
            </w:r>
          </w:p>
        </w:tc>
      </w:tr>
    </w:tbl>
    <w:p>
      <w:pPr>
        <w:sectPr>
          <w:headerReference w:type="default" r:id="rId71"/>
          <w:headerReference w:type="first" r:id="rId71"/>
          <w:footerReference w:type="default" r:id="rId72"/>
          <w:footerReference w:type="first" r:id="rId72"/>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7.3. Минимальные расстояния между зданиями и сооружениями АЗС жидкого моторного топлива с надземными резервуарами принимаются в соответствии с </w:t>
      </w:r>
      <w:hyperlink w:history="0" w:anchor="P551" w:tooltip="Таблица 3">
        <w:r>
          <w:rPr>
            <w:sz w:val="24"/>
            <w:color w:val="0000ff"/>
          </w:rPr>
          <w:t xml:space="preserve">таблицей 3</w:t>
        </w:r>
      </w:hyperlink>
      <w:r>
        <w:rPr>
          <w:sz w:val="24"/>
        </w:rPr>
        <w:t xml:space="preserve"> настоящего свода правил.</w:t>
      </w:r>
    </w:p>
    <w:p>
      <w:pPr>
        <w:pStyle w:val="0"/>
        <w:spacing w:before="240" w:lineRule="auto"/>
        <w:ind w:firstLine="540"/>
        <w:jc w:val="both"/>
      </w:pPr>
      <w:r>
        <w:rPr>
          <w:sz w:val="24"/>
        </w:rPr>
        <w:t xml:space="preserve">7.4. Фундаменты для контейнеров хранения топлива должны исключать скопление топлива под резервуарами. Высота фундамента должна быть не менее 0,2 м по отношению к прилегающей к нему площадке, его размеры в плане должны превышать размеры контейнера хранения топлива не менее чем на 0,5 м во все стороны, а верхняя поверхность фундамента должна иметь уклоны от резервуаров в сторону краев фундамента не менее двух градусов.</w:t>
      </w:r>
    </w:p>
    <w:p>
      <w:pPr>
        <w:pStyle w:val="0"/>
        <w:jc w:val="both"/>
      </w:pPr>
      <w:r>
        <w:rPr>
          <w:sz w:val="24"/>
        </w:rPr>
      </w:r>
    </w:p>
    <w:bookmarkStart w:id="551" w:name="P551"/>
    <w:bookmarkEnd w:id="551"/>
    <w:p>
      <w:pPr>
        <w:pStyle w:val="2"/>
        <w:outlineLvl w:val="2"/>
        <w:jc w:val="both"/>
      </w:pPr>
      <w:r>
        <w:rPr>
          <w:sz w:val="24"/>
        </w:rPr>
        <w:t xml:space="preserve">Таблица 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28"/>
        <w:gridCol w:w="1134"/>
        <w:gridCol w:w="1077"/>
        <w:gridCol w:w="1077"/>
        <w:gridCol w:w="1020"/>
        <w:gridCol w:w="1084"/>
      </w:tblGrid>
      <w:tr>
        <w:tc>
          <w:tcPr>
            <w:tcW w:w="3628" w:type="dxa"/>
            <w:vMerge w:val="restart"/>
          </w:tcPr>
          <w:p>
            <w:pPr>
              <w:pStyle w:val="0"/>
              <w:jc w:val="center"/>
            </w:pPr>
            <w:r>
              <w:rPr>
                <w:sz w:val="24"/>
              </w:rPr>
              <w:t xml:space="preserve">Наименование зданий и сооружений АЗС</w:t>
            </w:r>
          </w:p>
        </w:tc>
        <w:tc>
          <w:tcPr>
            <w:gridSpan w:val="5"/>
            <w:tcW w:w="5392" w:type="dxa"/>
          </w:tcPr>
          <w:p>
            <w:pPr>
              <w:pStyle w:val="0"/>
              <w:jc w:val="center"/>
            </w:pPr>
            <w:r>
              <w:rPr>
                <w:sz w:val="24"/>
              </w:rPr>
              <w:t xml:space="preserve">Минимальное расстояние между соответствующими зданиями и сооружениями в порядке их записи в заголовке таблицы, м</w:t>
            </w:r>
          </w:p>
        </w:tc>
      </w:tr>
      <w:tr>
        <w:tc>
          <w:tcPr>
            <w:vMerge w:val="continue"/>
          </w:tcPr>
          <w:p/>
        </w:tc>
        <w:tc>
          <w:tcPr>
            <w:tcW w:w="1134" w:type="dxa"/>
          </w:tcPr>
          <w:p>
            <w:pPr>
              <w:pStyle w:val="0"/>
              <w:jc w:val="center"/>
            </w:pPr>
            <w:r>
              <w:rPr>
                <w:sz w:val="24"/>
              </w:rPr>
              <w:t xml:space="preserve">1</w:t>
            </w:r>
          </w:p>
        </w:tc>
        <w:tc>
          <w:tcPr>
            <w:tcW w:w="1077" w:type="dxa"/>
          </w:tcPr>
          <w:p>
            <w:pPr>
              <w:pStyle w:val="0"/>
              <w:jc w:val="center"/>
            </w:pPr>
            <w:r>
              <w:rPr>
                <w:sz w:val="24"/>
              </w:rPr>
              <w:t xml:space="preserve">2</w:t>
            </w:r>
          </w:p>
        </w:tc>
        <w:tc>
          <w:tcPr>
            <w:tcW w:w="1077" w:type="dxa"/>
          </w:tcPr>
          <w:p>
            <w:pPr>
              <w:pStyle w:val="0"/>
              <w:jc w:val="center"/>
            </w:pPr>
            <w:r>
              <w:rPr>
                <w:sz w:val="24"/>
              </w:rPr>
              <w:t xml:space="preserve">3</w:t>
            </w:r>
          </w:p>
        </w:tc>
        <w:tc>
          <w:tcPr>
            <w:tcW w:w="1020" w:type="dxa"/>
          </w:tcPr>
          <w:p>
            <w:pPr>
              <w:pStyle w:val="0"/>
              <w:jc w:val="center"/>
            </w:pPr>
            <w:r>
              <w:rPr>
                <w:sz w:val="24"/>
              </w:rPr>
              <w:t xml:space="preserve">4</w:t>
            </w:r>
          </w:p>
        </w:tc>
        <w:tc>
          <w:tcPr>
            <w:tcW w:w="1084" w:type="dxa"/>
          </w:tcPr>
          <w:p>
            <w:pPr>
              <w:pStyle w:val="0"/>
              <w:jc w:val="center"/>
            </w:pPr>
            <w:r>
              <w:rPr>
                <w:sz w:val="24"/>
              </w:rPr>
              <w:t xml:space="preserve">5</w:t>
            </w:r>
          </w:p>
        </w:tc>
      </w:tr>
      <w:tr>
        <w:tc>
          <w:tcPr>
            <w:tcW w:w="3628" w:type="dxa"/>
          </w:tcPr>
          <w:p>
            <w:pPr>
              <w:pStyle w:val="0"/>
            </w:pPr>
            <w:r>
              <w:rPr>
                <w:sz w:val="24"/>
              </w:rPr>
              <w:t xml:space="preserve">1. Контейнеры хранения топлива</w:t>
            </w:r>
          </w:p>
        </w:tc>
        <w:tc>
          <w:tcPr>
            <w:tcW w:w="1134" w:type="dxa"/>
          </w:tcPr>
          <w:p>
            <w:pPr>
              <w:pStyle w:val="0"/>
              <w:jc w:val="center"/>
            </w:pPr>
            <w:r>
              <w:rPr>
                <w:sz w:val="24"/>
              </w:rPr>
              <w:t xml:space="preserve">-</w:t>
            </w:r>
          </w:p>
        </w:tc>
        <w:tc>
          <w:tcPr>
            <w:tcW w:w="1077" w:type="dxa"/>
          </w:tcPr>
          <w:p>
            <w:pPr>
              <w:pStyle w:val="0"/>
              <w:jc w:val="center"/>
            </w:pPr>
            <w:r>
              <w:rPr>
                <w:sz w:val="24"/>
              </w:rPr>
              <w:t xml:space="preserve">8</w:t>
            </w:r>
          </w:p>
        </w:tc>
        <w:tc>
          <w:tcPr>
            <w:tcW w:w="1077" w:type="dxa"/>
          </w:tcPr>
          <w:p>
            <w:pPr>
              <w:pStyle w:val="0"/>
              <w:jc w:val="center"/>
            </w:pPr>
            <w:r>
              <w:rPr>
                <w:sz w:val="24"/>
              </w:rPr>
              <w:t xml:space="preserve">-</w:t>
            </w:r>
          </w:p>
        </w:tc>
        <w:tc>
          <w:tcPr>
            <w:tcW w:w="1020" w:type="dxa"/>
          </w:tcPr>
          <w:p>
            <w:pPr>
              <w:pStyle w:val="0"/>
              <w:jc w:val="center"/>
            </w:pPr>
            <w:r>
              <w:rPr>
                <w:sz w:val="24"/>
              </w:rPr>
              <w:t xml:space="preserve">9</w:t>
            </w:r>
          </w:p>
        </w:tc>
        <w:tc>
          <w:tcPr>
            <w:tcW w:w="1084" w:type="dxa"/>
          </w:tcPr>
          <w:p>
            <w:pPr>
              <w:pStyle w:val="0"/>
              <w:jc w:val="center"/>
            </w:pPr>
            <w:r>
              <w:rPr>
                <w:sz w:val="24"/>
              </w:rPr>
              <w:t xml:space="preserve">-</w:t>
            </w:r>
          </w:p>
        </w:tc>
      </w:tr>
      <w:tr>
        <w:tc>
          <w:tcPr>
            <w:tcW w:w="3628" w:type="dxa"/>
          </w:tcPr>
          <w:p>
            <w:pPr>
              <w:pStyle w:val="0"/>
            </w:pPr>
            <w:r>
              <w:rPr>
                <w:sz w:val="24"/>
              </w:rPr>
              <w:t xml:space="preserve">2. Топливораздаточные колонки</w:t>
            </w:r>
          </w:p>
        </w:tc>
        <w:tc>
          <w:tcPr>
            <w:tcW w:w="1134" w:type="dxa"/>
          </w:tcPr>
          <w:p>
            <w:pPr>
              <w:pStyle w:val="0"/>
              <w:jc w:val="center"/>
            </w:pPr>
            <w:r>
              <w:rPr>
                <w:sz w:val="24"/>
              </w:rPr>
              <w:t xml:space="preserve">8</w:t>
            </w:r>
          </w:p>
        </w:tc>
        <w:tc>
          <w:tcPr>
            <w:tcW w:w="1077" w:type="dxa"/>
          </w:tcPr>
          <w:p>
            <w:pPr>
              <w:pStyle w:val="0"/>
              <w:jc w:val="center"/>
            </w:pPr>
            <w:r>
              <w:rPr>
                <w:sz w:val="24"/>
              </w:rPr>
              <w:t xml:space="preserve">-</w:t>
            </w:r>
          </w:p>
        </w:tc>
        <w:tc>
          <w:tcPr>
            <w:tcW w:w="1077" w:type="dxa"/>
          </w:tcPr>
          <w:p>
            <w:pPr>
              <w:pStyle w:val="0"/>
              <w:jc w:val="center"/>
            </w:pPr>
            <w:r>
              <w:rPr>
                <w:sz w:val="24"/>
              </w:rPr>
              <w:t xml:space="preserve">8</w:t>
            </w:r>
          </w:p>
        </w:tc>
        <w:tc>
          <w:tcPr>
            <w:tcW w:w="1020" w:type="dxa"/>
          </w:tcPr>
          <w:p>
            <w:pPr>
              <w:pStyle w:val="0"/>
              <w:jc w:val="center"/>
            </w:pPr>
            <w:r>
              <w:rPr>
                <w:sz w:val="24"/>
              </w:rPr>
              <w:t xml:space="preserve">9</w:t>
            </w:r>
          </w:p>
        </w:tc>
        <w:tc>
          <w:tcPr>
            <w:tcW w:w="1084" w:type="dxa"/>
          </w:tcPr>
          <w:p>
            <w:pPr>
              <w:pStyle w:val="0"/>
              <w:jc w:val="center"/>
            </w:pPr>
            <w:r>
              <w:rPr>
                <w:sz w:val="24"/>
              </w:rPr>
              <w:t xml:space="preserve">4</w:t>
            </w:r>
          </w:p>
        </w:tc>
      </w:tr>
      <w:tr>
        <w:tc>
          <w:tcPr>
            <w:tcW w:w="3628" w:type="dxa"/>
          </w:tcPr>
          <w:p>
            <w:pPr>
              <w:pStyle w:val="0"/>
            </w:pPr>
            <w:r>
              <w:rPr>
                <w:sz w:val="24"/>
              </w:rPr>
              <w:t xml:space="preserve">3. Площадка для АЦ</w:t>
            </w:r>
          </w:p>
        </w:tc>
        <w:tc>
          <w:tcPr>
            <w:tcW w:w="1134" w:type="dxa"/>
          </w:tcPr>
          <w:p>
            <w:pPr>
              <w:pStyle w:val="0"/>
              <w:jc w:val="center"/>
            </w:pPr>
            <w:r>
              <w:rPr>
                <w:sz w:val="24"/>
              </w:rPr>
              <w:t xml:space="preserve">-</w:t>
            </w:r>
          </w:p>
        </w:tc>
        <w:tc>
          <w:tcPr>
            <w:tcW w:w="1077" w:type="dxa"/>
          </w:tcPr>
          <w:p>
            <w:pPr>
              <w:pStyle w:val="0"/>
              <w:jc w:val="center"/>
            </w:pPr>
            <w:r>
              <w:rPr>
                <w:sz w:val="24"/>
              </w:rPr>
              <w:t xml:space="preserve">8</w:t>
            </w:r>
          </w:p>
        </w:tc>
        <w:tc>
          <w:tcPr>
            <w:tcW w:w="1077" w:type="dxa"/>
          </w:tcPr>
          <w:p>
            <w:pPr>
              <w:pStyle w:val="0"/>
              <w:jc w:val="center"/>
            </w:pPr>
            <w:r>
              <w:rPr>
                <w:sz w:val="24"/>
              </w:rPr>
              <w:t xml:space="preserve">-</w:t>
            </w:r>
          </w:p>
        </w:tc>
        <w:tc>
          <w:tcPr>
            <w:tcW w:w="1020" w:type="dxa"/>
          </w:tcPr>
          <w:p>
            <w:pPr>
              <w:pStyle w:val="0"/>
              <w:jc w:val="center"/>
            </w:pPr>
            <w:r>
              <w:rPr>
                <w:sz w:val="24"/>
              </w:rPr>
              <w:t xml:space="preserve">9</w:t>
            </w:r>
          </w:p>
        </w:tc>
        <w:tc>
          <w:tcPr>
            <w:tcW w:w="1084" w:type="dxa"/>
          </w:tcPr>
          <w:p>
            <w:pPr>
              <w:pStyle w:val="0"/>
              <w:jc w:val="center"/>
            </w:pPr>
            <w:r>
              <w:rPr>
                <w:sz w:val="24"/>
              </w:rPr>
              <w:t xml:space="preserve">-</w:t>
            </w:r>
          </w:p>
        </w:tc>
      </w:tr>
      <w:tr>
        <w:tc>
          <w:tcPr>
            <w:tcW w:w="3628" w:type="dxa"/>
          </w:tcPr>
          <w:p>
            <w:pPr>
              <w:pStyle w:val="0"/>
            </w:pPr>
            <w:r>
              <w:rPr>
                <w:sz w:val="24"/>
              </w:rPr>
              <w:t xml:space="preserve">4. Здания для персонала АЗС</w:t>
            </w:r>
          </w:p>
        </w:tc>
        <w:tc>
          <w:tcPr>
            <w:tcW w:w="1134" w:type="dxa"/>
          </w:tcPr>
          <w:p>
            <w:pPr>
              <w:pStyle w:val="0"/>
              <w:jc w:val="center"/>
            </w:pPr>
            <w:r>
              <w:rPr>
                <w:sz w:val="24"/>
              </w:rPr>
              <w:t xml:space="preserve">9</w:t>
            </w:r>
          </w:p>
        </w:tc>
        <w:tc>
          <w:tcPr>
            <w:tcW w:w="1077" w:type="dxa"/>
          </w:tcPr>
          <w:p>
            <w:pPr>
              <w:pStyle w:val="0"/>
              <w:jc w:val="center"/>
            </w:pPr>
            <w:r>
              <w:rPr>
                <w:sz w:val="24"/>
              </w:rPr>
              <w:t xml:space="preserve">9</w:t>
            </w:r>
          </w:p>
        </w:tc>
        <w:tc>
          <w:tcPr>
            <w:tcW w:w="1077" w:type="dxa"/>
          </w:tcPr>
          <w:p>
            <w:pPr>
              <w:pStyle w:val="0"/>
              <w:jc w:val="center"/>
            </w:pPr>
            <w:r>
              <w:rPr>
                <w:sz w:val="24"/>
              </w:rPr>
              <w:t xml:space="preserve">9</w:t>
            </w:r>
          </w:p>
        </w:tc>
        <w:tc>
          <w:tcPr>
            <w:tcW w:w="1020" w:type="dxa"/>
          </w:tcPr>
          <w:p>
            <w:pPr>
              <w:pStyle w:val="0"/>
              <w:jc w:val="center"/>
            </w:pPr>
            <w:r>
              <w:rPr>
                <w:sz w:val="24"/>
              </w:rPr>
              <w:t xml:space="preserve">-</w:t>
            </w:r>
          </w:p>
        </w:tc>
        <w:tc>
          <w:tcPr>
            <w:tcW w:w="1084" w:type="dxa"/>
          </w:tcPr>
          <w:p>
            <w:pPr>
              <w:pStyle w:val="0"/>
              <w:jc w:val="center"/>
            </w:pPr>
            <w:r>
              <w:rPr>
                <w:sz w:val="24"/>
              </w:rPr>
              <w:t xml:space="preserve">9</w:t>
            </w:r>
          </w:p>
        </w:tc>
      </w:tr>
      <w:tr>
        <w:tc>
          <w:tcPr>
            <w:tcW w:w="3628" w:type="dxa"/>
          </w:tcPr>
          <w:p>
            <w:pPr>
              <w:pStyle w:val="0"/>
            </w:pPr>
            <w:r>
              <w:rPr>
                <w:sz w:val="24"/>
              </w:rPr>
              <w:t xml:space="preserve">5. Очистные сооружения для атмосферных осадков, загрязненных нефтепродуктами</w:t>
            </w:r>
          </w:p>
        </w:tc>
        <w:tc>
          <w:tcPr>
            <w:tcW w:w="1134" w:type="dxa"/>
          </w:tcPr>
          <w:p>
            <w:pPr>
              <w:pStyle w:val="0"/>
              <w:jc w:val="center"/>
            </w:pPr>
            <w:r>
              <w:rPr>
                <w:sz w:val="24"/>
              </w:rPr>
              <w:t xml:space="preserve">-</w:t>
            </w:r>
          </w:p>
        </w:tc>
        <w:tc>
          <w:tcPr>
            <w:tcW w:w="1077" w:type="dxa"/>
          </w:tcPr>
          <w:p>
            <w:pPr>
              <w:pStyle w:val="0"/>
              <w:jc w:val="center"/>
            </w:pPr>
            <w:r>
              <w:rPr>
                <w:sz w:val="24"/>
              </w:rPr>
              <w:t xml:space="preserve">4</w:t>
            </w:r>
          </w:p>
        </w:tc>
        <w:tc>
          <w:tcPr>
            <w:tcW w:w="1077" w:type="dxa"/>
          </w:tcPr>
          <w:p>
            <w:pPr>
              <w:pStyle w:val="0"/>
              <w:jc w:val="center"/>
            </w:pPr>
            <w:r>
              <w:rPr>
                <w:sz w:val="24"/>
              </w:rPr>
              <w:t xml:space="preserve">-</w:t>
            </w:r>
          </w:p>
        </w:tc>
        <w:tc>
          <w:tcPr>
            <w:tcW w:w="1020" w:type="dxa"/>
          </w:tcPr>
          <w:p>
            <w:pPr>
              <w:pStyle w:val="0"/>
              <w:jc w:val="center"/>
            </w:pPr>
            <w:r>
              <w:rPr>
                <w:sz w:val="24"/>
              </w:rPr>
              <w:t xml:space="preserve">9</w:t>
            </w:r>
          </w:p>
        </w:tc>
        <w:tc>
          <w:tcPr>
            <w:tcW w:w="1084" w:type="dxa"/>
          </w:tcPr>
          <w:p>
            <w:pPr>
              <w:pStyle w:val="0"/>
              <w:jc w:val="center"/>
            </w:pPr>
            <w:r>
              <w:rPr>
                <w:sz w:val="24"/>
              </w:rPr>
              <w:t xml:space="preserve">-</w:t>
            </w:r>
          </w:p>
        </w:tc>
      </w:tr>
      <w:tr>
        <w:tc>
          <w:tcPr>
            <w:gridSpan w:val="6"/>
            <w:tcW w:w="9020" w:type="dxa"/>
          </w:tcPr>
          <w:p>
            <w:pPr>
              <w:pStyle w:val="0"/>
              <w:jc w:val="both"/>
            </w:pPr>
            <w:r>
              <w:rPr>
                <w:sz w:val="24"/>
              </w:rPr>
              <w:t xml:space="preserve">Примечания</w:t>
            </w:r>
          </w:p>
          <w:p>
            <w:pPr>
              <w:pStyle w:val="0"/>
              <w:jc w:val="both"/>
            </w:pPr>
            <w:r>
              <w:rPr>
                <w:sz w:val="24"/>
              </w:rPr>
              <w:t xml:space="preserve">1. Расстояния, обозначенные "-", а также расстояния от ТРК до контейнеров хранения топлива и площадки для АЦ на контейнерной АЗС не нормируются и принимаются, исходя из конструктивных особенностей, если иное не оговорено настоящим сводом правил.</w:t>
            </w:r>
          </w:p>
          <w:p>
            <w:pPr>
              <w:pStyle w:val="0"/>
              <w:jc w:val="both"/>
            </w:pPr>
            <w:r>
              <w:rPr>
                <w:sz w:val="24"/>
              </w:rPr>
              <w:t xml:space="preserve">2. Расстояния между контейнерами хранения топлива, технологические отсеки которых расположены друг напротив друга, следует принимать не менее 4 м.</w:t>
            </w:r>
          </w:p>
          <w:p>
            <w:pPr>
              <w:pStyle w:val="0"/>
              <w:jc w:val="both"/>
            </w:pPr>
            <w:r>
              <w:rPr>
                <w:sz w:val="24"/>
              </w:rPr>
              <w:t xml:space="preserve">3. Расстояния до зданий сервисного обслуживания водителей, пассажиров и транспортных средств принимаются как до зданий, не относящихся к АЗС.</w:t>
            </w:r>
          </w:p>
        </w:tc>
      </w:tr>
    </w:tbl>
    <w:p>
      <w:pPr>
        <w:pStyle w:val="0"/>
        <w:jc w:val="both"/>
      </w:pPr>
      <w:r>
        <w:rPr>
          <w:sz w:val="24"/>
        </w:rPr>
      </w:r>
    </w:p>
    <w:p>
      <w:pPr>
        <w:pStyle w:val="0"/>
        <w:ind w:firstLine="540"/>
        <w:jc w:val="both"/>
      </w:pPr>
      <w:r>
        <w:rPr>
          <w:sz w:val="24"/>
        </w:rPr>
        <w:t xml:space="preserve">7.5. В случае применения ограждающих конструкций контейнеров хранения топлива и их технологических отсеков эти конструкции должны выполняться в виде продуваемых преград с равномерным расположением отверстий по площади ограждений. Отношение площади отверстий к полной площади преграды должно быть не менее 50%.</w:t>
      </w:r>
    </w:p>
    <w:p>
      <w:pPr>
        <w:pStyle w:val="0"/>
        <w:spacing w:before="240" w:lineRule="auto"/>
        <w:ind w:firstLine="540"/>
        <w:jc w:val="both"/>
      </w:pPr>
      <w:r>
        <w:rPr>
          <w:sz w:val="24"/>
        </w:rPr>
        <w:t xml:space="preserve">Допускается использовать ограждающие конструкции с отношением площади отверстий к площади преграды менее 50% при условии выполнения одного из следующих требований:</w:t>
      </w:r>
    </w:p>
    <w:bookmarkStart w:id="597" w:name="P597"/>
    <w:bookmarkEnd w:id="597"/>
    <w:p>
      <w:pPr>
        <w:pStyle w:val="0"/>
        <w:spacing w:before="240" w:lineRule="auto"/>
        <w:ind w:firstLine="540"/>
        <w:jc w:val="both"/>
      </w:pPr>
      <w:r>
        <w:rPr>
          <w:sz w:val="24"/>
        </w:rPr>
        <w:t xml:space="preserve">а) оснащения контейнеров хранения топлива аварийной вентиляцией;</w:t>
      </w:r>
    </w:p>
    <w:p>
      <w:pPr>
        <w:pStyle w:val="0"/>
        <w:spacing w:before="240" w:lineRule="auto"/>
        <w:ind w:firstLine="540"/>
        <w:jc w:val="both"/>
      </w:pPr>
      <w:r>
        <w:rPr>
          <w:sz w:val="24"/>
        </w:rPr>
        <w:t xml:space="preserve">б) выведения горловины патрубков для метроштоков за пределы ограждающих конструкций контейнеров и применения во внутреннем пространстве, образуемом этими конструкциями, только двустенных трубопроводов для топлива и/или его паров с обеспечением непрерывного автоматического контроля за герметичностью их межтрубного пространства.</w:t>
      </w:r>
    </w:p>
    <w:p>
      <w:pPr>
        <w:pStyle w:val="0"/>
        <w:spacing w:before="240" w:lineRule="auto"/>
        <w:ind w:firstLine="540"/>
        <w:jc w:val="both"/>
      </w:pPr>
      <w:r>
        <w:rPr>
          <w:sz w:val="24"/>
        </w:rPr>
        <w:t xml:space="preserve">7.6. Аварийная вентиляция контейнера хранения топлива, предусматриваемая согласно требованиям </w:t>
      </w:r>
      <w:hyperlink w:history="0" w:anchor="P597" w:tooltip="а) оснащения контейнеров хранения топлива аварийной вентиляцией;">
        <w:r>
          <w:rPr>
            <w:sz w:val="24"/>
            <w:color w:val="0000ff"/>
          </w:rPr>
          <w:t xml:space="preserve">подпункта "а" пункта 7.5</w:t>
        </w:r>
      </w:hyperlink>
      <w:r>
        <w:rPr>
          <w:sz w:val="24"/>
        </w:rPr>
        <w:t xml:space="preserve"> настоящего свода правил, должна отвечать следующим требованиям:</w:t>
      </w:r>
    </w:p>
    <w:p>
      <w:pPr>
        <w:pStyle w:val="0"/>
        <w:spacing w:before="240" w:lineRule="auto"/>
        <w:ind w:firstLine="540"/>
        <w:jc w:val="both"/>
      </w:pPr>
      <w:r>
        <w:rPr>
          <w:sz w:val="24"/>
        </w:rPr>
        <w:t xml:space="preserve">запуск должен осуществляться в ручном режиме и в автоматическом режиме при превышении во внутреннем пространстве, образуемом ограждающими конструкциями контейнера хранения топлива, концентрации паров топлива, равной 10% от НКПР. Расстановка датчиков сигнализаторов довзрывоопасных концентраций в указанном пространстве должна обеспечивать обнаружение утечки топлива или его паров из трубопроводов и установленного на них оборудования;</w:t>
      </w:r>
    </w:p>
    <w:p>
      <w:pPr>
        <w:pStyle w:val="0"/>
        <w:spacing w:before="240" w:lineRule="auto"/>
        <w:ind w:firstLine="540"/>
        <w:jc w:val="both"/>
      </w:pPr>
      <w:r>
        <w:rPr>
          <w:sz w:val="24"/>
        </w:rPr>
        <w:t xml:space="preserve">кратность воздухообмена должна обеспечивать непревышение при аварийной ситуации (выбор расчетного варианта аварии осуществляется в соответствии с требованиями других нормативных документов по пожарной безопасности) среднеобъемной концентрации паров топлива, равной 20% от НКПР;</w:t>
      </w:r>
    </w:p>
    <w:p>
      <w:pPr>
        <w:pStyle w:val="0"/>
        <w:spacing w:before="240" w:lineRule="auto"/>
        <w:ind w:firstLine="540"/>
        <w:jc w:val="both"/>
      </w:pPr>
      <w:r>
        <w:rPr>
          <w:sz w:val="24"/>
        </w:rPr>
        <w:t xml:space="preserve">должно быть обеспечено автоматическое отключение вентиляции в случае пожара в контейнере хранения топлива;</w:t>
      </w:r>
    </w:p>
    <w:p>
      <w:pPr>
        <w:pStyle w:val="0"/>
        <w:spacing w:before="240" w:lineRule="auto"/>
        <w:ind w:firstLine="540"/>
        <w:jc w:val="both"/>
      </w:pPr>
      <w:r>
        <w:rPr>
          <w:sz w:val="24"/>
        </w:rPr>
        <w:t xml:space="preserve">электроснабжение системы вентиляции должно быть обеспечено по первой категории надежности в соответствии с </w:t>
      </w:r>
      <w:hyperlink w:history="0" w:anchor="P2089" w:tooltip="БИБЛИОГРАФИЯ">
        <w:r>
          <w:rPr>
            <w:sz w:val="24"/>
            <w:color w:val="0000ff"/>
          </w:rPr>
          <w:t xml:space="preserve">[3]</w:t>
        </w:r>
      </w:hyperlink>
      <w:r>
        <w:rPr>
          <w:sz w:val="24"/>
        </w:rPr>
        <w:t xml:space="preserve">.</w:t>
      </w:r>
    </w:p>
    <w:p>
      <w:pPr>
        <w:pStyle w:val="0"/>
        <w:spacing w:before="240" w:lineRule="auto"/>
        <w:ind w:firstLine="540"/>
        <w:jc w:val="both"/>
      </w:pPr>
      <w:r>
        <w:rPr>
          <w:sz w:val="24"/>
        </w:rPr>
        <w:t xml:space="preserve">7.7. Технологические отсеки контейнеров хранения топлива следует отделять от резервуаров противопожарными перегородками первого типа. Наружные поверхности оборудования контейнера хранения топлива, не защищенные от прямого воздействия солнечных лучей, должны быть защищены рефлекторными покрытиями.</w:t>
      </w:r>
    </w:p>
    <w:p>
      <w:pPr>
        <w:pStyle w:val="0"/>
        <w:spacing w:before="240" w:lineRule="auto"/>
        <w:ind w:firstLine="540"/>
        <w:jc w:val="both"/>
      </w:pPr>
      <w:r>
        <w:rPr>
          <w:sz w:val="24"/>
        </w:rPr>
        <w:t xml:space="preserve">На боковых поверхностях резервуаров или ограждающих конструкций (при их наличии) контейнеров хранения топлива должны быть расположены полоса желтого цвета шириной от 38 до 42 см с надписью "ОГНЕОПАСНО", выполненной световозвращающей краской красного цвета, а также надписи с указанием вида хранимого топлива (бензин или дизельное топливо).</w:t>
      </w:r>
    </w:p>
    <w:p>
      <w:pPr>
        <w:pStyle w:val="0"/>
        <w:spacing w:before="240" w:lineRule="auto"/>
        <w:ind w:firstLine="540"/>
        <w:jc w:val="both"/>
      </w:pPr>
      <w:r>
        <w:rPr>
          <w:sz w:val="24"/>
        </w:rPr>
        <w:t xml:space="preserve">7.8. На АЗС должны использоваться ТРК, обеспечивающие автоматическую блокировку подачи топлива при номинальном заполнении топливного бака транспортного средства.</w:t>
      </w:r>
    </w:p>
    <w:p>
      <w:pPr>
        <w:pStyle w:val="0"/>
        <w:spacing w:before="240" w:lineRule="auto"/>
        <w:ind w:firstLine="540"/>
        <w:jc w:val="both"/>
      </w:pPr>
      <w:r>
        <w:rPr>
          <w:sz w:val="24"/>
        </w:rPr>
        <w:t xml:space="preserve">Топливораздаточные колонки должны оснащаться устройствами, предотвращающими выход топлива из подводящих трубопроводов и заправочных шлангов при повреждении колонок.</w:t>
      </w:r>
    </w:p>
    <w:p>
      <w:pPr>
        <w:pStyle w:val="0"/>
        <w:spacing w:before="240" w:lineRule="auto"/>
        <w:ind w:firstLine="540"/>
        <w:jc w:val="both"/>
      </w:pPr>
      <w:r>
        <w:rPr>
          <w:sz w:val="24"/>
        </w:rPr>
        <w:t xml:space="preserve">7.9. Резервуары и трубопроводы для топлива и его паров должны сохранять герметичность в течение не менее 10 лет при соблюдении требований документации на технологическую систему АЗС.</w:t>
      </w:r>
    </w:p>
    <w:p>
      <w:pPr>
        <w:pStyle w:val="0"/>
        <w:spacing w:before="240" w:lineRule="auto"/>
        <w:ind w:firstLine="540"/>
        <w:jc w:val="both"/>
      </w:pPr>
      <w:r>
        <w:rPr>
          <w:sz w:val="24"/>
        </w:rPr>
        <w:t xml:space="preserve">7.10. Резервуары для хранения топлива должны быть оборудованы системами контроля их герметичности.</w:t>
      </w:r>
    </w:p>
    <w:p>
      <w:pPr>
        <w:pStyle w:val="0"/>
        <w:spacing w:before="240" w:lineRule="auto"/>
        <w:ind w:firstLine="540"/>
        <w:jc w:val="both"/>
      </w:pPr>
      <w:r>
        <w:rPr>
          <w:sz w:val="24"/>
        </w:rPr>
        <w:t xml:space="preserve">Примеры указанных систем приведены в </w:t>
      </w:r>
      <w:hyperlink w:history="0" w:anchor="P1341" w:tooltip="СИСТЕМЫ">
        <w:r>
          <w:rPr>
            <w:sz w:val="24"/>
            <w:color w:val="0000ff"/>
          </w:rPr>
          <w:t xml:space="preserve">приложении А</w:t>
        </w:r>
      </w:hyperlink>
      <w:r>
        <w:rPr>
          <w:sz w:val="24"/>
        </w:rPr>
        <w:t xml:space="preserve">.</w:t>
      </w:r>
    </w:p>
    <w:p>
      <w:pPr>
        <w:pStyle w:val="0"/>
        <w:jc w:val="both"/>
      </w:pPr>
      <w:r>
        <w:rPr>
          <w:sz w:val="24"/>
        </w:rPr>
        <w:t xml:space="preserve">(в ред. </w:t>
      </w:r>
      <w:hyperlink w:history="0" r:id="rId73"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7.11. Подземные одностенные резервуары для хранения топлива должны устанавливаться внутри оболочек, выполненных из материалов, устойчивых к воздействию нефтепродуктов и окружающей среды в условиях и в течение времени эксплуатации, а также исключающих проникновение топлива в грунт при возможных утечках из внутреннего пространства, образуемого стенками оболочек и резервуаров. Свободное пространство между указанными стенками должно быть заполнено (с уплотнением) негорючим материалом, способным впитывать в себя топливо.</w:t>
      </w:r>
    </w:p>
    <w:p>
      <w:pPr>
        <w:pStyle w:val="0"/>
        <w:spacing w:before="240" w:lineRule="auto"/>
        <w:ind w:firstLine="540"/>
        <w:jc w:val="both"/>
      </w:pPr>
      <w:r>
        <w:rPr>
          <w:sz w:val="24"/>
        </w:rPr>
        <w:t xml:space="preserve">7.12. При применении двустенного резервуара для хранения топлива следует предусматривать конструктивные мероприятия, направленные на исключение возможности образования взрывоопасной смеси паров топлива с воздухом (в результате разгерметизации внутренней стенки) в его межстенном пространстве. В случае заполнения межстенного пространства резервуара горючей жидкостью ее температура вспышки не должна быть ниже 100 °C.</w:t>
      </w:r>
    </w:p>
    <w:p>
      <w:pPr>
        <w:pStyle w:val="0"/>
        <w:spacing w:before="240" w:lineRule="auto"/>
        <w:ind w:firstLine="540"/>
        <w:jc w:val="both"/>
      </w:pPr>
      <w:r>
        <w:rPr>
          <w:sz w:val="24"/>
        </w:rPr>
        <w:t xml:space="preserve">Двустенный резервуар следует оборудовать системой объединенного или непрерывного контроля герметичности его межстенного пространства, обеспечивающей автоматическую сигнализацию (световую и звуковую) персоналу АЗС о разгерметизации и автоматическое прекращение наполнения резервуара. Для двустенных резервуаров традиционной АЗС допускается предусматривать периодический контроль их герметичности согласно требованиям документации на технологическую систему этой АЗС.</w:t>
      </w:r>
    </w:p>
    <w:p>
      <w:pPr>
        <w:pStyle w:val="0"/>
        <w:spacing w:before="240" w:lineRule="auto"/>
        <w:ind w:firstLine="540"/>
        <w:jc w:val="both"/>
      </w:pPr>
      <w:r>
        <w:rPr>
          <w:sz w:val="24"/>
        </w:rPr>
        <w:t xml:space="preserve">7.13. Для каждой камеры многокамерного резервуара должны выполняться требования, предусматриваемые настоящим сводом правил для однокамерного резервуара. Одновременное хранение бензина и дизельного топлива в различных камерах одного резервуара допускается только в двустенных резервуарах, в которых камеры для бензина и дизельного топлива разделены двумя перегородками и обеспечен контроль герметичности межперегородочного пространства.</w:t>
      </w:r>
    </w:p>
    <w:p>
      <w:pPr>
        <w:pStyle w:val="0"/>
        <w:spacing w:before="240" w:lineRule="auto"/>
        <w:ind w:firstLine="540"/>
        <w:jc w:val="both"/>
      </w:pPr>
      <w:r>
        <w:rPr>
          <w:sz w:val="24"/>
        </w:rPr>
        <w:t xml:space="preserve">7.14. Ввод трубопроводов в резервуары для хранения топлива должен осуществляться только в местах, расположенных выше номинального уровня заполнения их топливом. Устройство люков, штуцеров, патрубков и т.п. ниже указанного уровня не допускается.</w:t>
      </w:r>
    </w:p>
    <w:p>
      <w:pPr>
        <w:pStyle w:val="0"/>
        <w:spacing w:before="240" w:lineRule="auto"/>
        <w:ind w:firstLine="540"/>
        <w:jc w:val="both"/>
      </w:pPr>
      <w:r>
        <w:rPr>
          <w:sz w:val="24"/>
        </w:rPr>
        <w:t xml:space="preserve">При наполнении резервуаров топливом во время эксплуатации АЗС следует обеспечить исключение образования падающей струи топлива.</w:t>
      </w:r>
    </w:p>
    <w:p>
      <w:pPr>
        <w:pStyle w:val="0"/>
        <w:spacing w:before="240" w:lineRule="auto"/>
        <w:ind w:firstLine="540"/>
        <w:jc w:val="both"/>
      </w:pPr>
      <w:r>
        <w:rPr>
          <w:sz w:val="24"/>
        </w:rPr>
        <w:t xml:space="preserve">7.15. Трубопроводы линии деаэрации резервуара должны быть оснащены огнепреградителями или дыхательными клапанами со встроенными огнепреградителями, сохраняющими работоспособность в любое время года.</w:t>
      </w:r>
    </w:p>
    <w:p>
      <w:pPr>
        <w:pStyle w:val="0"/>
        <w:spacing w:before="240" w:lineRule="auto"/>
        <w:ind w:firstLine="540"/>
        <w:jc w:val="both"/>
      </w:pPr>
      <w:r>
        <w:rPr>
          <w:sz w:val="24"/>
        </w:rPr>
        <w:t xml:space="preserve">При размещении трубопровода линии деаэрации на расстоянии не менее 5 м (по горизонтали) от проездов АЗС, высота расположения его верхнего среза по отношению к прилегающей площадке должна быть не менее 2,5 м. Если это расстояние (по горизонтали) менее 5 м, то требуемую высоту выпуска паров топлива из трубопровода линии деаэрации, определяемую от уровня прилегающих к нему проездов для транспортных средств Нтр, м, вычисляют по формуле:</w:t>
      </w:r>
    </w:p>
    <w:p>
      <w:pPr>
        <w:pStyle w:val="0"/>
        <w:jc w:val="both"/>
      </w:pPr>
      <w:r>
        <w:rPr>
          <w:sz w:val="24"/>
        </w:rPr>
      </w:r>
    </w:p>
    <w:p>
      <w:pPr>
        <w:pStyle w:val="0"/>
        <w:jc w:val="center"/>
      </w:pPr>
      <w:r>
        <w:rPr>
          <w:position w:val="-10"/>
        </w:rPr>
        <w:drawing>
          <wp:inline distT="0" distB="0" distL="0" distR="0">
            <wp:extent cx="1369060" cy="2838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
                      <a:extLst>
                        <a:ext uri="{28A0092B-C50C-407E-A947-70E740481C1C}">
                          <a14:useLocalDpi xmlns:a14="http://schemas.microsoft.com/office/drawing/2010/main" val="0"/>
                        </a:ext>
                      </a:extLst>
                    </a:blip>
                    <a:srcRect/>
                    <a:stretch>
                      <a:fillRect/>
                    </a:stretch>
                  </pic:blipFill>
                  <pic:spPr bwMode="auto">
                    <a:xfrm>
                      <a:off x="0" y="0"/>
                      <a:ext cx="1369060" cy="283845"/>
                    </a:xfrm>
                    <a:prstGeom prst="rect">
                      <a:avLst/>
                    </a:prstGeom>
                    <a:noFill/>
                    <a:ln>
                      <a:noFill/>
                    </a:ln>
                  </pic:spPr>
                </pic:pic>
              </a:graphicData>
            </a:graphic>
          </wp:inline>
        </w:drawing>
      </w:r>
      <w:r>
        <w:rPr>
          <w:sz w:val="24"/>
        </w:rPr>
        <w:t xml:space="preserve">, (1)</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7686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
                      <a:extLst>
                        <a:ext uri="{28A0092B-C50C-407E-A947-70E740481C1C}">
                          <a14:useLocalDpi xmlns:a14="http://schemas.microsoft.com/office/drawing/2010/main" val="0"/>
                        </a:ext>
                      </a:extLst>
                    </a:blip>
                    <a:srcRect/>
                    <a:stretch>
                      <a:fillRect/>
                    </a:stretch>
                  </pic:blipFill>
                  <pic:spPr bwMode="auto">
                    <a:xfrm>
                      <a:off x="0" y="0"/>
                      <a:ext cx="276860" cy="276860"/>
                    </a:xfrm>
                    <a:prstGeom prst="rect">
                      <a:avLst/>
                    </a:prstGeom>
                    <a:noFill/>
                    <a:ln>
                      <a:noFill/>
                    </a:ln>
                  </pic:spPr>
                </pic:pic>
              </a:graphicData>
            </a:graphic>
          </wp:inline>
        </w:drawing>
      </w:r>
      <w:r>
        <w:rPr>
          <w:sz w:val="24"/>
        </w:rPr>
        <w:t xml:space="preserve"> - максимальная высота транспортного средства, допускаемого для заправки на АЗС (м), но не менее 2 м;</w:t>
      </w:r>
    </w:p>
    <w:p>
      <w:pPr>
        <w:pStyle w:val="0"/>
        <w:spacing w:before="240" w:lineRule="auto"/>
        <w:ind w:firstLine="540"/>
        <w:jc w:val="both"/>
      </w:pPr>
      <w:r>
        <w:rPr>
          <w:sz w:val="24"/>
        </w:rPr>
        <w:t xml:space="preserve">D - внутренний диаметр трубопровода линии деаэрации, м.</w:t>
      </w:r>
    </w:p>
    <w:p>
      <w:pPr>
        <w:pStyle w:val="0"/>
        <w:spacing w:before="240" w:lineRule="auto"/>
        <w:ind w:firstLine="540"/>
        <w:jc w:val="both"/>
      </w:pPr>
      <w:r>
        <w:rPr>
          <w:sz w:val="24"/>
        </w:rPr>
        <w:t xml:space="preserve">На трубопроводах линии деаэрации резервуара перед дыхательными клапанами или огнепреградителями, а также устройствами контроля ее пропускной способности во время эксплуатации, рекомендуется устанавливать запорную арматуру.</w:t>
      </w:r>
    </w:p>
    <w:p>
      <w:pPr>
        <w:pStyle w:val="0"/>
        <w:spacing w:before="240" w:lineRule="auto"/>
        <w:ind w:firstLine="540"/>
        <w:jc w:val="both"/>
      </w:pPr>
      <w:r>
        <w:rPr>
          <w:sz w:val="24"/>
        </w:rPr>
        <w:t xml:space="preserve">7.16. Оснащение линии деаэрации должно обеспечивать возможность контроля ее пропускной способности во время эксплуатации.</w:t>
      </w:r>
    </w:p>
    <w:p>
      <w:pPr>
        <w:pStyle w:val="0"/>
        <w:spacing w:before="240" w:lineRule="auto"/>
        <w:ind w:firstLine="540"/>
        <w:jc w:val="both"/>
      </w:pPr>
      <w:r>
        <w:rPr>
          <w:sz w:val="24"/>
        </w:rPr>
        <w:t xml:space="preserve">7.17. Резервуары (камеры) рекомендуется оснащать раздельными системами деаэрации. Допускается для резервуаров (камер) с одинаковым видом топлива использовать общую газоуравнительную систему при условии установки огнепреградителей в узлах подсоединения трубопроводов этой системы к резервуарам (камерам).</w:t>
      </w:r>
    </w:p>
    <w:p>
      <w:pPr>
        <w:pStyle w:val="0"/>
        <w:spacing w:before="240" w:lineRule="auto"/>
        <w:ind w:firstLine="540"/>
        <w:jc w:val="both"/>
      </w:pPr>
      <w:r>
        <w:rPr>
          <w:sz w:val="24"/>
        </w:rPr>
        <w:t xml:space="preserve">Устройство общей газоуравнительной системы между резервуарами (камерами) с бензином и дизельным топливом не допускается.</w:t>
      </w:r>
    </w:p>
    <w:p>
      <w:pPr>
        <w:pStyle w:val="0"/>
        <w:spacing w:before="240" w:lineRule="auto"/>
        <w:ind w:firstLine="540"/>
        <w:jc w:val="both"/>
      </w:pPr>
      <w:r>
        <w:rPr>
          <w:sz w:val="24"/>
        </w:rPr>
        <w:t xml:space="preserve">7.18. Резервуары для хранения топлива должны быть оборудованы системами предотвращения их переполнения, обеспечивающими при достижении 90%-ного заполнения резервуара автоматическую сигнализацию (световую и звуковую) персоналу АЗС, а при 95%-ном заполнении - автоматическое прекращение наполнения резервуара. Если технологической системой предусмотрено прекращение наполнения резервуара топливом только в автоматическом режиме, то допускается при 95%-ном заполнении резервуара вместо указанной сигнализации предусматривать сигнализацию об автоматическом прекращении наполнения резервуара.</w:t>
      </w:r>
    </w:p>
    <w:p>
      <w:pPr>
        <w:pStyle w:val="0"/>
        <w:spacing w:before="240" w:lineRule="auto"/>
        <w:ind w:firstLine="540"/>
        <w:jc w:val="both"/>
      </w:pPr>
      <w:r>
        <w:rPr>
          <w:sz w:val="24"/>
        </w:rPr>
        <w:t xml:space="preserve">7.19. Если вероятность отказа автоматических систем предотвращения переполнения резервуаров, непрерывного контроля герметичности межстенного пространства резервуаров и трубопроводов, обнаружения утечек и прекращения подачи топлива или его паров, а также контроля пропускной способности линий деаэрации или рециркуляции превышает одну тысячную в год, то следует предусматривать либо дублирование их элементов, обеспечивающее выполнение функционального назначения систем, либо самоконтроль исправности, обеспечивающий автоматическое отключение ТРК и исключающий возможность наполнения резервуаров при неисправностях указанных систем.</w:t>
      </w:r>
    </w:p>
    <w:p>
      <w:pPr>
        <w:pStyle w:val="0"/>
        <w:spacing w:before="240" w:lineRule="auto"/>
        <w:ind w:firstLine="540"/>
        <w:jc w:val="both"/>
      </w:pPr>
      <w:r>
        <w:rPr>
          <w:sz w:val="24"/>
        </w:rPr>
        <w:t xml:space="preserve">7.20. Конструкция технологической системы должна предусматривать возможность проведения пожаробезопасных периодических испытаний на герметичность топливного оборудования непосредственно на АЗС. Требования к периодичности указанных испытаний должны быть приведены в документации на технологическую систему АЗС.</w:t>
      </w:r>
    </w:p>
    <w:p>
      <w:pPr>
        <w:pStyle w:val="0"/>
        <w:spacing w:before="240" w:lineRule="auto"/>
        <w:ind w:firstLine="540"/>
        <w:jc w:val="both"/>
      </w:pPr>
      <w:r>
        <w:rPr>
          <w:sz w:val="24"/>
        </w:rPr>
        <w:t xml:space="preserve">7.21. Одностенные трубопроводы для топлива и его паров следует располагать подземно в лотках или заглубленно в технологических шахтах (колодцах), исключающих проникновение жидкой фазы топлива (при возможных утечках) за их пределы. Лотки следует заполнять (с уплотнением) негорючим материалом.</w:t>
      </w:r>
    </w:p>
    <w:p>
      <w:pPr>
        <w:pStyle w:val="0"/>
        <w:spacing w:before="240" w:lineRule="auto"/>
        <w:ind w:firstLine="540"/>
        <w:jc w:val="both"/>
      </w:pPr>
      <w:r>
        <w:rPr>
          <w:sz w:val="24"/>
        </w:rPr>
        <w:t xml:space="preserve">7.22. При использовании двустенных трубопроводов (труба в трубе) с разъемными соединениями (при наличии), обеспечивающими раздельную герметизацию внутреннего и внешнего трубопроводов, устройство лотка допускается не предусматривать. При этом следует обеспечить замещение воздуха в межтрубном пространстве азотом до достижения концентрации кислорода не более 10% объемных.</w:t>
      </w:r>
    </w:p>
    <w:p>
      <w:pPr>
        <w:pStyle w:val="0"/>
        <w:spacing w:before="240" w:lineRule="auto"/>
        <w:ind w:firstLine="540"/>
        <w:jc w:val="both"/>
      </w:pPr>
      <w:r>
        <w:rPr>
          <w:sz w:val="24"/>
        </w:rPr>
        <w:t xml:space="preserve">7.23. Все трубопроводы для топлива и его паров, расположенные над землей или в свободном пространстве шахт резервуаров и технологических колодцев, должны удовлетворять следующим требованиям:</w:t>
      </w:r>
    </w:p>
    <w:p>
      <w:pPr>
        <w:pStyle w:val="0"/>
        <w:spacing w:before="240" w:lineRule="auto"/>
        <w:ind w:firstLine="540"/>
        <w:jc w:val="both"/>
      </w:pPr>
      <w:r>
        <w:rPr>
          <w:sz w:val="24"/>
        </w:rPr>
        <w:t xml:space="preserve">они должны быть выполнены из металла;</w:t>
      </w:r>
    </w:p>
    <w:p>
      <w:pPr>
        <w:pStyle w:val="0"/>
        <w:spacing w:before="240" w:lineRule="auto"/>
        <w:ind w:firstLine="540"/>
        <w:jc w:val="both"/>
      </w:pPr>
      <w:r>
        <w:rPr>
          <w:sz w:val="24"/>
        </w:rPr>
        <w:t xml:space="preserve">соединение фланцев должно осуществляться по принципу "шип-паз";</w:t>
      </w:r>
    </w:p>
    <w:p>
      <w:pPr>
        <w:pStyle w:val="0"/>
        <w:spacing w:before="240" w:lineRule="auto"/>
        <w:ind w:firstLine="540"/>
        <w:jc w:val="both"/>
      </w:pPr>
      <w:r>
        <w:rPr>
          <w:sz w:val="24"/>
        </w:rPr>
        <w:t xml:space="preserve">соединения трубопроводов должны обеспечивать их надежность в условиях и в течение времени эксплуатации, регламентированных требованиями документации на технологическую систему АЗС;</w:t>
      </w:r>
    </w:p>
    <w:p>
      <w:pPr>
        <w:pStyle w:val="0"/>
        <w:spacing w:before="240" w:lineRule="auto"/>
        <w:ind w:firstLine="540"/>
        <w:jc w:val="both"/>
      </w:pPr>
      <w:r>
        <w:rPr>
          <w:sz w:val="24"/>
        </w:rPr>
        <w:t xml:space="preserve">соединения должны быть оснащены устройствами для исключения их саморазъединения.</w:t>
      </w:r>
    </w:p>
    <w:p>
      <w:pPr>
        <w:pStyle w:val="0"/>
        <w:spacing w:before="240" w:lineRule="auto"/>
        <w:ind w:firstLine="540"/>
        <w:jc w:val="both"/>
      </w:pPr>
      <w:r>
        <w:rPr>
          <w:sz w:val="24"/>
        </w:rPr>
        <w:t xml:space="preserve">7.24. Наполнение резервуаров топливом из АЦ должно осуществляться через трубопровод налива, проложенный подземно, и с использованием устройств, препятствующих распространению пламени по линии наполнения резервуара.</w:t>
      </w:r>
    </w:p>
    <w:p>
      <w:pPr>
        <w:pStyle w:val="0"/>
        <w:spacing w:before="240" w:lineRule="auto"/>
        <w:ind w:firstLine="540"/>
        <w:jc w:val="both"/>
      </w:pPr>
      <w:r>
        <w:rPr>
          <w:sz w:val="24"/>
        </w:rPr>
        <w:t xml:space="preserve">7.25. Между устройством для подсоединения напорно-всасывающего рукава АЦ и трубопроводом налива должна быть установлена запорная арматура. Эту арматуру допускается не предусматривать в случае применения устройств, самозакрывающихся при расстыковке их соединения с напорно-всасывающим рукавом АЦ.</w:t>
      </w:r>
    </w:p>
    <w:p>
      <w:pPr>
        <w:pStyle w:val="0"/>
        <w:spacing w:before="240" w:lineRule="auto"/>
        <w:ind w:firstLine="540"/>
        <w:jc w:val="both"/>
      </w:pPr>
      <w:r>
        <w:rPr>
          <w:sz w:val="24"/>
        </w:rPr>
        <w:t xml:space="preserve">Оборудование, устанавливаемое на трубопроводе налива (соединительные устройства, запорная арматура, огнепреградители, фильтры, расходомеры и т.п.), должно размещаться в приямке или колодце, находящемся у площадки для АЦ или на самой площадке, с обеспечением мер по предотвращению повреждения указанного оборудования в результате наезда транспортных средств.</w:t>
      </w:r>
    </w:p>
    <w:p>
      <w:pPr>
        <w:pStyle w:val="0"/>
        <w:spacing w:before="240" w:lineRule="auto"/>
        <w:ind w:firstLine="540"/>
        <w:jc w:val="both"/>
      </w:pPr>
      <w:r>
        <w:rPr>
          <w:sz w:val="24"/>
        </w:rPr>
        <w:t xml:space="preserve">Стенки приямка (колодца) должны быть выполнены из негорючих материалов и размещены на расстоянии не менее 2 м от наземно (надземно) расположенного технологического оборудования АЗС, а также от технологических шахт подземных резервуаров. Допускается изготовление колодца из материалов группы горючести Г1 - Г2 при условии заполнения его свободного пространства негорючим материалом.</w:t>
      </w:r>
    </w:p>
    <w:p>
      <w:pPr>
        <w:pStyle w:val="0"/>
        <w:spacing w:before="240" w:lineRule="auto"/>
        <w:ind w:firstLine="540"/>
        <w:jc w:val="both"/>
      </w:pPr>
      <w:r>
        <w:rPr>
          <w:sz w:val="24"/>
        </w:rPr>
        <w:t xml:space="preserve">7.26. При наличии в конструкции технологической системы линии рециркуляции паров топлива из резервуара в АЦ, указанная линия должна удовлетворять следующим требованиям:</w:t>
      </w:r>
    </w:p>
    <w:p>
      <w:pPr>
        <w:pStyle w:val="0"/>
        <w:spacing w:before="240" w:lineRule="auto"/>
        <w:ind w:firstLine="540"/>
        <w:jc w:val="both"/>
      </w:pPr>
      <w:r>
        <w:rPr>
          <w:sz w:val="24"/>
        </w:rPr>
        <w:t xml:space="preserve">на линии рециркуляции перед узлами подсоединения ее к АЦ и резервуару должны быть установлены огнепреградители. Конструкция узлов подсоединения линии рециркуляции к АЦ должна обеспечивать автоматическое перекрытие этих линий при расстыковке;</w:t>
      </w:r>
    </w:p>
    <w:p>
      <w:pPr>
        <w:pStyle w:val="0"/>
        <w:spacing w:before="240" w:lineRule="auto"/>
        <w:ind w:firstLine="540"/>
        <w:jc w:val="both"/>
      </w:pPr>
      <w:r>
        <w:rPr>
          <w:sz w:val="24"/>
        </w:rPr>
        <w:t xml:space="preserve">линия рециркуляции должна быть оборудована обратным клапаном, открывающимся при достижении в резервуаре давления, соответствующего либо напору столба топлива в АЦ (при сливе самотеком), либо напору насоса перекачивания топлива из АЦ в резервуар. Обратные клапаны должны герметично закрываться при перекрытии трубопровода налива или обесточивании указанного насоса;</w:t>
      </w:r>
    </w:p>
    <w:p>
      <w:pPr>
        <w:pStyle w:val="0"/>
        <w:spacing w:before="240" w:lineRule="auto"/>
        <w:ind w:firstLine="540"/>
        <w:jc w:val="both"/>
      </w:pPr>
      <w:r>
        <w:rPr>
          <w:sz w:val="24"/>
        </w:rPr>
        <w:t xml:space="preserve">если рециркуляция паров топлива осуществляется при перекрытом трубопроводе линии деаэрации резервуара, технологическая система должна быть оборудована системой автоматического непрерывного контроля за давлением в ее паровом пространстве. При использовании дыхательного клапана на трубопроводе линии деаэрации резервуара с давлением срабатывания, превышающим давление срабатывания обратного клапана линии рециркуляции (рециркуляция осуществляется без перекрытия трубопровода деаэрации), указанную систему контроля допускается не предусматривать;</w:t>
      </w:r>
    </w:p>
    <w:p>
      <w:pPr>
        <w:pStyle w:val="0"/>
        <w:spacing w:before="240" w:lineRule="auto"/>
        <w:ind w:firstLine="540"/>
        <w:jc w:val="both"/>
      </w:pPr>
      <w:r>
        <w:rPr>
          <w:sz w:val="24"/>
        </w:rPr>
        <w:t xml:space="preserve">между узлом подсоединения трубопровода линии рециркуляции к резервуару рекомендуется, а между узлом подсоединения к АЦ и этим трубопроводом следует устанавливать запорную арматуру;</w:t>
      </w:r>
    </w:p>
    <w:p>
      <w:pPr>
        <w:pStyle w:val="0"/>
        <w:spacing w:before="240" w:lineRule="auto"/>
        <w:ind w:firstLine="540"/>
        <w:jc w:val="both"/>
      </w:pPr>
      <w:r>
        <w:rPr>
          <w:sz w:val="24"/>
        </w:rPr>
        <w:t xml:space="preserve">участки трубопроводов линии рециркуляции, расположенные в свободном пространстве технологических шахт, не должны иметь разборных соединений.</w:t>
      </w:r>
    </w:p>
    <w:p>
      <w:pPr>
        <w:pStyle w:val="0"/>
        <w:spacing w:before="240" w:lineRule="auto"/>
        <w:ind w:firstLine="540"/>
        <w:jc w:val="both"/>
      </w:pPr>
      <w:r>
        <w:rPr>
          <w:sz w:val="24"/>
        </w:rPr>
        <w:t xml:space="preserve">7.27. При наличии в конструкции технологической системы линии рециркуляции паров топлива из топливного бака транспортного средства в резервуар, указанная линия должна удовлетворять следующим требованиям:</w:t>
      </w:r>
    </w:p>
    <w:p>
      <w:pPr>
        <w:pStyle w:val="0"/>
        <w:spacing w:before="240" w:lineRule="auto"/>
        <w:ind w:firstLine="540"/>
        <w:jc w:val="both"/>
      </w:pPr>
      <w:r>
        <w:rPr>
          <w:sz w:val="24"/>
        </w:rPr>
        <w:t xml:space="preserve">в местах присоединения трубопровода линии рециркуляции к резервуарам и к ТРК должны быть установлены огнепреградители и обратные клапаны. Если огнепреградитель и обратный клапан входят в конструкцию ТРК, их дополнительную установку перед ТРК допускается не предусматривать;</w:t>
      </w:r>
    </w:p>
    <w:p>
      <w:pPr>
        <w:pStyle w:val="0"/>
        <w:spacing w:before="240" w:lineRule="auto"/>
        <w:ind w:firstLine="540"/>
        <w:jc w:val="both"/>
      </w:pPr>
      <w:r>
        <w:rPr>
          <w:sz w:val="24"/>
        </w:rPr>
        <w:t xml:space="preserve">обратные клапаны должны открываться давлением паров в трубопроводе линии рециркуляции, создаваемым насосом откачки паров топлива, и герметично закрываться при обесточивании указанного насоса;</w:t>
      </w:r>
    </w:p>
    <w:p>
      <w:pPr>
        <w:pStyle w:val="0"/>
        <w:spacing w:before="240" w:lineRule="auto"/>
        <w:ind w:firstLine="540"/>
        <w:jc w:val="both"/>
      </w:pPr>
      <w:r>
        <w:rPr>
          <w:sz w:val="24"/>
        </w:rPr>
        <w:t xml:space="preserve">на трубопроводе рециркуляции перед огнепреградителем, расположенным на резервуаре, а также перед ТРК должна быть установлена запорная арматура. Если указанная арматура входит в конструкцию ТРК, то ее дополнительную установку допускается не предусматривать;</w:t>
      </w:r>
    </w:p>
    <w:p>
      <w:pPr>
        <w:pStyle w:val="0"/>
        <w:spacing w:before="240" w:lineRule="auto"/>
        <w:ind w:firstLine="540"/>
        <w:jc w:val="both"/>
      </w:pPr>
      <w:r>
        <w:rPr>
          <w:sz w:val="24"/>
        </w:rPr>
        <w:t xml:space="preserve">участки трубопроводов линии рециркуляции, расположенные в свободном пространстве технологических шахт, не должны иметь разборных соединений.</w:t>
      </w:r>
    </w:p>
    <w:p>
      <w:pPr>
        <w:pStyle w:val="0"/>
        <w:spacing w:before="240" w:lineRule="auto"/>
        <w:ind w:firstLine="540"/>
        <w:jc w:val="both"/>
      </w:pPr>
      <w:r>
        <w:rPr>
          <w:sz w:val="24"/>
        </w:rPr>
        <w:t xml:space="preserve">7.28. Линии выдачи топлива следует оборудовать обратными клапанами, которые должны открываться давлением или разряжением, создаваемыми насосами этих линий, и герметично закрываться при обесточивании указанных насосов.</w:t>
      </w:r>
    </w:p>
    <w:p>
      <w:pPr>
        <w:pStyle w:val="0"/>
        <w:spacing w:before="240" w:lineRule="auto"/>
        <w:ind w:firstLine="540"/>
        <w:jc w:val="both"/>
      </w:pPr>
      <w:r>
        <w:rPr>
          <w:sz w:val="24"/>
        </w:rPr>
        <w:t xml:space="preserve">7.29. Оборудование технологических систем должно обеспечивать осуществление операций по приему, хранению и выдаче топлива, опорожнению и обесшламливанию (удалению подтоварной воды), а также по испытанию на герметичность только закрытым способом (за исключением наполнения топливных баков транспортных средств).</w:t>
      </w:r>
    </w:p>
    <w:p>
      <w:pPr>
        <w:pStyle w:val="0"/>
        <w:spacing w:before="240" w:lineRule="auto"/>
        <w:ind w:firstLine="540"/>
        <w:jc w:val="both"/>
      </w:pPr>
      <w:r>
        <w:rPr>
          <w:sz w:val="24"/>
        </w:rPr>
        <w:t xml:space="preserve">7.30. Конструкция резервуаров должна предусматривать возможность проведения механизированной пожаровзрывобезопасной очистки от остатков хранимого топлива, дегазации и продувки при их ремонте.</w:t>
      </w:r>
    </w:p>
    <w:p>
      <w:pPr>
        <w:pStyle w:val="0"/>
        <w:spacing w:before="240" w:lineRule="auto"/>
        <w:ind w:firstLine="540"/>
        <w:jc w:val="both"/>
      </w:pPr>
      <w:r>
        <w:rPr>
          <w:sz w:val="24"/>
        </w:rPr>
        <w:t xml:space="preserve">7.31. Запорная арматура, устанавливаемая на топливном оборудовании, должна быть выполнена по классу герметичности не ниже B по </w:t>
      </w:r>
      <w:hyperlink w:history="0" r:id="rId76" w:tooltip="&quot;ГОСТ 9544-2015. Межгосударственный стандарт. Арматура трубопроводная. Нормы герметичности затворов&quot; (введен в действие Приказом Росстандарта от 26.05.2015 N 440-ст) {КонсультантПлюс}">
        <w:r>
          <w:rPr>
            <w:sz w:val="24"/>
            <w:color w:val="0000ff"/>
          </w:rPr>
          <w:t xml:space="preserve">ГОСТ 9544</w:t>
        </w:r>
      </w:hyperlink>
      <w:r>
        <w:rPr>
          <w:sz w:val="24"/>
        </w:rPr>
        <w:t xml:space="preserve">.</w:t>
      </w:r>
    </w:p>
    <w:p>
      <w:pPr>
        <w:pStyle w:val="0"/>
        <w:jc w:val="both"/>
      </w:pPr>
      <w:r>
        <w:rPr>
          <w:sz w:val="24"/>
        </w:rPr>
        <w:t xml:space="preserve">(в ред. </w:t>
      </w:r>
      <w:hyperlink w:history="0" r:id="rId7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7.32. Крышки, заглушки и соединения фланцев, патрубков, штуцеров и т.п., расположенных на топливном оборудовании АЗС, должны быть снабжены прокладками, выполненными из неискрообразующих материалов, устойчивых к воздействию нефтепродуктов и окружающей среды в условиях эксплуатации, и соединены с обеспечением герметичности.</w:t>
      </w:r>
    </w:p>
    <w:p>
      <w:pPr>
        <w:pStyle w:val="0"/>
        <w:spacing w:before="240" w:lineRule="auto"/>
        <w:ind w:firstLine="540"/>
        <w:jc w:val="both"/>
      </w:pPr>
      <w:r>
        <w:rPr>
          <w:sz w:val="24"/>
        </w:rPr>
        <w:t xml:space="preserve">Указанные крышки и заглушки, которые предусматривается открывать при эксплуатации АЗС, должны быть выполнены из неискрообразующих материалов.</w:t>
      </w:r>
    </w:p>
    <w:p>
      <w:pPr>
        <w:pStyle w:val="0"/>
        <w:spacing w:before="240" w:lineRule="auto"/>
        <w:ind w:firstLine="540"/>
        <w:jc w:val="both"/>
      </w:pPr>
      <w:r>
        <w:rPr>
          <w:sz w:val="24"/>
        </w:rPr>
        <w:t xml:space="preserve">7.33. Стенки технологических шахт резервуаров и колодцев, в которых размещается оборудование с топливом или его парами, а также имеется свободное пространство, должны быть выполнены из негорючего материала. В остальных случаях допускается использование материалов группы горючести Г1 - Г2. Устройство крышек технологических шахт или колодцев, в которых имеется указанное оборудование, должно исключать возможность попадания в них атмосферных осадков и искрообразования при открытии-закрытии крышек. Крепление крышек должно обеспечивать сброс избыточного давления при возможном воспламенении паров топлива внутри шахт и колодцев (самооткидывание крышки с исключением возможности ее отрыва). Высота наземной части этих шахт и колодцев должна быть не менее 0,2 м.</w:t>
      </w:r>
    </w:p>
    <w:p>
      <w:pPr>
        <w:pStyle w:val="0"/>
        <w:spacing w:before="240" w:lineRule="auto"/>
        <w:ind w:firstLine="540"/>
        <w:jc w:val="both"/>
      </w:pPr>
      <w:r>
        <w:rPr>
          <w:sz w:val="24"/>
        </w:rPr>
        <w:t xml:space="preserve">7.34. Конструкция резервуаров для хранения топлива должна исключать необходимость проведения сварочных работ на их стенках при монтаже на строительной площадке.</w:t>
      </w:r>
    </w:p>
    <w:p>
      <w:pPr>
        <w:pStyle w:val="0"/>
        <w:spacing w:before="240" w:lineRule="auto"/>
        <w:ind w:firstLine="540"/>
        <w:jc w:val="both"/>
      </w:pPr>
      <w:r>
        <w:rPr>
          <w:sz w:val="24"/>
        </w:rPr>
        <w:t xml:space="preserve">7.35. Для контроля заземления АЦ следует применять специализированные автоматизированные устройства заземления, осуществляющие автоматическое прекращение наполнения резервуара или сигнализацию при неисправности системы заземления АЦ.</w:t>
      </w:r>
    </w:p>
    <w:p>
      <w:pPr>
        <w:pStyle w:val="0"/>
        <w:spacing w:before="240" w:lineRule="auto"/>
        <w:ind w:firstLine="540"/>
        <w:jc w:val="both"/>
      </w:pPr>
      <w:r>
        <w:rPr>
          <w:sz w:val="24"/>
        </w:rPr>
        <w:t xml:space="preserve">7.36. На АЗС следует предусматривать централизованное отключение электропитания.</w:t>
      </w:r>
    </w:p>
    <w:p>
      <w:pPr>
        <w:pStyle w:val="0"/>
        <w:spacing w:before="240" w:lineRule="auto"/>
        <w:ind w:firstLine="540"/>
        <w:jc w:val="both"/>
      </w:pPr>
      <w:r>
        <w:rPr>
          <w:sz w:val="24"/>
        </w:rPr>
        <w:t xml:space="preserve">Технологические системы, наполнение резервуаров которых предусматривается посредством их насосного оборудования, должны быть оснащены (независимо от автоматического выключения насосов) ручными выключателями электропитания этого оборудования, располагаемыми как в помещении операторной, так и у насосов или площадки для АЦ.</w:t>
      </w:r>
    </w:p>
    <w:p>
      <w:pPr>
        <w:pStyle w:val="0"/>
        <w:spacing w:before="240" w:lineRule="auto"/>
        <w:ind w:firstLine="540"/>
        <w:jc w:val="both"/>
      </w:pPr>
      <w:r>
        <w:rPr>
          <w:sz w:val="24"/>
        </w:rPr>
        <w:t xml:space="preserve">7.37. Конструкция технологической шахты, в том числе узлов вводов трубопроводов и кабелей, должна исключать возможность проникновения аварийных утечек топлива через стенки шахты.</w:t>
      </w:r>
    </w:p>
    <w:p>
      <w:pPr>
        <w:pStyle w:val="0"/>
        <w:spacing w:before="240" w:lineRule="auto"/>
        <w:ind w:firstLine="540"/>
        <w:jc w:val="both"/>
      </w:pPr>
      <w:r>
        <w:rPr>
          <w:sz w:val="24"/>
        </w:rPr>
        <w:t xml:space="preserve">7.38. Управляющие части штоков приводов запорной арматуры, горловины замерного патрубка, панели показаний приборов, а также запорные краны датчиков и приборов на импульсных линиях (при их наличии), находящихся в технологической шахте, должны быть выведены на высоту, обеспечивающую свободный доступ к ним снаружи шахты.</w:t>
      </w:r>
    </w:p>
    <w:p>
      <w:pPr>
        <w:pStyle w:val="0"/>
        <w:spacing w:before="240" w:lineRule="auto"/>
        <w:ind w:firstLine="540"/>
        <w:jc w:val="both"/>
      </w:pPr>
      <w:r>
        <w:rPr>
          <w:sz w:val="24"/>
        </w:rPr>
        <w:t xml:space="preserve">7.39. Допускается использование для нескольких ТРК общего трубопровода подачи бензина или дизельного топлива из одного или нескольких резервуаров при условии наличия запорной арматуры на этих трубопроводах перед каждой ТРК и каждым резервуаром.</w:t>
      </w:r>
    </w:p>
    <w:p>
      <w:pPr>
        <w:pStyle w:val="0"/>
        <w:spacing w:before="240" w:lineRule="auto"/>
        <w:ind w:firstLine="540"/>
        <w:jc w:val="both"/>
      </w:pPr>
      <w:r>
        <w:rPr>
          <w:sz w:val="24"/>
        </w:rPr>
        <w:t xml:space="preserve">7.40. Резервуары традиционных АЗС могут выполняться одностенными или двустенными.</w:t>
      </w:r>
    </w:p>
    <w:p>
      <w:pPr>
        <w:pStyle w:val="0"/>
        <w:spacing w:before="240" w:lineRule="auto"/>
        <w:ind w:firstLine="540"/>
        <w:jc w:val="both"/>
      </w:pPr>
      <w:r>
        <w:rPr>
          <w:sz w:val="24"/>
        </w:rPr>
        <w:t xml:space="preserve">7.41. На блочных АЗС, наряду с указанными выше, необходимо учитывать следующие требования:</w:t>
      </w:r>
    </w:p>
    <w:p>
      <w:pPr>
        <w:pStyle w:val="0"/>
        <w:spacing w:before="240" w:lineRule="auto"/>
        <w:ind w:firstLine="540"/>
        <w:jc w:val="both"/>
      </w:pPr>
      <w:r>
        <w:rPr>
          <w:sz w:val="24"/>
        </w:rPr>
        <w:t xml:space="preserve">резервуары для хранения топлива должны быть двустенными;</w:t>
      </w:r>
    </w:p>
    <w:p>
      <w:pPr>
        <w:pStyle w:val="0"/>
        <w:spacing w:before="240" w:lineRule="auto"/>
        <w:ind w:firstLine="540"/>
        <w:jc w:val="both"/>
      </w:pPr>
      <w:r>
        <w:rPr>
          <w:sz w:val="24"/>
        </w:rPr>
        <w:t xml:space="preserve">крепление узла подсоединения технологической шахты к двустенному резервуару должно осуществляться в заводских условиях при помощи герметичных соединений;</w:t>
      </w:r>
    </w:p>
    <w:p>
      <w:pPr>
        <w:pStyle w:val="0"/>
        <w:spacing w:before="240" w:lineRule="auto"/>
        <w:ind w:firstLine="540"/>
        <w:jc w:val="both"/>
      </w:pPr>
      <w:r>
        <w:rPr>
          <w:sz w:val="24"/>
        </w:rPr>
        <w:t xml:space="preserve">стенки и крышки технологических шахт должны быть выполнены только из негорючих материалов;</w:t>
      </w:r>
    </w:p>
    <w:p>
      <w:pPr>
        <w:pStyle w:val="0"/>
        <w:spacing w:before="240" w:lineRule="auto"/>
        <w:ind w:firstLine="540"/>
        <w:jc w:val="both"/>
      </w:pPr>
      <w:r>
        <w:rPr>
          <w:sz w:val="24"/>
        </w:rPr>
        <w:t xml:space="preserve">при наличии свободного пространства в технологических шахтах, а также в технологических колодцах с топливным оборудованием, расположенных в пределах заправочных островков, должна предусматриваться система непрерывного автоматического контроля за концентрацией паров топлива. Указанная система должна обеспечивать подачу звукового и светового сигнала при превышении у дна шахты концентрации паров топлива, равной 20% от значения НКПР, а также отключение электропитания насосов линии выдачи и автоматическое прекращение операции наполнения резервуаров.</w:t>
      </w:r>
    </w:p>
    <w:p>
      <w:pPr>
        <w:pStyle w:val="0"/>
        <w:spacing w:before="240" w:lineRule="auto"/>
        <w:ind w:firstLine="540"/>
        <w:jc w:val="both"/>
      </w:pPr>
      <w:r>
        <w:rPr>
          <w:sz w:val="24"/>
        </w:rPr>
        <w:t xml:space="preserve">7.42. Резервуары для хранения топлива контейнерных и модульных АЗС должны выполняться двустенными. Допускается использовать резервуары с одностенным перекрытием (верхней стенкой), герметизирующим внутренний резервуар и межстенное пространство.</w:t>
      </w:r>
    </w:p>
    <w:p>
      <w:pPr>
        <w:pStyle w:val="0"/>
        <w:spacing w:before="240" w:lineRule="auto"/>
        <w:ind w:firstLine="540"/>
        <w:jc w:val="both"/>
      </w:pPr>
      <w:r>
        <w:rPr>
          <w:sz w:val="24"/>
        </w:rPr>
        <w:t xml:space="preserve">При размещении АЗС вне территории населенных пунктов общая вместимость резервуаров контейнерной АЗС не должна превышать 60 м3, а модульной АЗС - 120 м3.</w:t>
      </w:r>
    </w:p>
    <w:p>
      <w:pPr>
        <w:pStyle w:val="0"/>
        <w:spacing w:before="240" w:lineRule="auto"/>
        <w:ind w:firstLine="540"/>
        <w:jc w:val="both"/>
      </w:pPr>
      <w:r>
        <w:rPr>
          <w:sz w:val="24"/>
        </w:rPr>
        <w:t xml:space="preserve">Единичная емкость резервуаров или камер (при использовании многокамерного резервуара с двойными перегородками между камерами) контейнерной АЗС, расположенной на территории населенных пунктов, не должна превышать 10 м3, а вне населенных пунктов - 20 м3.</w:t>
      </w:r>
    </w:p>
    <w:p>
      <w:pPr>
        <w:pStyle w:val="0"/>
        <w:spacing w:before="240" w:lineRule="auto"/>
        <w:ind w:firstLine="540"/>
        <w:jc w:val="both"/>
      </w:pPr>
      <w:r>
        <w:rPr>
          <w:sz w:val="24"/>
        </w:rPr>
        <w:t xml:space="preserve">Единичная емкость резервуаров или камер (при использовании многокамерного резервуара с двойными перегородками между камерами) модульной АЗС, расположенной на территории населенных пунктов, не должна превышать 20 м3, а вне населенных пунктов - 40 м3.</w:t>
      </w:r>
    </w:p>
    <w:p>
      <w:pPr>
        <w:pStyle w:val="0"/>
        <w:spacing w:before="240" w:lineRule="auto"/>
        <w:ind w:firstLine="540"/>
        <w:jc w:val="both"/>
      </w:pPr>
      <w:r>
        <w:rPr>
          <w:sz w:val="24"/>
        </w:rPr>
        <w:t xml:space="preserve">7.43. На АЗС, размещаемых вне территории населенных пунктов и предприятий, допускается использование технологических систем с одностенными резервуарами при выполнении требований, изложенных в </w:t>
      </w:r>
      <w:hyperlink w:history="0" w:anchor="P1383" w:tooltip="СПЕЦИФИЧЕСКИЕ ТРЕБОВАНИЯ">
        <w:r>
          <w:rPr>
            <w:sz w:val="24"/>
            <w:color w:val="0000ff"/>
          </w:rPr>
          <w:t xml:space="preserve">приложении Б</w:t>
        </w:r>
      </w:hyperlink>
      <w:r>
        <w:rPr>
          <w:sz w:val="24"/>
        </w:rPr>
        <w:t xml:space="preserve">.</w:t>
      </w:r>
    </w:p>
    <w:p>
      <w:pPr>
        <w:pStyle w:val="0"/>
        <w:jc w:val="both"/>
      </w:pPr>
      <w:r>
        <w:rPr>
          <w:sz w:val="24"/>
        </w:rPr>
        <w:t xml:space="preserve">(в ред. </w:t>
      </w:r>
      <w:hyperlink w:history="0" r:id="rId78"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7.44. При заполнении межстенного пространства наземного и надземного резервуара горючей жидкостью под резервуаром должен быть установлен поддон, выполненный из негорючих материалов и исключающий растекание этой жидкости за пределы поддона при разгерметизации внешней стенки резервуара.</w:t>
      </w:r>
    </w:p>
    <w:p>
      <w:pPr>
        <w:pStyle w:val="0"/>
        <w:spacing w:before="240" w:lineRule="auto"/>
        <w:ind w:firstLine="540"/>
        <w:jc w:val="both"/>
      </w:pPr>
      <w:r>
        <w:rPr>
          <w:sz w:val="24"/>
        </w:rPr>
        <w:t xml:space="preserve">7.45. Внутренние резервуары наземных и надземных двустенных резервуаров для хранения топлива должны быть оснащены предохранительными мембранами или клапанами с давлением срабатывания не более 130 кПа. Требуемая площадь сбросных сечений предохранительных мембран или клапанов в зависимости от объема резервуаров приведена в таблице 4.</w:t>
      </w:r>
    </w:p>
    <w:p>
      <w:pPr>
        <w:pStyle w:val="0"/>
        <w:jc w:val="both"/>
      </w:pPr>
      <w:r>
        <w:rPr>
          <w:sz w:val="24"/>
        </w:rPr>
      </w:r>
    </w:p>
    <w:p>
      <w:pPr>
        <w:pStyle w:val="2"/>
        <w:outlineLvl w:val="2"/>
        <w:jc w:val="both"/>
      </w:pPr>
      <w:r>
        <w:rPr>
          <w:sz w:val="24"/>
        </w:rPr>
        <w:t xml:space="preserve">Таблица 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96"/>
        <w:gridCol w:w="787"/>
        <w:gridCol w:w="788"/>
        <w:gridCol w:w="788"/>
        <w:gridCol w:w="788"/>
        <w:gridCol w:w="788"/>
        <w:gridCol w:w="788"/>
        <w:gridCol w:w="788"/>
        <w:gridCol w:w="788"/>
      </w:tblGrid>
      <w:tr>
        <w:tc>
          <w:tcPr>
            <w:tcW w:w="3396" w:type="dxa"/>
          </w:tcPr>
          <w:p>
            <w:pPr>
              <w:pStyle w:val="0"/>
            </w:pPr>
            <w:r>
              <w:rPr>
                <w:sz w:val="24"/>
              </w:rPr>
              <w:t xml:space="preserve">Объем резервуара, м3</w:t>
            </w:r>
          </w:p>
        </w:tc>
        <w:tc>
          <w:tcPr>
            <w:tcW w:w="787" w:type="dxa"/>
          </w:tcPr>
          <w:p>
            <w:pPr>
              <w:pStyle w:val="0"/>
              <w:jc w:val="center"/>
            </w:pPr>
            <w:r>
              <w:rPr>
                <w:sz w:val="24"/>
              </w:rPr>
              <w:t xml:space="preserve">5</w:t>
            </w:r>
          </w:p>
        </w:tc>
        <w:tc>
          <w:tcPr>
            <w:tcW w:w="788" w:type="dxa"/>
          </w:tcPr>
          <w:p>
            <w:pPr>
              <w:pStyle w:val="0"/>
              <w:jc w:val="center"/>
            </w:pPr>
            <w:r>
              <w:rPr>
                <w:sz w:val="24"/>
              </w:rPr>
              <w:t xml:space="preserve">8</w:t>
            </w:r>
          </w:p>
        </w:tc>
        <w:tc>
          <w:tcPr>
            <w:tcW w:w="788" w:type="dxa"/>
          </w:tcPr>
          <w:p>
            <w:pPr>
              <w:pStyle w:val="0"/>
              <w:jc w:val="center"/>
            </w:pPr>
            <w:r>
              <w:rPr>
                <w:sz w:val="24"/>
              </w:rPr>
              <w:t xml:space="preserve">10</w:t>
            </w:r>
          </w:p>
        </w:tc>
        <w:tc>
          <w:tcPr>
            <w:tcW w:w="788" w:type="dxa"/>
          </w:tcPr>
          <w:p>
            <w:pPr>
              <w:pStyle w:val="0"/>
              <w:jc w:val="center"/>
            </w:pPr>
            <w:r>
              <w:rPr>
                <w:sz w:val="24"/>
              </w:rPr>
              <w:t xml:space="preserve">13</w:t>
            </w:r>
          </w:p>
        </w:tc>
        <w:tc>
          <w:tcPr>
            <w:tcW w:w="788" w:type="dxa"/>
          </w:tcPr>
          <w:p>
            <w:pPr>
              <w:pStyle w:val="0"/>
              <w:jc w:val="center"/>
            </w:pPr>
            <w:r>
              <w:rPr>
                <w:sz w:val="24"/>
              </w:rPr>
              <w:t xml:space="preserve">15</w:t>
            </w:r>
          </w:p>
        </w:tc>
        <w:tc>
          <w:tcPr>
            <w:tcW w:w="788" w:type="dxa"/>
          </w:tcPr>
          <w:p>
            <w:pPr>
              <w:pStyle w:val="0"/>
              <w:jc w:val="center"/>
            </w:pPr>
            <w:r>
              <w:rPr>
                <w:sz w:val="24"/>
              </w:rPr>
              <w:t xml:space="preserve">20</w:t>
            </w:r>
          </w:p>
        </w:tc>
        <w:tc>
          <w:tcPr>
            <w:tcW w:w="788" w:type="dxa"/>
          </w:tcPr>
          <w:p>
            <w:pPr>
              <w:pStyle w:val="0"/>
              <w:jc w:val="center"/>
            </w:pPr>
            <w:r>
              <w:rPr>
                <w:sz w:val="24"/>
              </w:rPr>
              <w:t xml:space="preserve">30</w:t>
            </w:r>
          </w:p>
        </w:tc>
        <w:tc>
          <w:tcPr>
            <w:tcW w:w="788" w:type="dxa"/>
          </w:tcPr>
          <w:p>
            <w:pPr>
              <w:pStyle w:val="0"/>
              <w:jc w:val="center"/>
            </w:pPr>
            <w:r>
              <w:rPr>
                <w:sz w:val="24"/>
              </w:rPr>
              <w:t xml:space="preserve">40</w:t>
            </w:r>
          </w:p>
        </w:tc>
      </w:tr>
      <w:tr>
        <w:tc>
          <w:tcPr>
            <w:tcW w:w="3396" w:type="dxa"/>
          </w:tcPr>
          <w:p>
            <w:pPr>
              <w:pStyle w:val="0"/>
            </w:pPr>
            <w:r>
              <w:rPr>
                <w:sz w:val="24"/>
              </w:rPr>
              <w:t xml:space="preserve">Площадь сбросного сечения, см2</w:t>
            </w:r>
          </w:p>
        </w:tc>
        <w:tc>
          <w:tcPr>
            <w:tcW w:w="787" w:type="dxa"/>
          </w:tcPr>
          <w:p>
            <w:pPr>
              <w:pStyle w:val="0"/>
              <w:jc w:val="center"/>
            </w:pPr>
            <w:r>
              <w:rPr>
                <w:sz w:val="24"/>
              </w:rPr>
              <w:t xml:space="preserve">25</w:t>
            </w:r>
          </w:p>
        </w:tc>
        <w:tc>
          <w:tcPr>
            <w:tcW w:w="788" w:type="dxa"/>
          </w:tcPr>
          <w:p>
            <w:pPr>
              <w:pStyle w:val="0"/>
              <w:jc w:val="center"/>
            </w:pPr>
            <w:r>
              <w:rPr>
                <w:sz w:val="24"/>
              </w:rPr>
              <w:t xml:space="preserve">35</w:t>
            </w:r>
          </w:p>
        </w:tc>
        <w:tc>
          <w:tcPr>
            <w:tcW w:w="788" w:type="dxa"/>
          </w:tcPr>
          <w:p>
            <w:pPr>
              <w:pStyle w:val="0"/>
              <w:jc w:val="center"/>
            </w:pPr>
            <w:r>
              <w:rPr>
                <w:sz w:val="24"/>
              </w:rPr>
              <w:t xml:space="preserve">40</w:t>
            </w:r>
          </w:p>
        </w:tc>
        <w:tc>
          <w:tcPr>
            <w:tcW w:w="788" w:type="dxa"/>
          </w:tcPr>
          <w:p>
            <w:pPr>
              <w:pStyle w:val="0"/>
              <w:jc w:val="center"/>
            </w:pPr>
            <w:r>
              <w:rPr>
                <w:sz w:val="24"/>
              </w:rPr>
              <w:t xml:space="preserve">48</w:t>
            </w:r>
          </w:p>
        </w:tc>
        <w:tc>
          <w:tcPr>
            <w:tcW w:w="788" w:type="dxa"/>
          </w:tcPr>
          <w:p>
            <w:pPr>
              <w:pStyle w:val="0"/>
              <w:jc w:val="center"/>
            </w:pPr>
            <w:r>
              <w:rPr>
                <w:sz w:val="24"/>
              </w:rPr>
              <w:t xml:space="preserve">53</w:t>
            </w:r>
          </w:p>
        </w:tc>
        <w:tc>
          <w:tcPr>
            <w:tcW w:w="788" w:type="dxa"/>
          </w:tcPr>
          <w:p>
            <w:pPr>
              <w:pStyle w:val="0"/>
              <w:jc w:val="center"/>
            </w:pPr>
            <w:r>
              <w:rPr>
                <w:sz w:val="24"/>
              </w:rPr>
              <w:t xml:space="preserve">64</w:t>
            </w:r>
          </w:p>
        </w:tc>
        <w:tc>
          <w:tcPr>
            <w:tcW w:w="788" w:type="dxa"/>
          </w:tcPr>
          <w:p>
            <w:pPr>
              <w:pStyle w:val="0"/>
              <w:jc w:val="center"/>
            </w:pPr>
            <w:r>
              <w:rPr>
                <w:sz w:val="24"/>
              </w:rPr>
              <w:t xml:space="preserve">84</w:t>
            </w:r>
          </w:p>
        </w:tc>
        <w:tc>
          <w:tcPr>
            <w:tcW w:w="788" w:type="dxa"/>
          </w:tcPr>
          <w:p>
            <w:pPr>
              <w:pStyle w:val="0"/>
              <w:jc w:val="center"/>
            </w:pPr>
            <w:r>
              <w:rPr>
                <w:sz w:val="24"/>
              </w:rPr>
              <w:t xml:space="preserve">94</w:t>
            </w:r>
          </w:p>
        </w:tc>
      </w:tr>
    </w:tbl>
    <w:p>
      <w:pPr>
        <w:pStyle w:val="0"/>
        <w:jc w:val="both"/>
      </w:pPr>
      <w:r>
        <w:rPr>
          <w:sz w:val="24"/>
        </w:rPr>
      </w:r>
    </w:p>
    <w:p>
      <w:pPr>
        <w:pStyle w:val="0"/>
        <w:ind w:firstLine="540"/>
        <w:jc w:val="both"/>
      </w:pPr>
      <w:r>
        <w:rPr>
          <w:sz w:val="24"/>
        </w:rPr>
        <w:t xml:space="preserve">При определении площадей сбросных сечений резервуаров с объемом от 5 до 40 м3 допускается линейная интерполяция. Для обеспечения требуемой площади допускается использование нескольких предохранительных мембран или клапанов.</w:t>
      </w:r>
    </w:p>
    <w:p>
      <w:pPr>
        <w:pStyle w:val="0"/>
        <w:spacing w:before="240" w:lineRule="auto"/>
        <w:ind w:firstLine="540"/>
        <w:jc w:val="both"/>
      </w:pPr>
      <w:r>
        <w:rPr>
          <w:sz w:val="24"/>
        </w:rPr>
        <w:t xml:space="preserve">7.46. Наполнение резервуаров для хранения топлива, расположенных частично или полностью выше площадки для АЦ и/или трубопроводов наполнения этих резервуаров, должно осуществляться только посредством насоса перекачивания технологической системы АЗС. Использование насоса АЦ для наполнения указанных резервуаров не допускается.</w:t>
      </w:r>
    </w:p>
    <w:p>
      <w:pPr>
        <w:pStyle w:val="0"/>
        <w:spacing w:before="240" w:lineRule="auto"/>
        <w:ind w:firstLine="540"/>
        <w:jc w:val="both"/>
      </w:pPr>
      <w:r>
        <w:rPr>
          <w:sz w:val="24"/>
        </w:rPr>
        <w:t xml:space="preserve">Трубопроводы наполнения указанных резервуаров должны оснащаться обратными клапанами, препятствующими обратному току жидкости при обесточивании технологической системы. Обратные клапаны должны быть отрегулированы на открытие рабочим давлением насоса линии наполнения.</w:t>
      </w:r>
    </w:p>
    <w:p>
      <w:pPr>
        <w:pStyle w:val="0"/>
        <w:spacing w:before="240" w:lineRule="auto"/>
        <w:ind w:firstLine="540"/>
        <w:jc w:val="both"/>
      </w:pPr>
      <w:r>
        <w:rPr>
          <w:sz w:val="24"/>
        </w:rPr>
        <w:t xml:space="preserve">7.47. Трубопроводы наполнения резервуаров для хранения топлива, расположенных частично или полностью выше площадки для АЦ, а также трубопроводы подачи топлива к ТРК, расположенные частично или полностью выше этих ТРК, должны дополнительно оснащаться аварийной запорной арматурой, установленной в верхней точке этих трубопроводов (над резервуаром), с обеспечением свободного доступа к ней.</w:t>
      </w:r>
    </w:p>
    <w:p>
      <w:pPr>
        <w:pStyle w:val="0"/>
        <w:spacing w:before="240" w:lineRule="auto"/>
        <w:ind w:firstLine="540"/>
        <w:jc w:val="both"/>
      </w:pPr>
      <w:r>
        <w:rPr>
          <w:sz w:val="24"/>
        </w:rPr>
        <w:t xml:space="preserve">7.48. В нижней части технологических отсеков контейнеров хранения топлива необходимо предусматривать поддоны. При использовании под технологическим оборудованием отсека общего поддона последний необходимо секционировать. Высота перегородок секций должна быть равна половине высоты стенок поддона. Емкость поддона должна обеспечивать полную вместимость пролива топлива при поступлении его из места разгерметизации в течение времени, необходимого для ликвидации утечки, с учетом количества топлива, находящегося в трубопроводах между местами их перекрытия. При этом высота борта должна быть не менее 150 мм.</w:t>
      </w:r>
    </w:p>
    <w:p>
      <w:pPr>
        <w:pStyle w:val="0"/>
        <w:spacing w:before="240" w:lineRule="auto"/>
        <w:ind w:firstLine="540"/>
        <w:jc w:val="both"/>
      </w:pPr>
      <w:r>
        <w:rPr>
          <w:sz w:val="24"/>
        </w:rPr>
        <w:t xml:space="preserve">7.49. На технологических системах модульных АЗС соединение трубопровода подачи топлива к ТРК с трубопроводом выдачи контейнера хранения топлива должно располагаться над поддоном технологического отсека. Трубопровод подачи топлива к ТРК должен прокладываться подземно.</w:t>
      </w:r>
    </w:p>
    <w:p>
      <w:pPr>
        <w:pStyle w:val="0"/>
        <w:spacing w:before="240" w:lineRule="auto"/>
        <w:ind w:firstLine="540"/>
        <w:jc w:val="both"/>
      </w:pPr>
      <w:r>
        <w:rPr>
          <w:sz w:val="24"/>
        </w:rPr>
        <w:t xml:space="preserve">7.50. На трубопроводе выдачи топлива контейнерных и модульных АЗС должна быть установлена запорная арматура, располагаемая в технологическом отсеке контейнера хранения топлива, в местах свободного доступа к ней.</w:t>
      </w:r>
    </w:p>
    <w:p>
      <w:pPr>
        <w:pStyle w:val="0"/>
        <w:spacing w:before="240" w:lineRule="auto"/>
        <w:ind w:firstLine="540"/>
        <w:jc w:val="both"/>
      </w:pPr>
      <w:r>
        <w:rPr>
          <w:sz w:val="24"/>
        </w:rPr>
        <w:t xml:space="preserve">7.51. На контейнерных и модульных АЗС допускается использование для нескольких ТРК общего трубопровода подачи бензина или дизельного топлива только из одного резервуара (камеры) контейнера хранения топлива при условии наличия запорной арматуры перед каждой ТРК.</w:t>
      </w:r>
    </w:p>
    <w:p>
      <w:pPr>
        <w:pStyle w:val="0"/>
        <w:spacing w:before="240" w:lineRule="auto"/>
        <w:ind w:firstLine="540"/>
        <w:jc w:val="both"/>
      </w:pPr>
      <w:r>
        <w:rPr>
          <w:sz w:val="24"/>
        </w:rPr>
        <w:t xml:space="preserve">7.52. Требования к АЗС жидкого моторного топлива, эксплуатируемых в качестве топливозаправочного пункта предприятия, следует уточнять в соответствии с </w:t>
      </w:r>
      <w:hyperlink w:history="0" w:anchor="P1465" w:tooltip="СПЕЦИФИЧЕСКИЕ ТРЕБОВАНИЯ">
        <w:r>
          <w:rPr>
            <w:sz w:val="24"/>
            <w:color w:val="0000ff"/>
          </w:rPr>
          <w:t xml:space="preserve">приложением В</w:t>
        </w:r>
      </w:hyperlink>
      <w:r>
        <w:rPr>
          <w:sz w:val="24"/>
        </w:rPr>
        <w:t xml:space="preserve">.</w:t>
      </w:r>
    </w:p>
    <w:p>
      <w:pPr>
        <w:pStyle w:val="0"/>
        <w:jc w:val="both"/>
      </w:pPr>
      <w:r>
        <w:rPr>
          <w:sz w:val="24"/>
        </w:rPr>
        <w:t xml:space="preserve">(в ред. </w:t>
      </w:r>
      <w:hyperlink w:history="0" r:id="rId79"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7.53. Требования к передвижным АЗС жидкого моторного топлива следует уточнять в соответствии с </w:t>
      </w:r>
      <w:hyperlink w:history="0" w:anchor="P1545" w:tooltip="СПЕЦИФИЧЕСКИЕ ТРЕБОВАНИЯ">
        <w:r>
          <w:rPr>
            <w:sz w:val="24"/>
            <w:color w:val="0000ff"/>
          </w:rPr>
          <w:t xml:space="preserve">приложением Г</w:t>
        </w:r>
      </w:hyperlink>
      <w:r>
        <w:rPr>
          <w:sz w:val="24"/>
        </w:rPr>
        <w:t xml:space="preserve"> к настоящему своду правил.</w:t>
      </w:r>
    </w:p>
    <w:p>
      <w:pPr>
        <w:pStyle w:val="0"/>
        <w:jc w:val="both"/>
      </w:pPr>
      <w:r>
        <w:rPr>
          <w:sz w:val="24"/>
        </w:rPr>
      </w:r>
    </w:p>
    <w:p>
      <w:pPr>
        <w:pStyle w:val="2"/>
        <w:outlineLvl w:val="1"/>
        <w:ind w:firstLine="540"/>
        <w:jc w:val="both"/>
      </w:pPr>
      <w:r>
        <w:rPr>
          <w:sz w:val="24"/>
        </w:rPr>
        <w:t xml:space="preserve">8. Дополнительные требования к АЗС с наличием газового моторного топлива</w:t>
      </w:r>
    </w:p>
    <w:p>
      <w:pPr>
        <w:pStyle w:val="0"/>
        <w:jc w:val="both"/>
      </w:pPr>
      <w:r>
        <w:rPr>
          <w:sz w:val="24"/>
        </w:rPr>
      </w:r>
    </w:p>
    <w:p>
      <w:pPr>
        <w:pStyle w:val="0"/>
        <w:ind w:firstLine="540"/>
        <w:jc w:val="both"/>
      </w:pPr>
      <w:r>
        <w:rPr>
          <w:sz w:val="24"/>
        </w:rPr>
        <w:t xml:space="preserve">8.1. На многотопливных АЗС с наличием газового моторного топлива не допускается размещение:</w:t>
      </w:r>
    </w:p>
    <w:p>
      <w:pPr>
        <w:pStyle w:val="0"/>
        <w:spacing w:before="240" w:lineRule="auto"/>
        <w:ind w:firstLine="540"/>
        <w:jc w:val="both"/>
      </w:pPr>
      <w:r>
        <w:rPr>
          <w:sz w:val="24"/>
        </w:rPr>
        <w:t xml:space="preserve">оборудования для сливоналивных (наполнения и опорожнения) операций, не относящихся к заправке баков (сосудов) топливных систем транспортных средств (за исключением заправки сосудов аккумулятора газа ПАГЗ (МЭГК) на АГНКС) или к технологическим процессам (включая обслуживание), предусмотренным для технологической системы АЗС;</w:t>
      </w:r>
    </w:p>
    <w:p>
      <w:pPr>
        <w:pStyle w:val="0"/>
        <w:spacing w:before="240" w:lineRule="auto"/>
        <w:ind w:firstLine="540"/>
        <w:jc w:val="both"/>
      </w:pPr>
      <w:r>
        <w:rPr>
          <w:sz w:val="24"/>
        </w:rPr>
        <w:t xml:space="preserve">газорегуляторного пункта системы газораспределения, от которого осуществляется подача газа на другие объекты.</w:t>
      </w:r>
    </w:p>
    <w:bookmarkStart w:id="722" w:name="P722"/>
    <w:bookmarkEnd w:id="722"/>
    <w:p>
      <w:pPr>
        <w:pStyle w:val="0"/>
        <w:spacing w:before="240" w:lineRule="auto"/>
        <w:ind w:firstLine="540"/>
        <w:jc w:val="both"/>
      </w:pPr>
      <w:r>
        <w:rPr>
          <w:sz w:val="24"/>
        </w:rPr>
        <w:t xml:space="preserve">8.2. Территория площадки (площадок) зданий, сооружений и оборудования для приема, подготовки и хранения КПГ и/или СПГ, приема, хранения и выдачи КВ, а также территория складской площадки с резервуарами СУГ должны иметь ограждения, которые обозначают территорию, закрытую для посторонних лиц, и выполнены из негорючих материалов, не препятствующих свободному проветриванию.</w:t>
      </w:r>
    </w:p>
    <w:p>
      <w:pPr>
        <w:pStyle w:val="0"/>
        <w:jc w:val="both"/>
      </w:pPr>
      <w:r>
        <w:rPr>
          <w:sz w:val="24"/>
        </w:rPr>
        <w:t xml:space="preserve">(в ред. </w:t>
      </w:r>
      <w:hyperlink w:history="0" r:id="rId80"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bookmarkStart w:id="724" w:name="P724"/>
    <w:bookmarkEnd w:id="724"/>
    <w:p>
      <w:pPr>
        <w:pStyle w:val="0"/>
        <w:spacing w:before="240" w:lineRule="auto"/>
        <w:ind w:firstLine="540"/>
        <w:jc w:val="both"/>
      </w:pPr>
      <w:r>
        <w:rPr>
          <w:sz w:val="24"/>
        </w:rPr>
        <w:t xml:space="preserve">8.3. Минимальные расстояния от КриоАЗС и АГЗС, выполненных как самостоятельный участок многотопливной АЗС, многотопливной АЗС и АГНКС до объектов, к ним не относящихся, принимаются в соответствии с таблицей 5.</w:t>
      </w:r>
    </w:p>
    <w:p>
      <w:pPr>
        <w:pStyle w:val="0"/>
        <w:jc w:val="both"/>
      </w:pPr>
      <w:r>
        <w:rPr>
          <w:sz w:val="24"/>
        </w:rPr>
      </w:r>
    </w:p>
    <w:bookmarkStart w:id="726" w:name="P726"/>
    <w:bookmarkEnd w:id="726"/>
    <w:p>
      <w:pPr>
        <w:pStyle w:val="2"/>
        <w:outlineLvl w:val="2"/>
        <w:jc w:val="both"/>
      </w:pPr>
      <w:r>
        <w:rPr>
          <w:sz w:val="24"/>
        </w:rPr>
        <w:t xml:space="preserve">Таблица 5</w:t>
      </w:r>
    </w:p>
    <w:p>
      <w:pPr>
        <w:pStyle w:val="0"/>
        <w:jc w:val="both"/>
      </w:pPr>
      <w:r>
        <w:rPr>
          <w:sz w:val="24"/>
        </w:rPr>
      </w:r>
    </w:p>
    <w:p>
      <w:pPr>
        <w:pStyle w:val="0"/>
        <w:jc w:val="both"/>
      </w:pPr>
      <w:r>
        <w:rPr>
          <w:sz w:val="24"/>
        </w:rPr>
        <w:t xml:space="preserve">(в ред. </w:t>
      </w:r>
      <w:hyperlink w:history="0" r:id="rId8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25"/>
        <w:gridCol w:w="1133"/>
        <w:gridCol w:w="1133"/>
        <w:gridCol w:w="1142"/>
      </w:tblGrid>
      <w:tr>
        <w:tc>
          <w:tcPr>
            <w:tcW w:w="5625" w:type="dxa"/>
            <w:vMerge w:val="restart"/>
          </w:tcPr>
          <w:p>
            <w:pPr>
              <w:pStyle w:val="0"/>
              <w:jc w:val="center"/>
            </w:pPr>
            <w:r>
              <w:rPr>
                <w:sz w:val="24"/>
              </w:rPr>
              <w:t xml:space="preserve">Наименование объекта, до которого определяется расстояние</w:t>
            </w:r>
          </w:p>
        </w:tc>
        <w:tc>
          <w:tcPr>
            <w:gridSpan w:val="3"/>
            <w:tcW w:w="3408" w:type="dxa"/>
          </w:tcPr>
          <w:p>
            <w:pPr>
              <w:pStyle w:val="0"/>
              <w:jc w:val="center"/>
            </w:pPr>
            <w:r>
              <w:rPr>
                <w:sz w:val="24"/>
              </w:rPr>
              <w:t xml:space="preserve">Расстояние от зданий, сооружений и оборудования технологических систем АЗС, м</w:t>
            </w:r>
          </w:p>
        </w:tc>
      </w:tr>
      <w:tr>
        <w:tc>
          <w:tcPr>
            <w:vMerge w:val="continue"/>
          </w:tcPr>
          <w:p/>
        </w:tc>
        <w:tc>
          <w:tcPr>
            <w:tcW w:w="1133" w:type="dxa"/>
          </w:tcPr>
          <w:p>
            <w:pPr>
              <w:pStyle w:val="0"/>
              <w:jc w:val="center"/>
            </w:pPr>
            <w:r>
              <w:rPr>
                <w:sz w:val="24"/>
              </w:rPr>
              <w:t xml:space="preserve">с наличием СУГ</w:t>
            </w:r>
          </w:p>
        </w:tc>
        <w:tc>
          <w:tcPr>
            <w:tcW w:w="1133" w:type="dxa"/>
          </w:tcPr>
          <w:p>
            <w:pPr>
              <w:pStyle w:val="0"/>
              <w:jc w:val="center"/>
            </w:pPr>
            <w:r>
              <w:rPr>
                <w:sz w:val="24"/>
              </w:rPr>
              <w:t xml:space="preserve">с наличием КПГ</w:t>
            </w:r>
          </w:p>
        </w:tc>
        <w:tc>
          <w:tcPr>
            <w:tcW w:w="1142" w:type="dxa"/>
          </w:tcPr>
          <w:p>
            <w:pPr>
              <w:pStyle w:val="0"/>
              <w:jc w:val="center"/>
            </w:pPr>
            <w:r>
              <w:rPr>
                <w:sz w:val="24"/>
              </w:rPr>
              <w:t xml:space="preserve">с наличием СПГ</w:t>
            </w:r>
          </w:p>
        </w:tc>
      </w:tr>
      <w:tr>
        <w:tc>
          <w:tcPr>
            <w:tcW w:w="5625" w:type="dxa"/>
          </w:tcPr>
          <w:bookmarkStart w:id="735" w:name="P735"/>
          <w:bookmarkEnd w:id="735"/>
          <w:p>
            <w:pPr>
              <w:pStyle w:val="0"/>
            </w:pPr>
            <w:r>
              <w:rPr>
                <w:sz w:val="24"/>
              </w:rPr>
              <w:t xml:space="preserve">1. Производственные и складские здания и сооружения промышленных предприятий (за исключением указанных в </w:t>
            </w:r>
            <w:hyperlink w:history="0" w:anchor="P787" w:tooltip="9.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строках 9</w:t>
              </w:r>
            </w:hyperlink>
            <w:r>
              <w:rPr>
                <w:sz w:val="24"/>
              </w:rPr>
              <w:t xml:space="preserve"> и </w:t>
            </w:r>
            <w:hyperlink w:history="0" w:anchor="P795"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административно-бытовые здания и сооружения промышленных предприятий</w:t>
            </w:r>
          </w:p>
        </w:tc>
        <w:tc>
          <w:tcPr>
            <w:tcW w:w="1133" w:type="dxa"/>
            <w:vAlign w:val="bottom"/>
          </w:tcPr>
          <w:p>
            <w:pPr>
              <w:pStyle w:val="0"/>
              <w:jc w:val="center"/>
            </w:pPr>
            <w:r>
              <w:rPr>
                <w:sz w:val="24"/>
              </w:rPr>
              <w:t xml:space="preserve">40</w:t>
            </w:r>
          </w:p>
        </w:tc>
        <w:tc>
          <w:tcPr>
            <w:tcW w:w="1133" w:type="dxa"/>
            <w:vAlign w:val="bottom"/>
          </w:tcPr>
          <w:p>
            <w:pPr>
              <w:pStyle w:val="0"/>
              <w:jc w:val="center"/>
            </w:pPr>
            <w:r>
              <w:rPr>
                <w:sz w:val="24"/>
              </w:rPr>
              <w:t xml:space="preserve">25</w:t>
            </w:r>
          </w:p>
        </w:tc>
        <w:tc>
          <w:tcPr>
            <w:tcW w:w="1142" w:type="dxa"/>
            <w:vAlign w:val="bottom"/>
          </w:tcPr>
          <w:p>
            <w:pPr>
              <w:pStyle w:val="0"/>
              <w:jc w:val="center"/>
            </w:pPr>
            <w:r>
              <w:rPr>
                <w:sz w:val="24"/>
              </w:rPr>
              <w:t xml:space="preserve">35</w:t>
            </w:r>
          </w:p>
        </w:tc>
      </w:tr>
      <w:tr>
        <w:tblPrEx>
          <w:tblBorders>
            <w:insideH w:val="nil"/>
          </w:tblBorders>
        </w:tblPrEx>
        <w:tc>
          <w:tcPr>
            <w:tcW w:w="5625" w:type="dxa"/>
            <w:tcBorders>
              <w:bottom w:val="nil"/>
            </w:tcBorders>
          </w:tcPr>
          <w:p>
            <w:pPr>
              <w:pStyle w:val="0"/>
            </w:pPr>
            <w:r>
              <w:rPr>
                <w:sz w:val="24"/>
              </w:rPr>
              <w:t xml:space="preserve">2. Лесничества с лесными насаждениями:</w:t>
            </w:r>
          </w:p>
        </w:tc>
        <w:tc>
          <w:tcPr>
            <w:tcW w:w="1133" w:type="dxa"/>
            <w:vAlign w:val="bottom"/>
            <w:tcBorders>
              <w:bottom w:val="nil"/>
            </w:tcBorders>
          </w:tcPr>
          <w:p>
            <w:pPr>
              <w:pStyle w:val="0"/>
            </w:pPr>
            <w:r>
              <w:rPr>
                <w:sz w:val="24"/>
              </w:rPr>
            </w:r>
          </w:p>
        </w:tc>
        <w:tc>
          <w:tcPr>
            <w:tcW w:w="1133" w:type="dxa"/>
            <w:vAlign w:val="bottom"/>
            <w:tcBorders>
              <w:bottom w:val="nil"/>
            </w:tcBorders>
          </w:tcPr>
          <w:p>
            <w:pPr>
              <w:pStyle w:val="0"/>
            </w:pPr>
            <w:r>
              <w:rPr>
                <w:sz w:val="24"/>
              </w:rPr>
            </w:r>
          </w:p>
        </w:tc>
        <w:tc>
          <w:tcPr>
            <w:tcW w:w="1142" w:type="dxa"/>
            <w:vAlign w:val="bottom"/>
            <w:tcBorders>
              <w:bottom w:val="nil"/>
            </w:tcBorders>
          </w:tcPr>
          <w:p>
            <w:pPr>
              <w:pStyle w:val="0"/>
            </w:pPr>
            <w:r>
              <w:rPr>
                <w:sz w:val="24"/>
              </w:rPr>
            </w:r>
          </w:p>
        </w:tc>
      </w:tr>
      <w:tr>
        <w:tblPrEx>
          <w:tblBorders>
            <w:insideH w:val="nil"/>
          </w:tblBorders>
        </w:tblPrEx>
        <w:tc>
          <w:tcPr>
            <w:tcW w:w="5625" w:type="dxa"/>
            <w:tcBorders>
              <w:top w:val="nil"/>
              <w:bottom w:val="nil"/>
            </w:tcBorders>
          </w:tcPr>
          <w:p>
            <w:pPr>
              <w:pStyle w:val="0"/>
            </w:pPr>
            <w:r>
              <w:rPr>
                <w:sz w:val="24"/>
              </w:rPr>
              <w:t xml:space="preserve">хвойных и смешанных пород</w:t>
            </w:r>
          </w:p>
        </w:tc>
        <w:tc>
          <w:tcPr>
            <w:tcW w:w="1133" w:type="dxa"/>
            <w:vAlign w:val="bottom"/>
            <w:tcBorders>
              <w:top w:val="nil"/>
              <w:bottom w:val="nil"/>
            </w:tcBorders>
          </w:tcPr>
          <w:p>
            <w:pPr>
              <w:pStyle w:val="0"/>
              <w:jc w:val="center"/>
            </w:pPr>
            <w:r>
              <w:rPr>
                <w:sz w:val="24"/>
              </w:rPr>
              <w:t xml:space="preserve">50</w:t>
            </w:r>
          </w:p>
        </w:tc>
        <w:tc>
          <w:tcPr>
            <w:tcW w:w="1133" w:type="dxa"/>
            <w:vAlign w:val="bottom"/>
            <w:tcBorders>
              <w:top w:val="nil"/>
              <w:bottom w:val="nil"/>
            </w:tcBorders>
          </w:tcPr>
          <w:p>
            <w:pPr>
              <w:pStyle w:val="0"/>
              <w:jc w:val="center"/>
            </w:pPr>
            <w:r>
              <w:rPr>
                <w:sz w:val="24"/>
              </w:rPr>
              <w:t xml:space="preserve">30</w:t>
            </w:r>
          </w:p>
        </w:tc>
        <w:tc>
          <w:tcPr>
            <w:tcW w:w="1142" w:type="dxa"/>
            <w:vAlign w:val="bottom"/>
            <w:tcBorders>
              <w:top w:val="nil"/>
              <w:bottom w:val="nil"/>
            </w:tcBorders>
          </w:tcPr>
          <w:p>
            <w:pPr>
              <w:pStyle w:val="0"/>
              <w:jc w:val="center"/>
            </w:pPr>
            <w:r>
              <w:rPr>
                <w:sz w:val="24"/>
              </w:rPr>
              <w:t xml:space="preserve">40</w:t>
            </w:r>
          </w:p>
        </w:tc>
      </w:tr>
      <w:tr>
        <w:tblPrEx>
          <w:tblBorders>
            <w:insideH w:val="nil"/>
          </w:tblBorders>
        </w:tblPrEx>
        <w:tc>
          <w:tcPr>
            <w:tcW w:w="5625" w:type="dxa"/>
            <w:tcBorders>
              <w:top w:val="nil"/>
            </w:tcBorders>
          </w:tcPr>
          <w:p>
            <w:pPr>
              <w:pStyle w:val="0"/>
            </w:pPr>
            <w:r>
              <w:rPr>
                <w:sz w:val="24"/>
              </w:rPr>
              <w:t xml:space="preserve">лиственных пород</w:t>
            </w:r>
          </w:p>
        </w:tc>
        <w:tc>
          <w:tcPr>
            <w:tcW w:w="1133" w:type="dxa"/>
            <w:vAlign w:val="bottom"/>
            <w:tcBorders>
              <w:top w:val="nil"/>
            </w:tcBorders>
          </w:tcPr>
          <w:p>
            <w:pPr>
              <w:pStyle w:val="0"/>
              <w:jc w:val="center"/>
            </w:pPr>
            <w:r>
              <w:rPr>
                <w:sz w:val="24"/>
              </w:rPr>
              <w:t xml:space="preserve">25</w:t>
            </w:r>
          </w:p>
        </w:tc>
        <w:tc>
          <w:tcPr>
            <w:tcW w:w="1133" w:type="dxa"/>
            <w:vAlign w:val="bottom"/>
            <w:tcBorders>
              <w:top w:val="nil"/>
            </w:tcBorders>
          </w:tcPr>
          <w:p>
            <w:pPr>
              <w:pStyle w:val="0"/>
              <w:jc w:val="center"/>
            </w:pPr>
            <w:r>
              <w:rPr>
                <w:sz w:val="24"/>
              </w:rPr>
              <w:t xml:space="preserve">15</w:t>
            </w:r>
          </w:p>
        </w:tc>
        <w:tc>
          <w:tcPr>
            <w:tcW w:w="1142" w:type="dxa"/>
            <w:vAlign w:val="bottom"/>
            <w:tcBorders>
              <w:top w:val="nil"/>
            </w:tcBorders>
          </w:tcPr>
          <w:p>
            <w:pPr>
              <w:pStyle w:val="0"/>
              <w:jc w:val="center"/>
            </w:pPr>
            <w:r>
              <w:rPr>
                <w:sz w:val="24"/>
              </w:rPr>
              <w:t xml:space="preserve">25</w:t>
            </w:r>
          </w:p>
        </w:tc>
      </w:tr>
      <w:tr>
        <w:tc>
          <w:tcPr>
            <w:tcW w:w="5625" w:type="dxa"/>
          </w:tcPr>
          <w:bookmarkStart w:id="751" w:name="P751"/>
          <w:bookmarkEnd w:id="751"/>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735"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строке 1</w:t>
              </w:r>
            </w:hyperlink>
            <w:r>
              <w:rPr>
                <w:sz w:val="24"/>
              </w:rPr>
              <w:t xml:space="preserve">)</w:t>
            </w:r>
          </w:p>
        </w:tc>
        <w:tc>
          <w:tcPr>
            <w:tcW w:w="1133" w:type="dxa"/>
            <w:vAlign w:val="bottom"/>
          </w:tcPr>
          <w:p>
            <w:pPr>
              <w:pStyle w:val="0"/>
              <w:jc w:val="center"/>
            </w:pPr>
            <w:r>
              <w:rPr>
                <w:sz w:val="24"/>
              </w:rPr>
              <w:t xml:space="preserve">60</w:t>
            </w:r>
          </w:p>
        </w:tc>
        <w:tc>
          <w:tcPr>
            <w:tcW w:w="1133" w:type="dxa"/>
            <w:vAlign w:val="bottom"/>
          </w:tcPr>
          <w:p>
            <w:pPr>
              <w:pStyle w:val="0"/>
              <w:jc w:val="center"/>
            </w:pPr>
            <w:r>
              <w:rPr>
                <w:sz w:val="24"/>
              </w:rPr>
              <w:t xml:space="preserve">35</w:t>
            </w:r>
          </w:p>
        </w:tc>
        <w:tc>
          <w:tcPr>
            <w:tcW w:w="1142" w:type="dxa"/>
            <w:vAlign w:val="bottom"/>
          </w:tcPr>
          <w:p>
            <w:pPr>
              <w:pStyle w:val="0"/>
              <w:jc w:val="center"/>
            </w:pPr>
            <w:r>
              <w:rPr>
                <w:sz w:val="24"/>
              </w:rPr>
              <w:t xml:space="preserve">55</w:t>
            </w:r>
          </w:p>
        </w:tc>
      </w:tr>
      <w:tr>
        <w:tc>
          <w:tcPr>
            <w:tcW w:w="5625" w:type="dxa"/>
          </w:tcPr>
          <w:bookmarkStart w:id="755" w:name="P755"/>
          <w:bookmarkEnd w:id="755"/>
          <w:p>
            <w:pPr>
              <w:pStyle w:val="0"/>
            </w:pPr>
            <w:r>
              <w:rPr>
                <w:sz w:val="24"/>
              </w:rPr>
              <w:t xml:space="preserve">4. Места массового пребывания людей</w:t>
            </w:r>
          </w:p>
        </w:tc>
        <w:tc>
          <w:tcPr>
            <w:tcW w:w="1133" w:type="dxa"/>
            <w:vAlign w:val="bottom"/>
          </w:tcPr>
          <w:p>
            <w:pPr>
              <w:pStyle w:val="0"/>
              <w:jc w:val="center"/>
            </w:pPr>
            <w:r>
              <w:rPr>
                <w:sz w:val="24"/>
              </w:rPr>
              <w:t xml:space="preserve">60</w:t>
            </w:r>
          </w:p>
        </w:tc>
        <w:tc>
          <w:tcPr>
            <w:tcW w:w="1133" w:type="dxa"/>
            <w:vAlign w:val="bottom"/>
          </w:tcPr>
          <w:p>
            <w:pPr>
              <w:pStyle w:val="0"/>
              <w:jc w:val="center"/>
            </w:pPr>
            <w:r>
              <w:rPr>
                <w:sz w:val="24"/>
              </w:rPr>
              <w:t xml:space="preserve">35</w:t>
            </w:r>
          </w:p>
        </w:tc>
        <w:tc>
          <w:tcPr>
            <w:tcW w:w="1142" w:type="dxa"/>
            <w:vAlign w:val="bottom"/>
          </w:tcPr>
          <w:p>
            <w:pPr>
              <w:pStyle w:val="0"/>
              <w:jc w:val="center"/>
            </w:pPr>
            <w:r>
              <w:rPr>
                <w:sz w:val="24"/>
              </w:rPr>
              <w:t xml:space="preserve">55</w:t>
            </w:r>
          </w:p>
        </w:tc>
      </w:tr>
      <w:tr>
        <w:tc>
          <w:tcPr>
            <w:tcW w:w="5625" w:type="dxa"/>
          </w:tcPr>
          <w:bookmarkStart w:id="759" w:name="P759"/>
          <w:bookmarkEnd w:id="759"/>
          <w:p>
            <w:pPr>
              <w:pStyle w:val="0"/>
            </w:pPr>
            <w:r>
              <w:rPr>
                <w:sz w:val="24"/>
              </w:rPr>
              <w:t xml:space="preserve">5. Индивидуальные гаражи и открытые стоянки для автомобилей</w:t>
            </w:r>
          </w:p>
        </w:tc>
        <w:tc>
          <w:tcPr>
            <w:tcW w:w="1133" w:type="dxa"/>
            <w:vAlign w:val="bottom"/>
          </w:tcPr>
          <w:p>
            <w:pPr>
              <w:pStyle w:val="0"/>
              <w:jc w:val="center"/>
            </w:pPr>
            <w:r>
              <w:rPr>
                <w:sz w:val="24"/>
              </w:rPr>
              <w:t xml:space="preserve">40</w:t>
            </w:r>
          </w:p>
        </w:tc>
        <w:tc>
          <w:tcPr>
            <w:tcW w:w="1133" w:type="dxa"/>
            <w:vAlign w:val="bottom"/>
          </w:tcPr>
          <w:p>
            <w:pPr>
              <w:pStyle w:val="0"/>
              <w:jc w:val="center"/>
            </w:pPr>
            <w:r>
              <w:rPr>
                <w:sz w:val="24"/>
              </w:rPr>
              <w:t xml:space="preserve">30</w:t>
            </w:r>
          </w:p>
        </w:tc>
        <w:tc>
          <w:tcPr>
            <w:tcW w:w="1142" w:type="dxa"/>
            <w:vAlign w:val="bottom"/>
          </w:tcPr>
          <w:p>
            <w:pPr>
              <w:pStyle w:val="0"/>
              <w:jc w:val="center"/>
            </w:pPr>
            <w:r>
              <w:rPr>
                <w:sz w:val="24"/>
              </w:rPr>
              <w:t xml:space="preserve">35</w:t>
            </w:r>
          </w:p>
        </w:tc>
      </w:tr>
      <w:tr>
        <w:tblPrEx>
          <w:tblBorders>
            <w:insideH w:val="nil"/>
          </w:tblBorders>
        </w:tblPrEx>
        <w:tc>
          <w:tcPr>
            <w:tcW w:w="5625" w:type="dxa"/>
            <w:tcBorders>
              <w:bottom w:val="nil"/>
            </w:tcBorders>
          </w:tcPr>
          <w:bookmarkStart w:id="763" w:name="P763"/>
          <w:bookmarkEnd w:id="763"/>
          <w:p>
            <w:pPr>
              <w:pStyle w:val="0"/>
            </w:pPr>
            <w:r>
              <w:rPr>
                <w:sz w:val="24"/>
              </w:rPr>
              <w:t xml:space="preserve">6. Автомобильные дороги общей сети (край проезжей части):</w:t>
            </w:r>
          </w:p>
        </w:tc>
        <w:tc>
          <w:tcPr>
            <w:tcW w:w="1133" w:type="dxa"/>
            <w:vAlign w:val="bottom"/>
            <w:tcBorders>
              <w:bottom w:val="nil"/>
            </w:tcBorders>
          </w:tcPr>
          <w:p>
            <w:pPr>
              <w:pStyle w:val="0"/>
            </w:pPr>
            <w:r>
              <w:rPr>
                <w:sz w:val="24"/>
              </w:rPr>
            </w:r>
          </w:p>
        </w:tc>
        <w:tc>
          <w:tcPr>
            <w:tcW w:w="1133" w:type="dxa"/>
            <w:vAlign w:val="bottom"/>
            <w:tcBorders>
              <w:bottom w:val="nil"/>
            </w:tcBorders>
          </w:tcPr>
          <w:p>
            <w:pPr>
              <w:pStyle w:val="0"/>
            </w:pPr>
            <w:r>
              <w:rPr>
                <w:sz w:val="24"/>
              </w:rPr>
            </w:r>
          </w:p>
        </w:tc>
        <w:tc>
          <w:tcPr>
            <w:tcW w:w="1142" w:type="dxa"/>
            <w:vAlign w:val="bottom"/>
            <w:tcBorders>
              <w:bottom w:val="nil"/>
            </w:tcBorders>
          </w:tcPr>
          <w:p>
            <w:pPr>
              <w:pStyle w:val="0"/>
            </w:pPr>
            <w:r>
              <w:rPr>
                <w:sz w:val="24"/>
              </w:rPr>
            </w:r>
          </w:p>
        </w:tc>
      </w:tr>
      <w:tr>
        <w:tblPrEx>
          <w:tblBorders>
            <w:insideH w:val="nil"/>
          </w:tblBorders>
        </w:tblPrEx>
        <w:tc>
          <w:tcPr>
            <w:tcW w:w="5625" w:type="dxa"/>
            <w:tcBorders>
              <w:top w:val="nil"/>
              <w:bottom w:val="nil"/>
            </w:tcBorders>
          </w:tcPr>
          <w:p>
            <w:pPr>
              <w:pStyle w:val="0"/>
            </w:pPr>
            <w:r>
              <w:rPr>
                <w:sz w:val="24"/>
              </w:rPr>
              <w:t xml:space="preserve">I, II и III категории</w:t>
            </w:r>
          </w:p>
        </w:tc>
        <w:tc>
          <w:tcPr>
            <w:tcW w:w="1133" w:type="dxa"/>
            <w:vAlign w:val="bottom"/>
            <w:tcBorders>
              <w:top w:val="nil"/>
              <w:bottom w:val="nil"/>
            </w:tcBorders>
          </w:tcPr>
          <w:p>
            <w:pPr>
              <w:pStyle w:val="0"/>
              <w:jc w:val="center"/>
            </w:pPr>
            <w:r>
              <w:rPr>
                <w:sz w:val="24"/>
              </w:rPr>
              <w:t xml:space="preserve">25</w:t>
            </w:r>
          </w:p>
        </w:tc>
        <w:tc>
          <w:tcPr>
            <w:tcW w:w="1133" w:type="dxa"/>
            <w:vAlign w:val="bottom"/>
            <w:tcBorders>
              <w:top w:val="nil"/>
              <w:bottom w:val="nil"/>
            </w:tcBorders>
          </w:tcPr>
          <w:p>
            <w:pPr>
              <w:pStyle w:val="0"/>
              <w:jc w:val="center"/>
            </w:pPr>
            <w:r>
              <w:rPr>
                <w:sz w:val="24"/>
              </w:rPr>
              <w:t xml:space="preserve">15</w:t>
            </w:r>
          </w:p>
        </w:tc>
        <w:tc>
          <w:tcPr>
            <w:tcW w:w="1142" w:type="dxa"/>
            <w:vAlign w:val="bottom"/>
            <w:tcBorders>
              <w:top w:val="nil"/>
              <w:bottom w:val="nil"/>
            </w:tcBorders>
          </w:tcPr>
          <w:p>
            <w:pPr>
              <w:pStyle w:val="0"/>
              <w:jc w:val="center"/>
            </w:pPr>
            <w:r>
              <w:rPr>
                <w:sz w:val="24"/>
              </w:rPr>
              <w:t xml:space="preserve">20</w:t>
            </w:r>
          </w:p>
        </w:tc>
      </w:tr>
      <w:tr>
        <w:tblPrEx>
          <w:tblBorders>
            <w:insideH w:val="nil"/>
          </w:tblBorders>
        </w:tblPrEx>
        <w:tc>
          <w:tcPr>
            <w:tcW w:w="5625" w:type="dxa"/>
            <w:tcBorders>
              <w:top w:val="nil"/>
              <w:bottom w:val="nil"/>
            </w:tcBorders>
          </w:tcPr>
          <w:p>
            <w:pPr>
              <w:pStyle w:val="0"/>
            </w:pPr>
            <w:r>
              <w:rPr>
                <w:sz w:val="24"/>
              </w:rPr>
              <w:t xml:space="preserve">IV и V категории</w:t>
            </w:r>
          </w:p>
        </w:tc>
        <w:tc>
          <w:tcPr>
            <w:tcW w:w="1133" w:type="dxa"/>
            <w:vAlign w:val="bottom"/>
            <w:tcBorders>
              <w:top w:val="nil"/>
              <w:bottom w:val="nil"/>
            </w:tcBorders>
          </w:tcPr>
          <w:p>
            <w:pPr>
              <w:pStyle w:val="0"/>
              <w:jc w:val="center"/>
            </w:pPr>
            <w:r>
              <w:rPr>
                <w:sz w:val="24"/>
              </w:rPr>
              <w:t xml:space="preserve">20</w:t>
            </w:r>
          </w:p>
        </w:tc>
        <w:tc>
          <w:tcPr>
            <w:tcW w:w="1133" w:type="dxa"/>
            <w:vAlign w:val="bottom"/>
            <w:tcBorders>
              <w:top w:val="nil"/>
              <w:bottom w:val="nil"/>
            </w:tcBorders>
          </w:tcPr>
          <w:p>
            <w:pPr>
              <w:pStyle w:val="0"/>
              <w:jc w:val="center"/>
            </w:pPr>
            <w:r>
              <w:rPr>
                <w:sz w:val="24"/>
              </w:rPr>
              <w:t xml:space="preserve">12</w:t>
            </w:r>
          </w:p>
        </w:tc>
        <w:tc>
          <w:tcPr>
            <w:tcW w:w="1142" w:type="dxa"/>
            <w:vAlign w:val="bottom"/>
            <w:tcBorders>
              <w:top w:val="nil"/>
              <w:bottom w:val="nil"/>
            </w:tcBorders>
          </w:tcPr>
          <w:p>
            <w:pPr>
              <w:pStyle w:val="0"/>
              <w:jc w:val="center"/>
            </w:pPr>
            <w:r>
              <w:rPr>
                <w:sz w:val="24"/>
              </w:rPr>
              <w:t xml:space="preserve">15</w:t>
            </w:r>
          </w:p>
        </w:tc>
      </w:tr>
      <w:tr>
        <w:tblPrEx>
          <w:tblBorders>
            <w:insideH w:val="nil"/>
          </w:tblBorders>
        </w:tblPrEx>
        <w:tc>
          <w:tcPr>
            <w:tcW w:w="5625" w:type="dxa"/>
            <w:tcBorders>
              <w:top w:val="nil"/>
            </w:tcBorders>
          </w:tcPr>
          <w:p>
            <w:pPr>
              <w:pStyle w:val="0"/>
            </w:pPr>
            <w:r>
              <w:rPr>
                <w:sz w:val="24"/>
              </w:rPr>
              <w:t xml:space="preserve">Маршруты электрифицированного городского транспорта (до контактной сети)</w:t>
            </w:r>
          </w:p>
        </w:tc>
        <w:tc>
          <w:tcPr>
            <w:tcW w:w="1133" w:type="dxa"/>
            <w:vAlign w:val="bottom"/>
            <w:tcBorders>
              <w:top w:val="nil"/>
            </w:tcBorders>
          </w:tcPr>
          <w:p>
            <w:pPr>
              <w:pStyle w:val="0"/>
              <w:jc w:val="center"/>
            </w:pPr>
            <w:r>
              <w:rPr>
                <w:sz w:val="24"/>
              </w:rPr>
              <w:t xml:space="preserve">25</w:t>
            </w:r>
          </w:p>
        </w:tc>
        <w:tc>
          <w:tcPr>
            <w:tcW w:w="1133" w:type="dxa"/>
            <w:vAlign w:val="bottom"/>
            <w:tcBorders>
              <w:top w:val="nil"/>
            </w:tcBorders>
          </w:tcPr>
          <w:p>
            <w:pPr>
              <w:pStyle w:val="0"/>
              <w:jc w:val="center"/>
            </w:pPr>
            <w:r>
              <w:rPr>
                <w:sz w:val="24"/>
              </w:rPr>
              <w:t xml:space="preserve">15</w:t>
            </w:r>
          </w:p>
        </w:tc>
        <w:tc>
          <w:tcPr>
            <w:tcW w:w="1142" w:type="dxa"/>
            <w:vAlign w:val="bottom"/>
            <w:tcBorders>
              <w:top w:val="nil"/>
            </w:tcBorders>
          </w:tcPr>
          <w:p>
            <w:pPr>
              <w:pStyle w:val="0"/>
              <w:jc w:val="center"/>
            </w:pPr>
            <w:r>
              <w:rPr>
                <w:sz w:val="24"/>
              </w:rPr>
              <w:t xml:space="preserve">20</w:t>
            </w:r>
          </w:p>
        </w:tc>
      </w:tr>
      <w:tr>
        <w:tc>
          <w:tcPr>
            <w:tcW w:w="5625" w:type="dxa"/>
          </w:tcPr>
          <w:p>
            <w:pPr>
              <w:pStyle w:val="0"/>
            </w:pPr>
            <w:r>
              <w:rPr>
                <w:sz w:val="24"/>
              </w:rPr>
              <w:t xml:space="preserve">7. Железные дороги общей сети (до подошвы насыпи или бровки выемки)</w:t>
            </w:r>
          </w:p>
        </w:tc>
        <w:tc>
          <w:tcPr>
            <w:tcW w:w="1133" w:type="dxa"/>
            <w:vAlign w:val="bottom"/>
          </w:tcPr>
          <w:p>
            <w:pPr>
              <w:pStyle w:val="0"/>
              <w:jc w:val="center"/>
            </w:pPr>
            <w:r>
              <w:rPr>
                <w:sz w:val="24"/>
              </w:rPr>
              <w:t xml:space="preserve">40</w:t>
            </w:r>
          </w:p>
        </w:tc>
        <w:tc>
          <w:tcPr>
            <w:tcW w:w="1133" w:type="dxa"/>
            <w:vAlign w:val="bottom"/>
          </w:tcPr>
          <w:p>
            <w:pPr>
              <w:pStyle w:val="0"/>
              <w:jc w:val="center"/>
            </w:pPr>
            <w:r>
              <w:rPr>
                <w:sz w:val="24"/>
              </w:rPr>
              <w:t xml:space="preserve">30</w:t>
            </w:r>
          </w:p>
        </w:tc>
        <w:tc>
          <w:tcPr>
            <w:tcW w:w="1142" w:type="dxa"/>
            <w:vAlign w:val="bottom"/>
          </w:tcPr>
          <w:p>
            <w:pPr>
              <w:pStyle w:val="0"/>
              <w:jc w:val="center"/>
            </w:pPr>
            <w:r>
              <w:rPr>
                <w:sz w:val="24"/>
              </w:rPr>
              <w:t xml:space="preserve">35</w:t>
            </w:r>
          </w:p>
        </w:tc>
      </w:tr>
      <w:tr>
        <w:tc>
          <w:tcPr>
            <w:tcW w:w="5625" w:type="dxa"/>
          </w:tcPr>
          <w:p>
            <w:pPr>
              <w:pStyle w:val="0"/>
            </w:pPr>
            <w:r>
              <w:rPr>
                <w:sz w:val="24"/>
              </w:rPr>
              <w:t xml:space="preserve">8. Очистные канализационные сооружения и насосные станции, не относящиеся к АЗС</w:t>
            </w:r>
          </w:p>
        </w:tc>
        <w:tc>
          <w:tcPr>
            <w:tcW w:w="1133" w:type="dxa"/>
            <w:vAlign w:val="bottom"/>
          </w:tcPr>
          <w:p>
            <w:pPr>
              <w:pStyle w:val="0"/>
              <w:jc w:val="center"/>
            </w:pPr>
            <w:r>
              <w:rPr>
                <w:sz w:val="24"/>
              </w:rPr>
              <w:t xml:space="preserve">60</w:t>
            </w:r>
          </w:p>
        </w:tc>
        <w:tc>
          <w:tcPr>
            <w:tcW w:w="1133" w:type="dxa"/>
            <w:vAlign w:val="bottom"/>
          </w:tcPr>
          <w:p>
            <w:pPr>
              <w:pStyle w:val="0"/>
              <w:jc w:val="center"/>
            </w:pPr>
            <w:r>
              <w:rPr>
                <w:sz w:val="24"/>
              </w:rPr>
              <w:t xml:space="preserve">15</w:t>
            </w:r>
          </w:p>
        </w:tc>
        <w:tc>
          <w:tcPr>
            <w:tcW w:w="1142" w:type="dxa"/>
            <w:vAlign w:val="bottom"/>
          </w:tcPr>
          <w:p>
            <w:pPr>
              <w:pStyle w:val="0"/>
              <w:jc w:val="center"/>
            </w:pPr>
            <w:r>
              <w:rPr>
                <w:sz w:val="24"/>
              </w:rPr>
              <w:t xml:space="preserve">35</w:t>
            </w:r>
          </w:p>
        </w:tc>
      </w:tr>
      <w:tr>
        <w:tc>
          <w:tcPr>
            <w:tcW w:w="5625" w:type="dxa"/>
          </w:tcPr>
          <w:bookmarkStart w:id="787" w:name="P787"/>
          <w:bookmarkEnd w:id="787"/>
          <w:p>
            <w:pPr>
              <w:pStyle w:val="0"/>
            </w:pPr>
            <w:r>
              <w:rPr>
                <w:sz w:val="24"/>
              </w:rPr>
              <w:t xml:space="preserve">9. Наружные установки категорий АН, БН, ГН, здания и сооружения с наличием радиоактивных, а также вредных веществ I и II классов опасности по </w:t>
            </w:r>
            <w:hyperlink w:history="0" r:id="rId82"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1133" w:type="dxa"/>
            <w:vAlign w:val="bottom"/>
          </w:tcPr>
          <w:p>
            <w:pPr>
              <w:pStyle w:val="0"/>
              <w:jc w:val="center"/>
            </w:pPr>
            <w:r>
              <w:rPr>
                <w:sz w:val="24"/>
              </w:rPr>
              <w:t xml:space="preserve">100</w:t>
            </w:r>
          </w:p>
        </w:tc>
        <w:tc>
          <w:tcPr>
            <w:tcW w:w="1133" w:type="dxa"/>
            <w:vAlign w:val="bottom"/>
          </w:tcPr>
          <w:p>
            <w:pPr>
              <w:pStyle w:val="0"/>
              <w:jc w:val="center"/>
            </w:pPr>
            <w:r>
              <w:rPr>
                <w:sz w:val="24"/>
              </w:rPr>
              <w:t xml:space="preserve">100</w:t>
            </w:r>
          </w:p>
        </w:tc>
        <w:tc>
          <w:tcPr>
            <w:tcW w:w="1142" w:type="dxa"/>
            <w:vAlign w:val="bottom"/>
          </w:tcPr>
          <w:p>
            <w:pPr>
              <w:pStyle w:val="0"/>
              <w:jc w:val="center"/>
            </w:pPr>
            <w:r>
              <w:rPr>
                <w:sz w:val="24"/>
              </w:rPr>
              <w:t xml:space="preserve">100</w:t>
            </w:r>
          </w:p>
        </w:tc>
      </w:tr>
      <w:tr>
        <w:tc>
          <w:tcPr>
            <w:tcW w:w="5625" w:type="dxa"/>
          </w:tcPr>
          <w:p>
            <w:pPr>
              <w:pStyle w:val="0"/>
            </w:pPr>
            <w:r>
              <w:rPr>
                <w:sz w:val="24"/>
              </w:rPr>
              <w:t xml:space="preserve">10. Линии электропередачи, электроподстанции (в том числе трансформаторные подстанции)</w:t>
            </w:r>
          </w:p>
        </w:tc>
        <w:tc>
          <w:tcPr>
            <w:tcW w:w="1133" w:type="dxa"/>
            <w:vAlign w:val="bottom"/>
          </w:tcPr>
          <w:p>
            <w:pPr>
              <w:pStyle w:val="0"/>
              <w:jc w:val="center"/>
            </w:pPr>
            <w:r>
              <w:rPr>
                <w:sz w:val="24"/>
              </w:rPr>
              <w:t xml:space="preserve">В соответствии с [3]</w:t>
            </w:r>
          </w:p>
        </w:tc>
        <w:tc>
          <w:tcPr>
            <w:tcW w:w="1133" w:type="dxa"/>
            <w:vAlign w:val="bottom"/>
          </w:tcPr>
          <w:p>
            <w:pPr>
              <w:pStyle w:val="0"/>
              <w:jc w:val="center"/>
            </w:pPr>
            <w:r>
              <w:rPr>
                <w:sz w:val="24"/>
              </w:rPr>
              <w:t xml:space="preserve">В соответствии с [3]</w:t>
            </w:r>
          </w:p>
        </w:tc>
        <w:tc>
          <w:tcPr>
            <w:tcW w:w="1142" w:type="dxa"/>
            <w:vAlign w:val="bottom"/>
          </w:tcPr>
          <w:p>
            <w:pPr>
              <w:pStyle w:val="0"/>
              <w:jc w:val="center"/>
            </w:pPr>
            <w:r>
              <w:rPr>
                <w:sz w:val="24"/>
              </w:rPr>
              <w:t xml:space="preserve">В соответствии с [3]</w:t>
            </w:r>
          </w:p>
        </w:tc>
      </w:tr>
      <w:tr>
        <w:tc>
          <w:tcPr>
            <w:tcW w:w="5625" w:type="dxa"/>
          </w:tcPr>
          <w:bookmarkStart w:id="795" w:name="P795"/>
          <w:bookmarkEnd w:id="795"/>
          <w:p>
            <w:pPr>
              <w:pStyle w:val="0"/>
            </w:pPr>
            <w:r>
              <w:rPr>
                <w:sz w:val="24"/>
              </w:rPr>
              <w:t xml:space="preserve">11. Склады (вне зданий) лесных материалов, торфа, волокнистых горючих веществ, сена, соломы, а также участки открытого залегания торфа</w:t>
            </w:r>
          </w:p>
        </w:tc>
        <w:tc>
          <w:tcPr>
            <w:tcW w:w="1133" w:type="dxa"/>
            <w:vAlign w:val="bottom"/>
          </w:tcPr>
          <w:p>
            <w:pPr>
              <w:pStyle w:val="0"/>
              <w:jc w:val="center"/>
            </w:pPr>
            <w:r>
              <w:rPr>
                <w:sz w:val="24"/>
              </w:rPr>
              <w:t xml:space="preserve">50</w:t>
            </w:r>
          </w:p>
        </w:tc>
        <w:tc>
          <w:tcPr>
            <w:tcW w:w="1133" w:type="dxa"/>
            <w:vAlign w:val="bottom"/>
          </w:tcPr>
          <w:p>
            <w:pPr>
              <w:pStyle w:val="0"/>
              <w:jc w:val="center"/>
            </w:pPr>
            <w:r>
              <w:rPr>
                <w:sz w:val="24"/>
              </w:rPr>
              <w:t xml:space="preserve">30</w:t>
            </w:r>
          </w:p>
        </w:tc>
        <w:tc>
          <w:tcPr>
            <w:tcW w:w="1142" w:type="dxa"/>
            <w:vAlign w:val="bottom"/>
          </w:tcPr>
          <w:p>
            <w:pPr>
              <w:pStyle w:val="0"/>
              <w:jc w:val="center"/>
            </w:pPr>
            <w:r>
              <w:rPr>
                <w:sz w:val="24"/>
              </w:rPr>
              <w:t xml:space="preserve">35</w:t>
            </w:r>
          </w:p>
        </w:tc>
      </w:tr>
      <w:tr>
        <w:tc>
          <w:tcPr>
            <w:gridSpan w:val="4"/>
            <w:tcW w:w="9033" w:type="dxa"/>
          </w:tcPr>
          <w:p>
            <w:pPr>
              <w:pStyle w:val="0"/>
              <w:ind w:firstLine="283"/>
              <w:jc w:val="both"/>
            </w:pPr>
            <w:r>
              <w:rPr>
                <w:sz w:val="24"/>
              </w:rPr>
              <w:t xml:space="preserve">Примечания</w:t>
            </w:r>
          </w:p>
          <w:p>
            <w:pPr>
              <w:pStyle w:val="0"/>
              <w:ind w:firstLine="283"/>
              <w:jc w:val="both"/>
            </w:pPr>
            <w:r>
              <w:rPr>
                <w:sz w:val="24"/>
              </w:rPr>
              <w:t xml:space="preserve">1 Расстояния от технологического оборудования с наличием КПГ, указанные в </w:t>
            </w:r>
            <w:hyperlink w:history="0" w:anchor="P735"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строках 1</w:t>
              </w:r>
            </w:hyperlink>
            <w:r>
              <w:rPr>
                <w:sz w:val="24"/>
              </w:rPr>
              <w:t xml:space="preserve">, </w:t>
            </w:r>
            <w:hyperlink w:history="0" w:anchor="P751" w:tooltip="3. Здания и сооружения классов функциональной пожарной опасности Ф1 - Ф4 (за исключением указанных в строке 1)">
              <w:r>
                <w:rPr>
                  <w:sz w:val="24"/>
                  <w:color w:val="0000ff"/>
                </w:rPr>
                <w:t xml:space="preserve">3</w:t>
              </w:r>
            </w:hyperlink>
            <w:r>
              <w:rPr>
                <w:sz w:val="24"/>
              </w:rPr>
              <w:t xml:space="preserve"> </w:t>
            </w:r>
            <w:hyperlink w:history="0" w:anchor="P759" w:tooltip="5. Индивидуальные гаражи и открытые стоянки для автомобилей">
              <w:r>
                <w:rPr>
                  <w:sz w:val="24"/>
                  <w:color w:val="0000ff"/>
                </w:rPr>
                <w:t xml:space="preserve">- 5</w:t>
              </w:r>
            </w:hyperlink>
            <w:r>
              <w:rPr>
                <w:sz w:val="24"/>
              </w:rPr>
              <w:t xml:space="preserve"> и </w:t>
            </w:r>
            <w:hyperlink w:history="0" w:anchor="P795"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допускается уменьшать не более чем на 50% при обеспечении предотвращения выброса струи природного газа при аварийном истечении и разлета осколков при физическом разрушении этого оборудования за пределы ограждения, по </w:t>
            </w:r>
            <w:hyperlink w:history="0" w:anchor="P722" w:tooltip="8.2. Территория площадки (площадок) зданий, сооружений и оборудования для приема, подготовки и хранения КПГ и/или СПГ, приема, хранения и выдачи КВ, а также территория складской площадки с резервуарами СУГ должны иметь ограждения, которые обозначают территорию, закрытую для посторонних лиц, и выполнены из негорючих материалов, не препятствующих свободному проветриванию.">
              <w:r>
                <w:rPr>
                  <w:sz w:val="24"/>
                  <w:color w:val="0000ff"/>
                </w:rPr>
                <w:t xml:space="preserve">пункту 8.2</w:t>
              </w:r>
            </w:hyperlink>
            <w:r>
              <w:rPr>
                <w:sz w:val="24"/>
              </w:rPr>
              <w:t xml:space="preserve"> настоящего свода правил, в сторону защищаемого объекта в горизонтальном направлении (подземное или заглубленное расположение, установка защитных экранов, отвечающих требованиям настоящего свода правил).</w:t>
            </w:r>
          </w:p>
          <w:p>
            <w:pPr>
              <w:pStyle w:val="0"/>
              <w:ind w:firstLine="283"/>
              <w:jc w:val="both"/>
            </w:pPr>
            <w:r>
              <w:rPr>
                <w:sz w:val="24"/>
              </w:rPr>
              <w:t xml:space="preserve">2 Расстояние от раздаточной колонки КПГ и/или СПГ до объектов, указанных в </w:t>
            </w:r>
            <w:hyperlink w:history="0" w:anchor="P735"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строках 1</w:t>
              </w:r>
            </w:hyperlink>
            <w:r>
              <w:rPr>
                <w:sz w:val="24"/>
              </w:rPr>
              <w:t xml:space="preserve">, </w:t>
            </w:r>
            <w:hyperlink w:history="0" w:anchor="P759" w:tooltip="5. Индивидуальные гаражи и открытые стоянки для автомобилей">
              <w:r>
                <w:rPr>
                  <w:sz w:val="24"/>
                  <w:color w:val="0000ff"/>
                </w:rPr>
                <w:t xml:space="preserve">5</w:t>
              </w:r>
            </w:hyperlink>
            <w:r>
              <w:rPr>
                <w:sz w:val="24"/>
              </w:rPr>
              <w:t xml:space="preserve">, </w:t>
            </w:r>
            <w:hyperlink w:history="0" w:anchor="P763" w:tooltip="6. Автомобильные дороги общей сети (край проезжей части):">
              <w:r>
                <w:rPr>
                  <w:sz w:val="24"/>
                  <w:color w:val="0000ff"/>
                </w:rPr>
                <w:t xml:space="preserve">6</w:t>
              </w:r>
            </w:hyperlink>
            <w:r>
              <w:rPr>
                <w:sz w:val="24"/>
              </w:rPr>
              <w:t xml:space="preserve"> (за исключением маршрута электрифицированного городского транспорта) и </w:t>
            </w:r>
            <w:hyperlink w:history="0" w:anchor="P795"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а также в </w:t>
            </w:r>
            <w:hyperlink w:history="0" w:anchor="P751" w:tooltip="3. Здания и сооружения классов функциональной пожарной опасности Ф1 - Ф4 (за исключением указанных в строке 1)">
              <w:r>
                <w:rPr>
                  <w:sz w:val="24"/>
                  <w:color w:val="0000ff"/>
                </w:rPr>
                <w:t xml:space="preserve">строках 3</w:t>
              </w:r>
            </w:hyperlink>
            <w:r>
              <w:rPr>
                <w:sz w:val="24"/>
              </w:rPr>
              <w:t xml:space="preserve"> и </w:t>
            </w:r>
            <w:hyperlink w:history="0" w:anchor="P755" w:tooltip="4. Места массового пребывания людей">
              <w:r>
                <w:rPr>
                  <w:sz w:val="24"/>
                  <w:color w:val="0000ff"/>
                </w:rPr>
                <w:t xml:space="preserve">4</w:t>
              </w:r>
            </w:hyperlink>
            <w:r>
              <w:rPr>
                <w:sz w:val="24"/>
              </w:rPr>
              <w:t xml:space="preserve">, допускается уменьшать не более чем на 50% при установке между заправочным островком, для которого эта колонка предназначена, и указанными объектами защитного экрана, отвечающего требованиям настоящего свода правил.</w:t>
            </w:r>
          </w:p>
          <w:p>
            <w:pPr>
              <w:pStyle w:val="0"/>
              <w:ind w:firstLine="283"/>
              <w:jc w:val="both"/>
            </w:pPr>
            <w:r>
              <w:rPr>
                <w:sz w:val="24"/>
              </w:rPr>
              <w:t xml:space="preserve">3 Расстояния от оборудования для жидкого моторного топлива, входящего в технологическую систему многотопливной АЗС, до объектов, не относящихся к многотопливной АЗС, принимаются в соответствии с требованиями, предъявляемыми к расстояниям от оборудования технологической системы АЗС жидкого моторного топлива до объектов, не относящихся к этой АЗС.</w:t>
            </w:r>
          </w:p>
          <w:p>
            <w:pPr>
              <w:pStyle w:val="0"/>
              <w:ind w:firstLine="283"/>
              <w:jc w:val="both"/>
            </w:pPr>
            <w:r>
              <w:rPr>
                <w:sz w:val="24"/>
              </w:rPr>
              <w:t xml:space="preserve">4 Минимальное расстояние от сбросной трубы паров СУГ, паров СПГ и КПГ до объектов, не относящихся к АЗС, определяется расчетом в соответствии с требованиями настоящего свода правил.</w:t>
            </w:r>
          </w:p>
          <w:p>
            <w:pPr>
              <w:pStyle w:val="0"/>
              <w:ind w:firstLine="283"/>
              <w:jc w:val="both"/>
            </w:pPr>
            <w:r>
              <w:rPr>
                <w:sz w:val="24"/>
              </w:rPr>
              <w:t xml:space="preserve">5 Расстояния от раздаточных колонок АГЗС до подземных резервуаров, технологически связанных с этой АГЗС, газонаполнительной станции или пункта допускается уменьшать, но не более чем на 50%. Остальные расстояния от АЗС до зданий, сооружений и оборудования технологически связанных с этой АЗС производственных объектов, определяются в соответствии с нормативными документами в области стандартизации, регламентирующими требования пожарной безопасности к указанным производственным объектам.</w:t>
            </w:r>
          </w:p>
        </w:tc>
      </w:tr>
    </w:tbl>
    <w:p>
      <w:pPr>
        <w:pStyle w:val="0"/>
        <w:jc w:val="both"/>
      </w:pPr>
      <w:r>
        <w:rPr>
          <w:sz w:val="24"/>
        </w:rPr>
      </w:r>
    </w:p>
    <w:bookmarkStart w:id="806" w:name="P806"/>
    <w:bookmarkEnd w:id="806"/>
    <w:p>
      <w:pPr>
        <w:pStyle w:val="0"/>
        <w:ind w:firstLine="540"/>
        <w:jc w:val="both"/>
      </w:pPr>
      <w:r>
        <w:rPr>
          <w:sz w:val="24"/>
        </w:rPr>
        <w:t xml:space="preserve">8.4. Минимальные расстояния между зданиями и сооружениями КриоАЗС и АГЗС, выполненных как самостоятельный участок многотопливной АЗС, многотопливной АЗС и АГНКС следует принимать по </w:t>
      </w:r>
      <w:hyperlink w:history="0" w:anchor="P818" w:tooltip="Таблица 6">
        <w:r>
          <w:rPr>
            <w:sz w:val="24"/>
            <w:color w:val="0000ff"/>
          </w:rPr>
          <w:t xml:space="preserve">таблице 6</w:t>
        </w:r>
      </w:hyperlink>
      <w:r>
        <w:rPr>
          <w:sz w:val="24"/>
        </w:rPr>
        <w:t xml:space="preserve"> настоящего свода правил.</w:t>
      </w:r>
    </w:p>
    <w:p>
      <w:pPr>
        <w:pStyle w:val="0"/>
        <w:spacing w:before="240" w:lineRule="auto"/>
        <w:ind w:firstLine="540"/>
        <w:jc w:val="both"/>
      </w:pPr>
      <w:r>
        <w:rPr>
          <w:sz w:val="24"/>
        </w:rPr>
        <w:t xml:space="preserve">8.5. На АЗС, размещаемой по отношению к лесным насаждениям хвойных и смешанных пород лесничеств на расстоянии менее 30 м, оборудование с наличием КПГ должно располагаться подземно, заглублено или в зданиях с пределом огнестойкости ограждающих конструкций не менее Е45.</w:t>
      </w:r>
    </w:p>
    <w:p>
      <w:pPr>
        <w:pStyle w:val="0"/>
        <w:jc w:val="both"/>
      </w:pPr>
      <w:r>
        <w:rPr>
          <w:sz w:val="24"/>
        </w:rPr>
        <w:t xml:space="preserve">(в ред. </w:t>
      </w:r>
      <w:hyperlink w:history="0" r:id="rId8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8.6. Размещение многотопливных АЗС на территории предприятий не допускается, за исключением автотранспортных предприятий (автотранспортных участков производственных предприятий), где такие АЗС используются в качестве топливозаправочных пунктов.</w:t>
      </w:r>
    </w:p>
    <w:p>
      <w:pPr>
        <w:pStyle w:val="0"/>
        <w:spacing w:before="240" w:lineRule="auto"/>
        <w:ind w:firstLine="540"/>
        <w:jc w:val="both"/>
      </w:pPr>
      <w:r>
        <w:rPr>
          <w:sz w:val="24"/>
        </w:rPr>
        <w:t xml:space="preserve">Минимальные расстояния от сооружений многотопливной АЗС, АГНКС, КриоАЗС или АГЗС с двустенными резервуарами до зданий, сооружений и наружных установок автотранспортного предприятия (автотранспортного участка производственного предприятия), на котором она размещается, следует принимать в соответствии с </w:t>
      </w:r>
      <w:hyperlink w:history="0" w:anchor="P1588" w:tooltip="СПЕЦИФИЧЕСКИЕ ТРЕБОВАНИЯ">
        <w:r>
          <w:rPr>
            <w:sz w:val="24"/>
            <w:color w:val="0000ff"/>
          </w:rPr>
          <w:t xml:space="preserve">приложением Д</w:t>
        </w:r>
      </w:hyperlink>
      <w:r>
        <w:rPr>
          <w:sz w:val="24"/>
        </w:rPr>
        <w:t xml:space="preserve"> к настоящему своду правил.</w:t>
      </w:r>
    </w:p>
    <w:p>
      <w:pPr>
        <w:pStyle w:val="0"/>
        <w:spacing w:before="240" w:lineRule="auto"/>
        <w:ind w:firstLine="540"/>
        <w:jc w:val="both"/>
      </w:pPr>
      <w:r>
        <w:rPr>
          <w:sz w:val="24"/>
        </w:rPr>
        <w:t xml:space="preserve">Минимальные расстояния от сооружений АГНСВ до зданий, сооружений и наружных установок производственного предприятия, на котором она размещается, следует принимать в соответствии с </w:t>
      </w:r>
      <w:hyperlink w:history="0" w:anchor="P2040" w:tooltip="СПЕЦИФИЧЕСКИЕ ТРЕБОВАНИЯ">
        <w:r>
          <w:rPr>
            <w:sz w:val="24"/>
            <w:color w:val="0000ff"/>
          </w:rPr>
          <w:t xml:space="preserve">приложением К</w:t>
        </w:r>
      </w:hyperlink>
      <w:r>
        <w:rPr>
          <w:sz w:val="24"/>
        </w:rPr>
        <w:t xml:space="preserve">.</w:t>
      </w:r>
    </w:p>
    <w:p>
      <w:pPr>
        <w:pStyle w:val="0"/>
        <w:jc w:val="both"/>
      </w:pPr>
      <w:r>
        <w:rPr>
          <w:sz w:val="24"/>
        </w:rPr>
        <w:t xml:space="preserve">(абзац введен </w:t>
      </w:r>
      <w:hyperlink w:history="0" r:id="rId84"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w:t>
        </w:r>
      </w:hyperlink>
      <w:r>
        <w:rPr>
          <w:sz w:val="24"/>
        </w:rPr>
        <w:t xml:space="preserve"> N 2, утв. Приказом МЧС России от 21.06.2024 N 505)</w:t>
      </w:r>
    </w:p>
    <w:p>
      <w:pPr>
        <w:pStyle w:val="0"/>
        <w:spacing w:before="240" w:lineRule="auto"/>
        <w:ind w:firstLine="540"/>
        <w:jc w:val="both"/>
      </w:pPr>
      <w:r>
        <w:rPr>
          <w:sz w:val="24"/>
        </w:rPr>
        <w:t xml:space="preserve">8.7. Сосуды с негорючим газом, находящиеся под давлением и расположенные на расстоянии менее 20 м от наземно (надземно) расположенного оборудования для топлива и площадок для АЦ, должны устанавливаться в помещениях категории В4 или Д. Допускается устанавливать указанные сосуды в шкафах из негорючих материалов, расположенных на расстоянии не менее 10 м от перечисленного оборудования.</w:t>
      </w:r>
    </w:p>
    <w:p>
      <w:pPr>
        <w:pStyle w:val="0"/>
        <w:spacing w:before="240" w:lineRule="auto"/>
        <w:ind w:firstLine="540"/>
        <w:jc w:val="both"/>
      </w:pPr>
      <w:r>
        <w:rPr>
          <w:sz w:val="24"/>
        </w:rPr>
        <w:t xml:space="preserve">При установке сосудов негорючих газов, находящихся под давлением в отдельных негорючих отсеках (шкафах), предотвращающих разлет осколков в случае разрушения указанных сосудов, расстояние от перечисленного оборудования не нормируется.</w:t>
      </w:r>
    </w:p>
    <w:p>
      <w:pPr>
        <w:pStyle w:val="0"/>
        <w:jc w:val="both"/>
      </w:pPr>
      <w:r>
        <w:rPr>
          <w:sz w:val="24"/>
        </w:rPr>
        <w:t xml:space="preserve">(абзац введен </w:t>
      </w:r>
      <w:hyperlink w:history="0" r:id="rId8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8.8. К оборудованию, в котором обращаются топливо и/или его пары, должны быть предусмотрены подъезды для передвижной пожарной техники, обеспечивающие возможность ее установки на расстоянии не менее 5 и не более 25 м от указанного оборудования.</w:t>
      </w:r>
    </w:p>
    <w:p>
      <w:pPr>
        <w:pStyle w:val="0"/>
        <w:jc w:val="both"/>
      </w:pPr>
      <w:r>
        <w:rPr>
          <w:sz w:val="24"/>
        </w:rPr>
      </w:r>
    </w:p>
    <w:bookmarkStart w:id="818" w:name="P818"/>
    <w:bookmarkEnd w:id="818"/>
    <w:p>
      <w:pPr>
        <w:pStyle w:val="2"/>
        <w:outlineLvl w:val="2"/>
        <w:jc w:val="both"/>
      </w:pPr>
      <w:r>
        <w:rPr>
          <w:sz w:val="24"/>
        </w:rPr>
        <w:t xml:space="preserve">Таблица 6</w:t>
      </w:r>
    </w:p>
    <w:p>
      <w:pPr>
        <w:pStyle w:val="0"/>
        <w:jc w:val="both"/>
      </w:pPr>
      <w:r>
        <w:rPr>
          <w:sz w:val="24"/>
        </w:rPr>
      </w:r>
    </w:p>
    <w:p>
      <w:pPr>
        <w:pStyle w:val="0"/>
        <w:jc w:val="both"/>
      </w:pPr>
      <w:r>
        <w:rPr>
          <w:sz w:val="24"/>
        </w:rPr>
        <w:t xml:space="preserve">(в ред. </w:t>
      </w:r>
      <w:hyperlink w:history="0" r:id="rId8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90"/>
        <w:gridCol w:w="447"/>
        <w:gridCol w:w="447"/>
        <w:gridCol w:w="447"/>
        <w:gridCol w:w="447"/>
        <w:gridCol w:w="447"/>
        <w:gridCol w:w="447"/>
        <w:gridCol w:w="447"/>
        <w:gridCol w:w="447"/>
        <w:gridCol w:w="447"/>
        <w:gridCol w:w="447"/>
        <w:gridCol w:w="447"/>
        <w:gridCol w:w="447"/>
        <w:gridCol w:w="447"/>
        <w:gridCol w:w="447"/>
        <w:gridCol w:w="447"/>
        <w:gridCol w:w="447"/>
        <w:gridCol w:w="456"/>
      </w:tblGrid>
      <w:tr>
        <w:tc>
          <w:tcPr>
            <w:tcW w:w="2890" w:type="dxa"/>
            <w:vMerge w:val="restart"/>
          </w:tcPr>
          <w:p>
            <w:pPr>
              <w:pStyle w:val="0"/>
              <w:jc w:val="center"/>
            </w:pPr>
            <w:r>
              <w:rPr>
                <w:sz w:val="24"/>
              </w:rPr>
              <w:t xml:space="preserve">Наименование зданий и сооружений АЗС</w:t>
            </w:r>
          </w:p>
        </w:tc>
        <w:tc>
          <w:tcPr>
            <w:gridSpan w:val="17"/>
            <w:tcW w:w="7608" w:type="dxa"/>
          </w:tcPr>
          <w:p>
            <w:pPr>
              <w:pStyle w:val="0"/>
              <w:jc w:val="center"/>
            </w:pPr>
            <w:r>
              <w:rPr>
                <w:sz w:val="24"/>
              </w:rPr>
              <w:t xml:space="preserve">Минимальное расстояние между соответствующими зданиями, сооружениями и оборудованием в порядке их записи в головке таблицы, м</w:t>
            </w:r>
          </w:p>
        </w:tc>
      </w:tr>
      <w:tr>
        <w:tc>
          <w:tcPr>
            <w:vMerge w:val="continue"/>
          </w:tcPr>
          <w:p/>
        </w:tc>
        <w:tc>
          <w:tcPr>
            <w:tcW w:w="447" w:type="dxa"/>
          </w:tcPr>
          <w:p>
            <w:pPr>
              <w:pStyle w:val="0"/>
              <w:jc w:val="center"/>
            </w:pPr>
            <w:r>
              <w:rPr>
                <w:sz w:val="24"/>
              </w:rPr>
              <w:t xml:space="preserve">1</w:t>
            </w:r>
          </w:p>
        </w:tc>
        <w:tc>
          <w:tcPr>
            <w:tcW w:w="447" w:type="dxa"/>
          </w:tcPr>
          <w:p>
            <w:pPr>
              <w:pStyle w:val="0"/>
              <w:jc w:val="center"/>
            </w:pPr>
            <w:r>
              <w:rPr>
                <w:sz w:val="24"/>
              </w:rPr>
              <w:t xml:space="preserve">2</w:t>
            </w:r>
          </w:p>
        </w:tc>
        <w:tc>
          <w:tcPr>
            <w:tcW w:w="447" w:type="dxa"/>
          </w:tcPr>
          <w:p>
            <w:pPr>
              <w:pStyle w:val="0"/>
              <w:jc w:val="center"/>
            </w:pPr>
            <w:r>
              <w:rPr>
                <w:sz w:val="24"/>
              </w:rPr>
              <w:t xml:space="preserve">3</w:t>
            </w:r>
          </w:p>
        </w:tc>
        <w:tc>
          <w:tcPr>
            <w:tcW w:w="447" w:type="dxa"/>
          </w:tcPr>
          <w:p>
            <w:pPr>
              <w:pStyle w:val="0"/>
              <w:jc w:val="center"/>
            </w:pPr>
            <w:r>
              <w:rPr>
                <w:sz w:val="24"/>
              </w:rPr>
              <w:t xml:space="preserve">4</w:t>
            </w:r>
          </w:p>
        </w:tc>
        <w:tc>
          <w:tcPr>
            <w:tcW w:w="447" w:type="dxa"/>
          </w:tcPr>
          <w:p>
            <w:pPr>
              <w:pStyle w:val="0"/>
              <w:jc w:val="center"/>
            </w:pPr>
            <w:r>
              <w:rPr>
                <w:sz w:val="24"/>
              </w:rPr>
              <w:t xml:space="preserve">5</w:t>
            </w:r>
          </w:p>
        </w:tc>
        <w:tc>
          <w:tcPr>
            <w:tcW w:w="447" w:type="dxa"/>
          </w:tcPr>
          <w:p>
            <w:pPr>
              <w:pStyle w:val="0"/>
              <w:jc w:val="center"/>
            </w:pPr>
            <w:r>
              <w:rPr>
                <w:sz w:val="24"/>
              </w:rPr>
              <w:t xml:space="preserve">6</w:t>
            </w:r>
          </w:p>
        </w:tc>
        <w:tc>
          <w:tcPr>
            <w:tcW w:w="447" w:type="dxa"/>
          </w:tcPr>
          <w:p>
            <w:pPr>
              <w:pStyle w:val="0"/>
              <w:jc w:val="center"/>
            </w:pPr>
            <w:r>
              <w:rPr>
                <w:sz w:val="24"/>
              </w:rPr>
              <w:t xml:space="preserve">7</w:t>
            </w:r>
          </w:p>
        </w:tc>
        <w:tc>
          <w:tcPr>
            <w:tcW w:w="447" w:type="dxa"/>
          </w:tcPr>
          <w:p>
            <w:pPr>
              <w:pStyle w:val="0"/>
              <w:jc w:val="center"/>
            </w:pPr>
            <w:r>
              <w:rPr>
                <w:sz w:val="24"/>
              </w:rPr>
              <w:t xml:space="preserve">8</w:t>
            </w:r>
          </w:p>
        </w:tc>
        <w:tc>
          <w:tcPr>
            <w:tcW w:w="447" w:type="dxa"/>
          </w:tcPr>
          <w:p>
            <w:pPr>
              <w:pStyle w:val="0"/>
              <w:jc w:val="center"/>
            </w:pPr>
            <w:r>
              <w:rPr>
                <w:sz w:val="24"/>
              </w:rPr>
              <w:t xml:space="preserve">9</w:t>
            </w:r>
          </w:p>
        </w:tc>
        <w:tc>
          <w:tcPr>
            <w:tcW w:w="447" w:type="dxa"/>
          </w:tcPr>
          <w:p>
            <w:pPr>
              <w:pStyle w:val="0"/>
              <w:jc w:val="center"/>
            </w:pPr>
            <w:r>
              <w:rPr>
                <w:sz w:val="24"/>
              </w:rPr>
              <w:t xml:space="preserve">10</w:t>
            </w:r>
          </w:p>
        </w:tc>
        <w:tc>
          <w:tcPr>
            <w:tcW w:w="447" w:type="dxa"/>
          </w:tcPr>
          <w:p>
            <w:pPr>
              <w:pStyle w:val="0"/>
              <w:jc w:val="center"/>
            </w:pPr>
            <w:r>
              <w:rPr>
                <w:sz w:val="24"/>
              </w:rPr>
              <w:t xml:space="preserve">11</w:t>
            </w:r>
          </w:p>
        </w:tc>
        <w:tc>
          <w:tcPr>
            <w:tcW w:w="447" w:type="dxa"/>
          </w:tcPr>
          <w:p>
            <w:pPr>
              <w:pStyle w:val="0"/>
              <w:jc w:val="center"/>
            </w:pPr>
            <w:r>
              <w:rPr>
                <w:sz w:val="24"/>
              </w:rPr>
              <w:t xml:space="preserve">12</w:t>
            </w:r>
          </w:p>
        </w:tc>
        <w:tc>
          <w:tcPr>
            <w:tcW w:w="447" w:type="dxa"/>
          </w:tcPr>
          <w:p>
            <w:pPr>
              <w:pStyle w:val="0"/>
              <w:jc w:val="center"/>
            </w:pPr>
            <w:r>
              <w:rPr>
                <w:sz w:val="24"/>
              </w:rPr>
              <w:t xml:space="preserve">13</w:t>
            </w:r>
          </w:p>
        </w:tc>
        <w:tc>
          <w:tcPr>
            <w:tcW w:w="447" w:type="dxa"/>
          </w:tcPr>
          <w:p>
            <w:pPr>
              <w:pStyle w:val="0"/>
              <w:jc w:val="center"/>
            </w:pPr>
            <w:r>
              <w:rPr>
                <w:sz w:val="24"/>
              </w:rPr>
              <w:t xml:space="preserve">14</w:t>
            </w:r>
          </w:p>
        </w:tc>
        <w:tc>
          <w:tcPr>
            <w:tcW w:w="447" w:type="dxa"/>
          </w:tcPr>
          <w:p>
            <w:pPr>
              <w:pStyle w:val="0"/>
              <w:jc w:val="center"/>
            </w:pPr>
            <w:r>
              <w:rPr>
                <w:sz w:val="24"/>
              </w:rPr>
              <w:t xml:space="preserve">15</w:t>
            </w:r>
          </w:p>
        </w:tc>
        <w:tc>
          <w:tcPr>
            <w:tcW w:w="447" w:type="dxa"/>
          </w:tcPr>
          <w:p>
            <w:pPr>
              <w:pStyle w:val="0"/>
              <w:jc w:val="center"/>
            </w:pPr>
            <w:r>
              <w:rPr>
                <w:sz w:val="24"/>
              </w:rPr>
              <w:t xml:space="preserve">16</w:t>
            </w:r>
          </w:p>
        </w:tc>
        <w:tc>
          <w:tcPr>
            <w:tcW w:w="456" w:type="dxa"/>
          </w:tcPr>
          <w:p>
            <w:pPr>
              <w:pStyle w:val="0"/>
              <w:jc w:val="center"/>
            </w:pPr>
            <w:r>
              <w:rPr>
                <w:sz w:val="24"/>
              </w:rPr>
              <w:t xml:space="preserve">17</w:t>
            </w:r>
          </w:p>
        </w:tc>
      </w:tr>
      <w:tr>
        <w:tc>
          <w:tcPr>
            <w:tcW w:w="2890" w:type="dxa"/>
          </w:tcPr>
          <w:bookmarkStart w:id="841" w:name="P841"/>
          <w:bookmarkEnd w:id="841"/>
          <w:p>
            <w:pPr>
              <w:pStyle w:val="0"/>
            </w:pPr>
            <w:r>
              <w:rPr>
                <w:sz w:val="24"/>
              </w:rPr>
              <w:t xml:space="preserve">1. Подземные резервуары хранения СУГ</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20</w:t>
            </w:r>
          </w:p>
        </w:tc>
      </w:tr>
      <w:tr>
        <w:tc>
          <w:tcPr>
            <w:tcW w:w="2890" w:type="dxa"/>
          </w:tcPr>
          <w:p>
            <w:pPr>
              <w:pStyle w:val="0"/>
            </w:pPr>
            <w:r>
              <w:rPr>
                <w:sz w:val="24"/>
              </w:rPr>
              <w:t xml:space="preserve">2. Подземные резервуары хранения жидкого моторного топлива</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56" w:type="dxa"/>
            <w:vAlign w:val="center"/>
          </w:tcPr>
          <w:p>
            <w:pPr>
              <w:pStyle w:val="0"/>
              <w:jc w:val="center"/>
            </w:pPr>
            <w:r>
              <w:rPr>
                <w:sz w:val="24"/>
              </w:rPr>
              <w:t xml:space="preserve">10</w:t>
            </w:r>
          </w:p>
        </w:tc>
      </w:tr>
      <w:tr>
        <w:tc>
          <w:tcPr>
            <w:tcW w:w="2890" w:type="dxa"/>
            <w:vAlign w:val="center"/>
          </w:tcPr>
          <w:p>
            <w:pPr>
              <w:pStyle w:val="0"/>
            </w:pPr>
            <w:r>
              <w:rPr>
                <w:sz w:val="24"/>
              </w:rPr>
              <w:t xml:space="preserve">3. Здания с оборудованием, содержащим КПГ</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25</w:t>
            </w:r>
          </w:p>
        </w:tc>
        <w:tc>
          <w:tcPr>
            <w:tcW w:w="447" w:type="dxa"/>
            <w:vAlign w:val="center"/>
          </w:tcPr>
          <w:p>
            <w:pPr>
              <w:pStyle w:val="0"/>
              <w:jc w:val="center"/>
            </w:pPr>
            <w:r>
              <w:rPr>
                <w:sz w:val="24"/>
              </w:rPr>
              <w:t xml:space="preserve">25</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56" w:type="dxa"/>
            <w:vAlign w:val="center"/>
          </w:tcPr>
          <w:p>
            <w:pPr>
              <w:pStyle w:val="0"/>
              <w:jc w:val="center"/>
            </w:pPr>
            <w:r>
              <w:rPr>
                <w:sz w:val="24"/>
              </w:rPr>
              <w:t xml:space="preserve">10</w:t>
            </w:r>
          </w:p>
        </w:tc>
      </w:tr>
      <w:tr>
        <w:tc>
          <w:tcPr>
            <w:tcW w:w="2890" w:type="dxa"/>
            <w:vAlign w:val="center"/>
          </w:tcPr>
          <w:p>
            <w:pPr>
              <w:pStyle w:val="0"/>
            </w:pPr>
            <w:r>
              <w:rPr>
                <w:sz w:val="24"/>
              </w:rPr>
              <w:t xml:space="preserve">4. Здания с оборудованием для перекачивания СУГ</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10</w:t>
            </w:r>
          </w:p>
        </w:tc>
      </w:tr>
      <w:tr>
        <w:tc>
          <w:tcPr>
            <w:tcW w:w="2890" w:type="dxa"/>
            <w:vAlign w:val="center"/>
          </w:tcPr>
          <w:p>
            <w:pPr>
              <w:pStyle w:val="0"/>
            </w:pPr>
            <w:r>
              <w:rPr>
                <w:sz w:val="24"/>
              </w:rPr>
              <w:t xml:space="preserve">5. Раздаточная колонка СУГ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56" w:type="dxa"/>
            <w:vAlign w:val="center"/>
          </w:tcPr>
          <w:p>
            <w:pPr>
              <w:pStyle w:val="0"/>
              <w:jc w:val="center"/>
            </w:pPr>
            <w:r>
              <w:rPr>
                <w:sz w:val="24"/>
              </w:rPr>
              <w:t xml:space="preserve">15</w:t>
            </w:r>
          </w:p>
        </w:tc>
      </w:tr>
      <w:tr>
        <w:tc>
          <w:tcPr>
            <w:tcW w:w="2890" w:type="dxa"/>
            <w:vAlign w:val="center"/>
          </w:tcPr>
          <w:p>
            <w:pPr>
              <w:pStyle w:val="0"/>
            </w:pPr>
            <w:r>
              <w:rPr>
                <w:sz w:val="24"/>
              </w:rPr>
              <w:t xml:space="preserve">6. Раздаточная колонка КПГ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8</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8</w:t>
            </w:r>
          </w:p>
        </w:tc>
        <w:tc>
          <w:tcPr>
            <w:tcW w:w="456" w:type="dxa"/>
            <w:vAlign w:val="center"/>
          </w:tcPr>
          <w:p>
            <w:pPr>
              <w:pStyle w:val="0"/>
              <w:jc w:val="center"/>
            </w:pPr>
            <w:r>
              <w:rPr>
                <w:sz w:val="24"/>
              </w:rPr>
              <w:t xml:space="preserve">15</w:t>
            </w:r>
          </w:p>
        </w:tc>
      </w:tr>
      <w:tr>
        <w:tc>
          <w:tcPr>
            <w:tcW w:w="2890" w:type="dxa"/>
            <w:vAlign w:val="center"/>
          </w:tcPr>
          <w:p>
            <w:pPr>
              <w:pStyle w:val="0"/>
            </w:pPr>
            <w:r>
              <w:rPr>
                <w:sz w:val="24"/>
              </w:rPr>
              <w:t xml:space="preserve">7. ТРК жидкого моторного топлива</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8</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8</w:t>
            </w:r>
          </w:p>
        </w:tc>
        <w:tc>
          <w:tcPr>
            <w:tcW w:w="456" w:type="dxa"/>
            <w:vAlign w:val="center"/>
          </w:tcPr>
          <w:p>
            <w:pPr>
              <w:pStyle w:val="0"/>
              <w:jc w:val="center"/>
            </w:pPr>
            <w:r>
              <w:rPr>
                <w:sz w:val="24"/>
              </w:rPr>
              <w:t xml:space="preserve">15</w:t>
            </w:r>
          </w:p>
        </w:tc>
      </w:tr>
      <w:tr>
        <w:tc>
          <w:tcPr>
            <w:tcW w:w="2890" w:type="dxa"/>
            <w:vAlign w:val="center"/>
          </w:tcPr>
          <w:p>
            <w:pPr>
              <w:pStyle w:val="0"/>
            </w:pPr>
            <w:r>
              <w:rPr>
                <w:sz w:val="24"/>
              </w:rPr>
              <w:t xml:space="preserve">8. Площадка для АЦ СУГ и наружные установки перекачивания СУГ</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15</w:t>
            </w:r>
          </w:p>
        </w:tc>
      </w:tr>
      <w:tr>
        <w:tc>
          <w:tcPr>
            <w:tcW w:w="2890" w:type="dxa"/>
            <w:vAlign w:val="center"/>
          </w:tcPr>
          <w:bookmarkStart w:id="985" w:name="P985"/>
          <w:bookmarkEnd w:id="985"/>
          <w:p>
            <w:pPr>
              <w:pStyle w:val="0"/>
            </w:pPr>
            <w:r>
              <w:rPr>
                <w:sz w:val="24"/>
              </w:rPr>
              <w:t xml:space="preserve">9. Наземные и надземные наружные технологические установки с КПГ</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56" w:type="dxa"/>
            <w:vAlign w:val="center"/>
          </w:tcPr>
          <w:p>
            <w:pPr>
              <w:pStyle w:val="0"/>
              <w:jc w:val="center"/>
            </w:pPr>
            <w:r>
              <w:rPr>
                <w:sz w:val="24"/>
              </w:rPr>
              <w:t xml:space="preserve">15</w:t>
            </w:r>
          </w:p>
        </w:tc>
      </w:tr>
      <w:tr>
        <w:tc>
          <w:tcPr>
            <w:tcW w:w="2890" w:type="dxa"/>
            <w:vAlign w:val="center"/>
          </w:tcPr>
          <w:p>
            <w:pPr>
              <w:pStyle w:val="0"/>
            </w:pPr>
            <w:r>
              <w:rPr>
                <w:sz w:val="24"/>
              </w:rPr>
              <w:t xml:space="preserve">10. Очистные сооружения для атмосферных осадков, загрязненных нефтепродуктами (включая приемные лотки)</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56" w:type="dxa"/>
            <w:vAlign w:val="center"/>
          </w:tcPr>
          <w:p>
            <w:pPr>
              <w:pStyle w:val="0"/>
              <w:jc w:val="center"/>
            </w:pPr>
            <w:r>
              <w:rPr>
                <w:sz w:val="24"/>
              </w:rPr>
              <w:t xml:space="preserve">15</w:t>
            </w:r>
          </w:p>
        </w:tc>
      </w:tr>
      <w:tr>
        <w:tc>
          <w:tcPr>
            <w:tcW w:w="2890" w:type="dxa"/>
            <w:vAlign w:val="center"/>
          </w:tcPr>
          <w:bookmarkStart w:id="1021" w:name="P1021"/>
          <w:bookmarkEnd w:id="1021"/>
          <w:p>
            <w:pPr>
              <w:pStyle w:val="0"/>
            </w:pPr>
            <w:r>
              <w:rPr>
                <w:sz w:val="24"/>
              </w:rPr>
              <w:t xml:space="preserve">11. Отдельно стоящее здание операторной</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56" w:type="dxa"/>
            <w:vAlign w:val="center"/>
          </w:tcPr>
          <w:p>
            <w:pPr>
              <w:pStyle w:val="0"/>
              <w:jc w:val="center"/>
            </w:pPr>
            <w:r>
              <w:rPr>
                <w:sz w:val="24"/>
              </w:rPr>
              <w:t xml:space="preserve">9</w:t>
            </w:r>
          </w:p>
        </w:tc>
      </w:tr>
      <w:tr>
        <w:tc>
          <w:tcPr>
            <w:tcW w:w="2890" w:type="dxa"/>
            <w:vAlign w:val="center"/>
          </w:tcPr>
          <w:bookmarkStart w:id="1039" w:name="P1039"/>
          <w:bookmarkEnd w:id="1039"/>
          <w:p>
            <w:pPr>
              <w:pStyle w:val="0"/>
            </w:pPr>
            <w:r>
              <w:rPr>
                <w:sz w:val="24"/>
              </w:rPr>
              <w:t xml:space="preserve">12. Здания котельной, постов технического обслуживания автомобилей на СУГ и КПГ, постов мойки автомобилей на СУГ, СПГ и КПГ.</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35</w:t>
            </w:r>
          </w:p>
        </w:tc>
      </w:tr>
      <w:tr>
        <w:tc>
          <w:tcPr>
            <w:tcW w:w="2890" w:type="dxa"/>
            <w:vAlign w:val="center"/>
          </w:tcPr>
          <w:bookmarkStart w:id="1057" w:name="P1057"/>
          <w:bookmarkEnd w:id="1057"/>
          <w:p>
            <w:pPr>
              <w:pStyle w:val="0"/>
            </w:pPr>
            <w:r>
              <w:rPr>
                <w:sz w:val="24"/>
              </w:rPr>
              <w:t xml:space="preserve">13. Здания и сооружения сервисного обслуживания водителей и пассажиров, открытые мойки автомобилей, включая работающие на СПГ, стоянка транспортных средств</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35</w:t>
            </w:r>
          </w:p>
        </w:tc>
      </w:tr>
      <w:tr>
        <w:tc>
          <w:tcPr>
            <w:tcW w:w="2890" w:type="dxa"/>
            <w:vAlign w:val="center"/>
          </w:tcPr>
          <w:bookmarkStart w:id="1075" w:name="P1075"/>
          <w:bookmarkEnd w:id="1075"/>
          <w:p>
            <w:pPr>
              <w:pStyle w:val="0"/>
            </w:pPr>
            <w:r>
              <w:rPr>
                <w:sz w:val="24"/>
              </w:rPr>
              <w:t xml:space="preserve">14. Площадка для АЦ с жидким моторным топливом</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56" w:type="dxa"/>
            <w:vAlign w:val="center"/>
          </w:tcPr>
          <w:p>
            <w:pPr>
              <w:pStyle w:val="0"/>
              <w:jc w:val="center"/>
            </w:pPr>
            <w:r>
              <w:rPr>
                <w:sz w:val="24"/>
              </w:rPr>
              <w:t xml:space="preserve">20</w:t>
            </w:r>
          </w:p>
        </w:tc>
      </w:tr>
      <w:tr>
        <w:tc>
          <w:tcPr>
            <w:tcW w:w="2890" w:type="dxa"/>
            <w:vAlign w:val="center"/>
          </w:tcPr>
          <w:bookmarkStart w:id="1093" w:name="P1093"/>
          <w:bookmarkEnd w:id="1093"/>
          <w:p>
            <w:pPr>
              <w:pStyle w:val="0"/>
            </w:pPr>
            <w:r>
              <w:rPr>
                <w:sz w:val="24"/>
              </w:rPr>
              <w:t xml:space="preserve">15. Резервуары СПГ, блоки регазификации, наземные и надземные трубопроводы СПГ и установки перекачивания СПГ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20</w:t>
            </w:r>
          </w:p>
        </w:tc>
      </w:tr>
      <w:tr>
        <w:tc>
          <w:tcPr>
            <w:tcW w:w="2890" w:type="dxa"/>
            <w:vAlign w:val="center"/>
          </w:tcPr>
          <w:p>
            <w:pPr>
              <w:pStyle w:val="0"/>
            </w:pPr>
            <w:r>
              <w:rPr>
                <w:sz w:val="24"/>
              </w:rPr>
              <w:t xml:space="preserve">16. Раздаточная колонка СПГ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8</w:t>
            </w:r>
          </w:p>
        </w:tc>
        <w:tc>
          <w:tcPr>
            <w:tcW w:w="447" w:type="dxa"/>
            <w:vAlign w:val="center"/>
          </w:tcPr>
          <w:p>
            <w:pPr>
              <w:pStyle w:val="0"/>
              <w:jc w:val="center"/>
            </w:pPr>
            <w:r>
              <w:rPr>
                <w:sz w:val="24"/>
              </w:rPr>
              <w:t xml:space="preserve">8</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56" w:type="dxa"/>
            <w:vAlign w:val="center"/>
          </w:tcPr>
          <w:p>
            <w:pPr>
              <w:pStyle w:val="0"/>
              <w:jc w:val="center"/>
            </w:pPr>
            <w:r>
              <w:rPr>
                <w:sz w:val="24"/>
              </w:rPr>
              <w:t xml:space="preserve">20</w:t>
            </w:r>
          </w:p>
        </w:tc>
      </w:tr>
      <w:tr>
        <w:tc>
          <w:tcPr>
            <w:tcW w:w="2890" w:type="dxa"/>
            <w:vAlign w:val="center"/>
          </w:tcPr>
          <w:bookmarkStart w:id="1129" w:name="P1129"/>
          <w:bookmarkEnd w:id="1129"/>
          <w:p>
            <w:pPr>
              <w:pStyle w:val="0"/>
            </w:pPr>
            <w:r>
              <w:rPr>
                <w:sz w:val="24"/>
              </w:rPr>
              <w:t xml:space="preserve">17. Площадка для АЦ СПГ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w:t>
            </w:r>
          </w:p>
        </w:tc>
      </w:tr>
      <w:tr>
        <w:tc>
          <w:tcPr>
            <w:gridSpan w:val="18"/>
            <w:tcW w:w="10498" w:type="dxa"/>
          </w:tcPr>
          <w:p>
            <w:pPr>
              <w:pStyle w:val="0"/>
              <w:ind w:firstLine="283"/>
              <w:jc w:val="both"/>
            </w:pPr>
            <w:r>
              <w:rPr>
                <w:sz w:val="24"/>
              </w:rPr>
              <w:t xml:space="preserve">Примечания</w:t>
            </w:r>
          </w:p>
          <w:p>
            <w:pPr>
              <w:pStyle w:val="0"/>
              <w:ind w:firstLine="283"/>
              <w:jc w:val="both"/>
            </w:pPr>
            <w:r>
              <w:rPr>
                <w:sz w:val="24"/>
              </w:rPr>
              <w:t xml:space="preserve">1 Расстояния, отмеченные знаком "-", не нормируются и определяются исходя из конструктивных особенностей, знаком "*" - должны быть не менее 1,5 высоты более высокого здания (сооружения), а знаком "**" - определяются по </w:t>
            </w:r>
            <w:hyperlink w:history="0" w:anchor="P391" w:tooltip="Таблица 2">
              <w:r>
                <w:rPr>
                  <w:sz w:val="24"/>
                  <w:color w:val="0000ff"/>
                </w:rPr>
                <w:t xml:space="preserve">таблице 2</w:t>
              </w:r>
            </w:hyperlink>
            <w:r>
              <w:rPr>
                <w:sz w:val="24"/>
              </w:rPr>
              <w:t xml:space="preserve">.</w:t>
            </w:r>
          </w:p>
          <w:p>
            <w:pPr>
              <w:pStyle w:val="0"/>
              <w:ind w:firstLine="283"/>
              <w:jc w:val="both"/>
            </w:pPr>
            <w:r>
              <w:rPr>
                <w:sz w:val="24"/>
              </w:rPr>
              <w:t xml:space="preserve">2 Расстояние от оборудования с КПГ до сооружений и оборудования, указанных в </w:t>
            </w:r>
            <w:hyperlink w:history="0" w:anchor="P841" w:tooltip="1. Подземные резервуары хранения СУГ">
              <w:r>
                <w:rPr>
                  <w:sz w:val="24"/>
                  <w:color w:val="0000ff"/>
                </w:rPr>
                <w:t xml:space="preserve">строках 1</w:t>
              </w:r>
            </w:hyperlink>
            <w:r>
              <w:rPr>
                <w:sz w:val="24"/>
              </w:rPr>
              <w:t xml:space="preserve"> - </w:t>
            </w:r>
            <w:hyperlink w:history="0" w:anchor="P985" w:tooltip="9. Наземные и надземные наружные технологические установки с КПГ">
              <w:r>
                <w:rPr>
                  <w:sz w:val="24"/>
                  <w:color w:val="0000ff"/>
                </w:rPr>
                <w:t xml:space="preserve">9</w:t>
              </w:r>
            </w:hyperlink>
            <w:r>
              <w:rPr>
                <w:sz w:val="24"/>
              </w:rPr>
              <w:t xml:space="preserve">, </w:t>
            </w:r>
            <w:hyperlink w:history="0" w:anchor="P1021" w:tooltip="11. Отдельно стоящее здание операторной">
              <w:r>
                <w:rPr>
                  <w:sz w:val="24"/>
                  <w:color w:val="0000ff"/>
                </w:rPr>
                <w:t xml:space="preserve">11</w:t>
              </w:r>
            </w:hyperlink>
            <w:r>
              <w:rPr>
                <w:sz w:val="24"/>
              </w:rPr>
              <w:t xml:space="preserve">, </w:t>
            </w:r>
            <w:hyperlink w:history="0" w:anchor="P1075" w:tooltip="14. Площадка для АЦ с жидким моторным топливом">
              <w:r>
                <w:rPr>
                  <w:sz w:val="24"/>
                  <w:color w:val="0000ff"/>
                </w:rPr>
                <w:t xml:space="preserve">14</w:t>
              </w:r>
            </w:hyperlink>
            <w:r>
              <w:rPr>
                <w:sz w:val="24"/>
              </w:rPr>
              <w:t xml:space="preserve"> - </w:t>
            </w:r>
            <w:hyperlink w:history="0" w:anchor="P1129" w:tooltip="17. Площадка для АЦ СПГ">
              <w:r>
                <w:rPr>
                  <w:sz w:val="24"/>
                  <w:color w:val="0000ff"/>
                </w:rPr>
                <w:t xml:space="preserve">17</w:t>
              </w:r>
            </w:hyperlink>
            <w:r>
              <w:rPr>
                <w:sz w:val="24"/>
              </w:rPr>
              <w:t xml:space="preserve">, допускается уменьшать не более чем на 50%, а в </w:t>
            </w:r>
            <w:hyperlink w:history="0" w:anchor="P1039" w:tooltip="12. Здания котельной, постов технического обслуживания автомобилей на СУГ и КПГ, постов мойки автомобилей на СУГ, СПГ и КПГ.">
              <w:r>
                <w:rPr>
                  <w:sz w:val="24"/>
                  <w:color w:val="0000ff"/>
                </w:rPr>
                <w:t xml:space="preserve">строках 12</w:t>
              </w:r>
            </w:hyperlink>
            <w:r>
              <w:rPr>
                <w:sz w:val="24"/>
              </w:rPr>
              <w:t xml:space="preserve"> и </w:t>
            </w:r>
            <w:hyperlink w:history="0" w:anchor="P1057" w:tooltip="13. Здания и сооружения сервисного обслуживания водителей и пассажиров, открытые мойки автомобилей, включая работающие на СПГ, стоянка транспортных средств">
              <w:r>
                <w:rPr>
                  <w:sz w:val="24"/>
                  <w:color w:val="0000ff"/>
                </w:rPr>
                <w:t xml:space="preserve">13</w:t>
              </w:r>
            </w:hyperlink>
            <w:r>
              <w:rPr>
                <w:sz w:val="24"/>
              </w:rPr>
              <w:t xml:space="preserve"> принимать не менее 10 м при обеспечении предотвращения выброса струи природного газа при аварийном истечении и разлета осколков при физическом разрушении этого оборудования в сторону защищаемого объекта в горизонтальном направлении (например, подземное или заглубленное расположение, установка защитных экранов, отвечающих требованиям настоящего документа). При этом расстояние до зданий должно быть не менее 1,5 высоты более высокого здания.</w:t>
            </w:r>
          </w:p>
          <w:p>
            <w:pPr>
              <w:pStyle w:val="0"/>
              <w:ind w:firstLine="283"/>
              <w:jc w:val="both"/>
            </w:pPr>
            <w:r>
              <w:rPr>
                <w:sz w:val="24"/>
              </w:rPr>
              <w:t xml:space="preserve">3 Расстояния между ТРК жидкого моторного топлива, раздаточной колонкой КПГ и/или СПГ, установленными на общем для них островке безопасности (в том числе комбинированные колонки), не нормируются при условии отделения указанного заправочного островка от остальных заправочных островков АЗС защитными экранами, отвечающими требованиям настоящего свода правил, обеспечения автоматической блокировки возможности одновременной выдачи на этом заправочном островке двух и более видов топлива, а также отсутствия на заправочном островке, на котором предусматривается заправка СПГ, приемных лотков канализационных систем.</w:t>
            </w:r>
          </w:p>
          <w:p>
            <w:pPr>
              <w:pStyle w:val="0"/>
              <w:ind w:firstLine="283"/>
              <w:jc w:val="both"/>
            </w:pPr>
            <w:r>
              <w:rPr>
                <w:sz w:val="24"/>
              </w:rPr>
              <w:t xml:space="preserve">4 Расстояние от раздаточной колонки КПГ и/или СПГ до сооружений и оборудования, указанных в </w:t>
            </w:r>
            <w:hyperlink w:history="0" w:anchor="P841" w:tooltip="1. Подземные резервуары хранения СУГ">
              <w:r>
                <w:rPr>
                  <w:sz w:val="24"/>
                  <w:color w:val="0000ff"/>
                </w:rPr>
                <w:t xml:space="preserve">строках 1</w:t>
              </w:r>
            </w:hyperlink>
            <w:r>
              <w:rPr>
                <w:sz w:val="24"/>
              </w:rPr>
              <w:t xml:space="preserve"> - </w:t>
            </w:r>
            <w:hyperlink w:history="0" w:anchor="P985" w:tooltip="9. Наземные и надземные наружные технологические установки с КПГ">
              <w:r>
                <w:rPr>
                  <w:sz w:val="24"/>
                  <w:color w:val="0000ff"/>
                </w:rPr>
                <w:t xml:space="preserve">9</w:t>
              </w:r>
            </w:hyperlink>
            <w:r>
              <w:rPr>
                <w:sz w:val="24"/>
              </w:rPr>
              <w:t xml:space="preserve">, </w:t>
            </w:r>
            <w:hyperlink w:history="0" w:anchor="P1021" w:tooltip="11. Отдельно стоящее здание операторной">
              <w:r>
                <w:rPr>
                  <w:sz w:val="24"/>
                  <w:color w:val="0000ff"/>
                </w:rPr>
                <w:t xml:space="preserve">11</w:t>
              </w:r>
            </w:hyperlink>
            <w:r>
              <w:rPr>
                <w:sz w:val="24"/>
              </w:rPr>
              <w:t xml:space="preserve">, </w:t>
            </w:r>
            <w:hyperlink w:history="0" w:anchor="P1075" w:tooltip="14. Площадка для АЦ с жидким моторным топливом">
              <w:r>
                <w:rPr>
                  <w:sz w:val="24"/>
                  <w:color w:val="0000ff"/>
                </w:rPr>
                <w:t xml:space="preserve">14</w:t>
              </w:r>
            </w:hyperlink>
            <w:r>
              <w:rPr>
                <w:sz w:val="24"/>
              </w:rPr>
              <w:t xml:space="preserve"> - </w:t>
            </w:r>
            <w:hyperlink w:history="0" w:anchor="P1129" w:tooltip="17. Площадка для АЦ СПГ">
              <w:r>
                <w:rPr>
                  <w:sz w:val="24"/>
                  <w:color w:val="0000ff"/>
                </w:rPr>
                <w:t xml:space="preserve">17</w:t>
              </w:r>
            </w:hyperlink>
            <w:r>
              <w:rPr>
                <w:sz w:val="24"/>
              </w:rPr>
              <w:t xml:space="preserve">, допускается уменьшать не более чем на 50% (но не менее 4 м), а в </w:t>
            </w:r>
            <w:hyperlink w:history="0" w:anchor="P1039" w:tooltip="12. Здания котельной, постов технического обслуживания автомобилей на СУГ и КПГ, постов мойки автомобилей на СУГ, СПГ и КПГ.">
              <w:r>
                <w:rPr>
                  <w:sz w:val="24"/>
                  <w:color w:val="0000ff"/>
                </w:rPr>
                <w:t xml:space="preserve">строках 12</w:t>
              </w:r>
            </w:hyperlink>
            <w:r>
              <w:rPr>
                <w:sz w:val="24"/>
              </w:rPr>
              <w:t xml:space="preserve"> и </w:t>
            </w:r>
            <w:hyperlink w:history="0" w:anchor="P1057" w:tooltip="13. Здания и сооружения сервисного обслуживания водителей и пассажиров, открытые мойки автомобилей, включая работающие на СПГ, стоянка транспортных средств">
              <w:r>
                <w:rPr>
                  <w:sz w:val="24"/>
                  <w:color w:val="0000ff"/>
                </w:rPr>
                <w:t xml:space="preserve">13</w:t>
              </w:r>
            </w:hyperlink>
            <w:r>
              <w:rPr>
                <w:sz w:val="24"/>
              </w:rPr>
              <w:t xml:space="preserve"> - принимать не менее 10 м при отделении заправочного островка, для которого эта колонка предназначена, от указанных зданий, сооружений и оборудования защитными экранами, отвечающими требованиям настоящего свода правил.</w:t>
            </w:r>
          </w:p>
          <w:p>
            <w:pPr>
              <w:pStyle w:val="0"/>
              <w:ind w:firstLine="283"/>
              <w:jc w:val="both"/>
            </w:pPr>
            <w:r>
              <w:rPr>
                <w:sz w:val="24"/>
              </w:rPr>
              <w:t xml:space="preserve">5 Расстояния от сооружений и оборудования, указанных в </w:t>
            </w:r>
            <w:hyperlink w:history="0" w:anchor="P1093" w:tooltip="15. Резервуары СПГ, блоки регазификации, наземные и надземные трубопроводы СПГ и установки перекачивания СПГ">
              <w:r>
                <w:rPr>
                  <w:sz w:val="24"/>
                  <w:color w:val="0000ff"/>
                </w:rPr>
                <w:t xml:space="preserve">строках 15</w:t>
              </w:r>
            </w:hyperlink>
            <w:r>
              <w:rPr>
                <w:sz w:val="24"/>
              </w:rPr>
              <w:t xml:space="preserve"> и </w:t>
            </w:r>
            <w:hyperlink w:history="0" w:anchor="P1129" w:tooltip="17. Площадка для АЦ СПГ">
              <w:r>
                <w:rPr>
                  <w:sz w:val="24"/>
                  <w:color w:val="0000ff"/>
                </w:rPr>
                <w:t xml:space="preserve">17</w:t>
              </w:r>
            </w:hyperlink>
            <w:r>
              <w:rPr>
                <w:sz w:val="24"/>
              </w:rPr>
              <w:t xml:space="preserve">, до зданий, указанных в </w:t>
            </w:r>
            <w:hyperlink w:history="0" w:anchor="P1039" w:tooltip="12. Здания котельной, постов технического обслуживания автомобилей на СУГ и КПГ, постов мойки автомобилей на СУГ, СПГ и КПГ.">
              <w:r>
                <w:rPr>
                  <w:sz w:val="24"/>
                  <w:color w:val="0000ff"/>
                </w:rPr>
                <w:t xml:space="preserve">строках 12</w:t>
              </w:r>
            </w:hyperlink>
            <w:r>
              <w:rPr>
                <w:sz w:val="24"/>
              </w:rPr>
              <w:t xml:space="preserve"> и </w:t>
            </w:r>
            <w:hyperlink w:history="0" w:anchor="P1057" w:tooltip="13. Здания и сооружения сервисного обслуживания водителей и пассажиров, открытые мойки автомобилей, включая работающие на СПГ, стоянка транспортных средств">
              <w:r>
                <w:rPr>
                  <w:sz w:val="24"/>
                  <w:color w:val="0000ff"/>
                </w:rPr>
                <w:t xml:space="preserve">13</w:t>
              </w:r>
            </w:hyperlink>
            <w:r>
              <w:rPr>
                <w:sz w:val="24"/>
              </w:rPr>
              <w:t xml:space="preserve"> (за исключением расстояний до дымовой трубы котельной), допускается уменьшать не более чем на 50% при условии, если степень огнестойкости указанных зданий I или II, класс конструктивной пожарной опасности С0, С1, а стена, обращенная в сторону резервуаров СПГ и блоков регазификации - противопожарная 1 типа.</w:t>
            </w:r>
          </w:p>
          <w:p>
            <w:pPr>
              <w:pStyle w:val="0"/>
              <w:ind w:firstLine="283"/>
              <w:jc w:val="both"/>
            </w:pPr>
            <w:r>
              <w:rPr>
                <w:sz w:val="24"/>
              </w:rPr>
              <w:t xml:space="preserve">6 Расстояния от котельной АЗС с использованием электрокотла определяются как от отдельно стоящего здания операторной АЗС. Расстояния от котельной, пристроенной к зданию иного назначения, до остальных зданий, а также до сооружений и оборудования АЗС определяются по </w:t>
            </w:r>
            <w:hyperlink w:history="0" w:anchor="P818" w:tooltip="Таблица 6">
              <w:r>
                <w:rPr>
                  <w:sz w:val="24"/>
                  <w:color w:val="0000ff"/>
                </w:rPr>
                <w:t xml:space="preserve">таблице 6</w:t>
              </w:r>
            </w:hyperlink>
            <w:r>
              <w:rPr>
                <w:sz w:val="24"/>
              </w:rPr>
              <w:t xml:space="preserve"> как от отдельно стоящего здания котельной. Расстояния от котельной АЗС с использованием котла на дизельном топливе до зданий, сооружений и оборудования, указанных в </w:t>
            </w:r>
            <w:hyperlink w:history="0" w:anchor="P391" w:tooltip="Таблица 2">
              <w:r>
                <w:rPr>
                  <w:sz w:val="24"/>
                  <w:color w:val="0000ff"/>
                </w:rPr>
                <w:t xml:space="preserve">таблице 2</w:t>
              </w:r>
            </w:hyperlink>
            <w:r>
              <w:rPr>
                <w:sz w:val="24"/>
              </w:rPr>
              <w:t xml:space="preserve">, следует определять по </w:t>
            </w:r>
            <w:hyperlink w:history="0" w:anchor="P391" w:tooltip="Таблица 2">
              <w:r>
                <w:rPr>
                  <w:sz w:val="24"/>
                  <w:color w:val="0000ff"/>
                </w:rPr>
                <w:t xml:space="preserve">таблице 2</w:t>
              </w:r>
            </w:hyperlink>
            <w:r>
              <w:rPr>
                <w:sz w:val="24"/>
              </w:rPr>
              <w:t xml:space="preserve">, а до остальных зданий, сооружений и оборудования - допускается уменьшать (за исключением расстояний до дымовой трубы котельной) не более чем на 50%.</w:t>
            </w:r>
          </w:p>
          <w:p>
            <w:pPr>
              <w:pStyle w:val="0"/>
              <w:ind w:firstLine="283"/>
              <w:jc w:val="both"/>
            </w:pPr>
            <w:r>
              <w:rPr>
                <w:sz w:val="24"/>
              </w:rPr>
              <w:t xml:space="preserve">7 При сокращении расстояний между котельной, работающей на дизельном топливе или на природном газе, и оборудованием с горючими газами (природный газ, СПГ, СУГ) под избыточным давлением, минимальное расстояние между дымовой трубой котельной до указанного оборудования следует определять расчетом в соответствии с требованиями настоящего свода правил.</w:t>
            </w:r>
          </w:p>
          <w:p>
            <w:pPr>
              <w:pStyle w:val="0"/>
              <w:ind w:firstLine="283"/>
              <w:jc w:val="both"/>
            </w:pPr>
            <w:r>
              <w:rPr>
                <w:sz w:val="24"/>
              </w:rPr>
              <w:t xml:space="preserve">8 Минимальное расстояние от сбросных труб КПГ, паров СПГ и паров СУГ до зданий и сооружений АЗС определяется расчетом в соответствии с требованиями настоящего свода правил.</w:t>
            </w:r>
          </w:p>
          <w:p>
            <w:pPr>
              <w:pStyle w:val="0"/>
              <w:ind w:firstLine="283"/>
              <w:jc w:val="both"/>
            </w:pPr>
            <w:r>
              <w:rPr>
                <w:sz w:val="24"/>
              </w:rPr>
              <w:t xml:space="preserve">9 Расстояния от сооружений и оборудования, указанных в строке 15, до площадки для АЦ СПГ допускается принимать не менее 4 м в случае применения только АЦ, транспортные емкости (сосуды) которых отвечают требованиям к двухоболочечным резервуарам СПГ.</w:t>
            </w:r>
          </w:p>
          <w:p>
            <w:pPr>
              <w:pStyle w:val="0"/>
              <w:ind w:firstLine="283"/>
              <w:jc w:val="both"/>
            </w:pPr>
            <w:r>
              <w:rPr>
                <w:sz w:val="24"/>
              </w:rPr>
              <w:t xml:space="preserve">10 На АГНКС и КриоАЗС расстояния от оборудования с КПГ, горизонтального двухоболочечного резервуара СПГ, отвечающего требованиям </w:t>
            </w:r>
            <w:hyperlink w:history="0" w:anchor="P203"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
              <w:r>
                <w:rPr>
                  <w:sz w:val="24"/>
                  <w:color w:val="0000ff"/>
                </w:rPr>
                <w:t xml:space="preserve">п. 6.6</w:t>
              </w:r>
            </w:hyperlink>
            <w:r>
              <w:rPr>
                <w:sz w:val="24"/>
              </w:rPr>
              <w:t xml:space="preserve"> настоящего свода правил, блока регазификации, установки перекачивания СПГ наземных и надземных трубопроводов СПГ до раздаточной колонки КПГ, СПГ или двухтопливной раздаточной колонки (СПГ/КПГ) не нормируются при условии отсутствия на территории станции зданий и сооружений сервисного обслуживания (присутствие пассажиров на территории АЗС не допускается), наличия только одного резервуара СПГ (для КриоАЗС) и одного заправочного островка, отделения заправочного островка и участков въезда (выезда) на (с) него заправляемых транспортных средств от указанного оборудования защитными экранами, отвечающими требованиям настоящего свода правил.</w:t>
            </w:r>
          </w:p>
        </w:tc>
      </w:tr>
    </w:tbl>
    <w:p>
      <w:pPr>
        <w:sectPr>
          <w:headerReference w:type="default" r:id="rId71"/>
          <w:headerReference w:type="first" r:id="rId71"/>
          <w:footerReference w:type="default" r:id="rId72"/>
          <w:footerReference w:type="first" r:id="rId72"/>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8.9. Раскрытие легкосбрасываемых конструкций помещений категории А не должно приводить к повреждению зданий, сооружений и технологического оборудования.</w:t>
      </w:r>
    </w:p>
    <w:p>
      <w:pPr>
        <w:pStyle w:val="0"/>
        <w:spacing w:before="240" w:lineRule="auto"/>
        <w:ind w:firstLine="540"/>
        <w:jc w:val="both"/>
      </w:pPr>
      <w:r>
        <w:rPr>
          <w:sz w:val="24"/>
        </w:rPr>
        <w:t xml:space="preserve">8.10. Котельные, работающие на природном газе, должны размещаться в отдельно стоящем здании. Указанные котельные допускается пристраивать к отдельно стоящим зданиям I или II степени огнестойкости классов С0, С1, предназначенным для персонала АЗС или мойки транспортных средств при отсутствии в смежных с ним помещениях оборудования, применяемого в системах противоаварийной и противопожарной защиты технологической системы АЗС.</w:t>
      </w:r>
    </w:p>
    <w:p>
      <w:pPr>
        <w:pStyle w:val="0"/>
        <w:spacing w:before="240" w:lineRule="auto"/>
        <w:ind w:firstLine="540"/>
        <w:jc w:val="both"/>
      </w:pPr>
      <w:r>
        <w:rPr>
          <w:sz w:val="24"/>
        </w:rPr>
        <w:t xml:space="preserve">8.11. Устройство навесов с непроветриваемыми объемами (пазухами, карманами) над оборудованием с КПГ и/или СПГ, включая общий навес над площадками заправочных островков, на которых, помимо заправки автомобилей бензином, дизельным топливом, или СУГ, осуществляется заправка КПГ и/или СПГ, не допускается.</w:t>
      </w:r>
    </w:p>
    <w:p>
      <w:pPr>
        <w:pStyle w:val="0"/>
        <w:jc w:val="both"/>
      </w:pPr>
      <w:r>
        <w:rPr>
          <w:sz w:val="24"/>
        </w:rPr>
        <w:t xml:space="preserve">(в ред. </w:t>
      </w:r>
      <w:hyperlink w:history="0" r:id="rId8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1163" w:name="P1163"/>
    <w:bookmarkEnd w:id="1163"/>
    <w:p>
      <w:pPr>
        <w:pStyle w:val="0"/>
        <w:spacing w:before="240" w:lineRule="auto"/>
        <w:ind w:firstLine="540"/>
        <w:jc w:val="both"/>
      </w:pPr>
      <w:r>
        <w:rPr>
          <w:sz w:val="24"/>
        </w:rPr>
        <w:t xml:space="preserve">8.12. Сбросные трубы КПГ, паров СУГ и паров СПГ должны иметь высоту, диаметр, конструкцию и расположение, исключающие образование взрывоопасных смесей в зоне размещения объектов, не относящихся к АЗС, а также в зоне выпуска дымовых газов котельной АЗС, технологического оборудования, зданий, сооружений АЗС и в местах возможного пребывания водителей и пассажиров транспортных средств.</w:t>
      </w:r>
    </w:p>
    <w:p>
      <w:pPr>
        <w:pStyle w:val="0"/>
        <w:spacing w:before="240" w:lineRule="auto"/>
        <w:ind w:firstLine="540"/>
        <w:jc w:val="both"/>
      </w:pPr>
      <w:r>
        <w:rPr>
          <w:sz w:val="24"/>
        </w:rPr>
        <w:t xml:space="preserve">Сбросные трубы КПГ, паров СУГ и паров СПГ должны располагаться вертикально с организацией выброса газа (паров) вверх.</w:t>
      </w:r>
    </w:p>
    <w:p>
      <w:pPr>
        <w:pStyle w:val="0"/>
        <w:spacing w:before="240" w:lineRule="auto"/>
        <w:ind w:firstLine="540"/>
        <w:jc w:val="both"/>
      </w:pPr>
      <w:r>
        <w:rPr>
          <w:sz w:val="24"/>
        </w:rPr>
        <w:t xml:space="preserve">При необходимости сброса продувочных газов, а также природного газа (паров СПГ) или паров СУГ (при возникновении пожароопасной ситуации или пожара) из оборудования (за исключением резервуаров СУГ) технологической системы и газобаллонного оборудования транспортных средств в атмосферу конструкция технологической системы многотопливной АЗС, АГЗС, КриоАЗС или АГНКС должна предусматривать возможность его осуществления только через сбросные трубы.</w:t>
      </w:r>
    </w:p>
    <w:p>
      <w:pPr>
        <w:pStyle w:val="0"/>
        <w:spacing w:before="240" w:lineRule="auto"/>
        <w:ind w:firstLine="540"/>
        <w:jc w:val="both"/>
      </w:pPr>
      <w:r>
        <w:rPr>
          <w:sz w:val="24"/>
        </w:rPr>
        <w:t xml:space="preserve">8.13. Допускается предусматривать сброс паров СПГ из резервуара хранения СПГ (в том числе из его межстенного пространства) через предохранительные клапаны, установленные наверху этого резервуара, при условии выполнения требований настоящего свода правил, предъявляемых к условиям сброса паров СПГ через сбросные трубы технологической системы АЗС.</w:t>
      </w:r>
    </w:p>
    <w:p>
      <w:pPr>
        <w:pStyle w:val="0"/>
        <w:spacing w:before="240" w:lineRule="auto"/>
        <w:ind w:firstLine="540"/>
        <w:jc w:val="both"/>
      </w:pPr>
      <w:r>
        <w:rPr>
          <w:sz w:val="24"/>
        </w:rPr>
        <w:t xml:space="preserve">8.14. На одном заправочном островке СУГ, СПГ или КПГ должна предусматриваться единовременная заправка только одного автомобиля.</w:t>
      </w:r>
    </w:p>
    <w:p>
      <w:pPr>
        <w:pStyle w:val="0"/>
        <w:jc w:val="both"/>
      </w:pPr>
      <w:r>
        <w:rPr>
          <w:sz w:val="24"/>
        </w:rPr>
        <w:t xml:space="preserve">(в ред. </w:t>
      </w:r>
      <w:hyperlink w:history="0" r:id="rId8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Устройство и оснащение заправочных островков для СУГ, СПГ, бензина и дизельного топлива должны исключать возможность перетекания аварийных проливов топлива от островка к островку.</w:t>
      </w:r>
    </w:p>
    <w:p>
      <w:pPr>
        <w:pStyle w:val="0"/>
        <w:jc w:val="both"/>
      </w:pPr>
      <w:r>
        <w:rPr>
          <w:sz w:val="24"/>
        </w:rPr>
        <w:t xml:space="preserve">(в ред. </w:t>
      </w:r>
      <w:hyperlink w:history="0" r:id="rId8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8.15. Между заправочными островками с СУГ, а также между ними и заправочными островками с другими видами топлива следует устраивать экраны из негорючего материала высотой не менее 2 м. Ширина экранов должна превышать не менее чем на 0,5 м в обе стороны длину заправочного островка.</w:t>
      </w:r>
    </w:p>
    <w:p>
      <w:pPr>
        <w:pStyle w:val="0"/>
        <w:spacing w:before="240" w:lineRule="auto"/>
        <w:ind w:firstLine="540"/>
        <w:jc w:val="both"/>
      </w:pPr>
      <w:r>
        <w:rPr>
          <w:sz w:val="24"/>
        </w:rPr>
        <w:t xml:space="preserve">Допускается не устанавливать экраны между заправочным островком с СУГ и заправочными островками с другими видами топлива при расстоянии между ними более 10 м.</w:t>
      </w:r>
    </w:p>
    <w:bookmarkStart w:id="1173" w:name="P1173"/>
    <w:bookmarkEnd w:id="1173"/>
    <w:p>
      <w:pPr>
        <w:pStyle w:val="0"/>
        <w:spacing w:before="240" w:lineRule="auto"/>
        <w:ind w:firstLine="540"/>
        <w:jc w:val="both"/>
      </w:pPr>
      <w:r>
        <w:rPr>
          <w:sz w:val="24"/>
        </w:rPr>
        <w:t xml:space="preserve">8.16. Защитные экраны, предусматриваемые с целью сокращения расстояний в соответствии с </w:t>
      </w:r>
      <w:hyperlink w:history="0" w:anchor="P724" w:tooltip="8.3. Минимальные расстояния от КриоАЗС и АГЗС, выполненных как самостоятельный участок многотопливной АЗС, многотопливной АЗС и АГНКС до объектов, к ним не относящихся, принимаются в соответствии с таблицей 5.">
        <w:r>
          <w:rPr>
            <w:sz w:val="24"/>
            <w:color w:val="0000ff"/>
          </w:rPr>
          <w:t xml:space="preserve">пунктами 8.3</w:t>
        </w:r>
      </w:hyperlink>
      <w:r>
        <w:rPr>
          <w:sz w:val="24"/>
        </w:rPr>
        <w:t xml:space="preserve"> и </w:t>
      </w:r>
      <w:hyperlink w:history="0" w:anchor="P806" w:tooltip="8.4. Минимальные расстояния между зданиями и сооружениями КриоАЗС и АГЗС, выполненных как самостоятельный участок многотопливной АЗС, многотопливной АЗС и АГНКС следует принимать по таблице 6 настоящего свода правил.">
        <w:r>
          <w:rPr>
            <w:sz w:val="24"/>
            <w:color w:val="0000ff"/>
          </w:rPr>
          <w:t xml:space="preserve">8.4</w:t>
        </w:r>
      </w:hyperlink>
      <w:r>
        <w:rPr>
          <w:sz w:val="24"/>
        </w:rPr>
        <w:t xml:space="preserve"> настоящего свода правил, должны обеспечивать предотвращение выброса струи природного газа при аварийной разгерметизации оборудования и разлета осколков при физическом разрушении этого оборудования в сторону защищаемого объекта в горизонтальном направлении.</w:t>
      </w:r>
    </w:p>
    <w:p>
      <w:pPr>
        <w:pStyle w:val="0"/>
        <w:spacing w:before="240" w:lineRule="auto"/>
        <w:ind w:firstLine="540"/>
        <w:jc w:val="both"/>
      </w:pPr>
      <w:r>
        <w:rPr>
          <w:sz w:val="24"/>
        </w:rPr>
        <w:t xml:space="preserve">В случае если стена здания (сооружения) с указанным оборудованием, обращенная в сторону защищаемого объекта, соответствует требованиям к защитному экрану, дополнительный защитный экран снаружи этого здания (сооружения) допускается не предусматривать.</w:t>
      </w:r>
    </w:p>
    <w:p>
      <w:pPr>
        <w:pStyle w:val="0"/>
        <w:spacing w:before="240" w:lineRule="auto"/>
        <w:ind w:firstLine="540"/>
        <w:jc w:val="both"/>
      </w:pPr>
      <w:r>
        <w:rPr>
          <w:sz w:val="24"/>
        </w:rPr>
        <w:t xml:space="preserve">При установке защитного экрана в местах, предусматриваемых для прохода людей, следует обеспечить (с учетом размещаемого оборудования, зданий, сооружений и возможного нахождения транспортного средства) ширину прохода на путях эвакуации не менее 1,2 м, в остальных случаях - не менее 1 м.</w:t>
      </w:r>
    </w:p>
    <w:p>
      <w:pPr>
        <w:pStyle w:val="0"/>
        <w:spacing w:before="240" w:lineRule="auto"/>
        <w:ind w:firstLine="540"/>
        <w:jc w:val="both"/>
      </w:pPr>
      <w:r>
        <w:rPr>
          <w:sz w:val="24"/>
        </w:rPr>
        <w:t xml:space="preserve">Пример - Указанное требование допускается выполнять следующим образом.</w:t>
      </w:r>
    </w:p>
    <w:p>
      <w:pPr>
        <w:pStyle w:val="0"/>
        <w:spacing w:before="240" w:lineRule="auto"/>
        <w:ind w:firstLine="540"/>
        <w:jc w:val="both"/>
      </w:pPr>
      <w:r>
        <w:rPr>
          <w:sz w:val="24"/>
        </w:rPr>
        <w:t xml:space="preserve">Экран изготавливается из железобетона толщиной не менее 150 мм. Несущие конструкции экрана имеют предел огнестойкости не менее R45. Габариты экрана превышают габариты здания, сооружения и оборудования с КПГ и/или СПГ (для которого этот экран предусматривается) не менее чем на 0,5 м во все стороны. При этом ширина защитного экрана, предусматриваемого для заправочного островка, превышает не менее чем на 0,5 м в обе стороны длину заправочного островка, а высота - не менее чем на 0,5 м высоту заправляемых транспортных средств, предусматриваемых проектом АЗС.</w:t>
      </w:r>
    </w:p>
    <w:p>
      <w:pPr>
        <w:pStyle w:val="0"/>
        <w:spacing w:before="240" w:lineRule="auto"/>
        <w:ind w:firstLine="540"/>
        <w:jc w:val="both"/>
      </w:pPr>
      <w:r>
        <w:rPr>
          <w:sz w:val="24"/>
        </w:rPr>
        <w:t xml:space="preserve">8.17. При проектировании многотопливных АЗС не допускается предусматривать:</w:t>
      </w:r>
    </w:p>
    <w:p>
      <w:pPr>
        <w:pStyle w:val="0"/>
        <w:spacing w:before="240" w:lineRule="auto"/>
        <w:ind w:firstLine="540"/>
        <w:jc w:val="both"/>
      </w:pPr>
      <w:r>
        <w:rPr>
          <w:sz w:val="24"/>
        </w:rPr>
        <w:t xml:space="preserve">одновременное нахождение на АЗС двух АЦ и более;</w:t>
      </w:r>
    </w:p>
    <w:p>
      <w:pPr>
        <w:pStyle w:val="0"/>
        <w:spacing w:before="240" w:lineRule="auto"/>
        <w:ind w:firstLine="540"/>
        <w:jc w:val="both"/>
      </w:pPr>
      <w:r>
        <w:rPr>
          <w:sz w:val="24"/>
        </w:rPr>
        <w:t xml:space="preserve">доставку СПГ АЦ, транспортные емкости (сосуды) которых не имеют вакуумной изоляции;</w:t>
      </w:r>
    </w:p>
    <w:p>
      <w:pPr>
        <w:pStyle w:val="0"/>
        <w:spacing w:before="240" w:lineRule="auto"/>
        <w:ind w:firstLine="540"/>
        <w:jc w:val="both"/>
      </w:pPr>
      <w:r>
        <w:rPr>
          <w:sz w:val="24"/>
        </w:rPr>
        <w:t xml:space="preserve">наполнение резервуаров жидким моторным топливом, СПГ или СУГ без приостановки работы АЗС (нахождение лиц не из числа персонала АЗС и экипажа АЦ на территории АЗС не допускается).</w:t>
      </w:r>
    </w:p>
    <w:bookmarkStart w:id="1182" w:name="P1182"/>
    <w:bookmarkEnd w:id="1182"/>
    <w:p>
      <w:pPr>
        <w:pStyle w:val="0"/>
        <w:spacing w:before="240" w:lineRule="auto"/>
        <w:ind w:firstLine="540"/>
        <w:jc w:val="both"/>
      </w:pPr>
      <w:r>
        <w:rPr>
          <w:sz w:val="24"/>
        </w:rPr>
        <w:t xml:space="preserve">8.18. Следует обеспечить предотвращение растекания пролива жидкой фазы СУГ и СПГ за границы площадки АЦ и образования взрывоопасных смесей за пределами АЗС за счет испарения СУГ и СПГ с поверхности указанного пролива.</w:t>
      </w:r>
    </w:p>
    <w:p>
      <w:pPr>
        <w:pStyle w:val="0"/>
        <w:spacing w:before="240" w:lineRule="auto"/>
        <w:ind w:firstLine="540"/>
        <w:jc w:val="both"/>
      </w:pPr>
      <w:r>
        <w:rPr>
          <w:sz w:val="24"/>
        </w:rPr>
        <w:t xml:space="preserve">Пример - указанное требование допускается выполнять следующими способами:</w:t>
      </w:r>
    </w:p>
    <w:p>
      <w:pPr>
        <w:pStyle w:val="0"/>
        <w:jc w:val="both"/>
      </w:pPr>
      <w:r>
        <w:rPr>
          <w:sz w:val="24"/>
        </w:rPr>
        <w:t xml:space="preserve">(в ред. </w:t>
      </w:r>
      <w:hyperlink w:history="0" r:id="rId9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1) Предусматривать применение только АЦ СУГ и СПГ с дистанционным (из помещения операторной АЗС) и автоматическим (при срабатывании датчика обнаружения утечки на площадке АЦ) управлением закрытием устройства по </w:t>
      </w:r>
      <w:hyperlink w:history="0" w:anchor="P258" w:tooltip="6.30. На АЗС применение АЦ для транспортировки топлива, не отвечающих требованиям [1], а также АЦ для транспортировки жидкого моторного топлива, не отвечающих требованиям ГОСТ Р 33666, не допускается.">
        <w:r>
          <w:rPr>
            <w:sz w:val="24"/>
            <w:color w:val="0000ff"/>
          </w:rPr>
          <w:t xml:space="preserve">пункту 6.30</w:t>
        </w:r>
      </w:hyperlink>
      <w:r>
        <w:rPr>
          <w:sz w:val="24"/>
        </w:rPr>
        <w:t xml:space="preserve"> настоящего свода правил.</w:t>
      </w:r>
    </w:p>
    <w:p>
      <w:pPr>
        <w:pStyle w:val="0"/>
        <w:jc w:val="both"/>
      </w:pPr>
      <w:r>
        <w:rPr>
          <w:sz w:val="24"/>
        </w:rPr>
        <w:t xml:space="preserve">(в ред. </w:t>
      </w:r>
      <w:hyperlink w:history="0" r:id="rId9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2) Предусматривать применение только АЦ СПГ с автоматической (при отсутствии сигнала контроля слива) остановкой выдачи СПГ из АЦ. Сигнал контроля слива должен подаваться непрерывно либо периодически (с промежутками не более трех минут) находящимся на площадке слива лицом, отвечающим за контроль слива СПГ. Площадка слива должна быть оснащена датчиком обнаружения утечки, при срабатывании которого происходит закрытие устройства слива по </w:t>
      </w:r>
      <w:hyperlink w:history="0" w:anchor="P258" w:tooltip="6.30. На АЗС применение АЦ для транспортировки топлива, не отвечающих требованиям [1], а также АЦ для транспортировки жидкого моторного топлива, не отвечающих требованиям ГОСТ Р 33666, не допускается.">
        <w:r>
          <w:rPr>
            <w:sz w:val="24"/>
            <w:color w:val="0000ff"/>
          </w:rPr>
          <w:t xml:space="preserve">пункту 6.30</w:t>
        </w:r>
      </w:hyperlink>
      <w:r>
        <w:rPr>
          <w:sz w:val="24"/>
        </w:rPr>
        <w:t xml:space="preserve"> настоящего свода правил.</w:t>
      </w:r>
    </w:p>
    <w:p>
      <w:pPr>
        <w:pStyle w:val="0"/>
        <w:jc w:val="both"/>
      </w:pPr>
      <w:r>
        <w:rPr>
          <w:sz w:val="24"/>
        </w:rPr>
        <w:t xml:space="preserve">(в ред. </w:t>
      </w:r>
      <w:hyperlink w:history="0" r:id="rId9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Примечание:</w:t>
      </w:r>
    </w:p>
    <w:p>
      <w:pPr>
        <w:pStyle w:val="0"/>
        <w:jc w:val="both"/>
      </w:pPr>
      <w:r>
        <w:rPr>
          <w:sz w:val="24"/>
        </w:rPr>
        <w:t xml:space="preserve">(в ред. </w:t>
      </w:r>
      <w:hyperlink w:history="0" r:id="rId9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На АЦ и на КриоАЗС в любом случае должны быть предусмотрены устройства аварийного останова слива СПГ со свободным доступом к ним для последующей активации лицами, отвечающими за контроль слива СПГ.</w:t>
      </w:r>
    </w:p>
    <w:p>
      <w:pPr>
        <w:pStyle w:val="0"/>
        <w:jc w:val="both"/>
      </w:pPr>
      <w:r>
        <w:rPr>
          <w:sz w:val="24"/>
        </w:rPr>
        <w:t xml:space="preserve">(в ред. </w:t>
      </w:r>
      <w:hyperlink w:history="0" r:id="rId9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8.19. На многотопливных АЗС и АГНКС допускается устройство приямков под оборудование КПГ, которые должны быть выполнены из негорючих материалов. При этом следует предусматривать гидроизоляцию стенок этих сооружений. При использовании для гидроизоляции горючих материалов указанная гидроизоляция должна выполняться со стороны окружающего грунта.</w:t>
      </w:r>
    </w:p>
    <w:p>
      <w:pPr>
        <w:pStyle w:val="0"/>
        <w:spacing w:before="240" w:lineRule="auto"/>
        <w:ind w:firstLine="540"/>
        <w:jc w:val="both"/>
      </w:pPr>
      <w:r>
        <w:rPr>
          <w:sz w:val="24"/>
        </w:rPr>
        <w:t xml:space="preserve">8.20. Устройство очистных сооружений, включая приемные лотки и соединительные трубопроводы, должно исключать возможность распространения по ним СУГ, СПГ и их паров за пределы площадки для АЦ и каждого заправочного островка.</w:t>
      </w:r>
    </w:p>
    <w:p>
      <w:pPr>
        <w:pStyle w:val="0"/>
        <w:jc w:val="both"/>
      </w:pPr>
      <w:r>
        <w:rPr>
          <w:sz w:val="24"/>
        </w:rPr>
        <w:t xml:space="preserve">(в ред. </w:t>
      </w:r>
      <w:hyperlink w:history="0" r:id="rId9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8.21. Технологические системы, наполнение резервуаров (сосудов) которых предусматривается посредством их насосного или компрессорного оборудования, должны быть оснащены (независимо от автоматического выключения) ручными выключателями электропитания этого оборудования, располагаемыми в помещении операторной и у насосов (компрессоров). Участки с различными видами топлива технологической системы многотопливной АЗС должны оснащаться выключателями электрооборудования этих участков, за исключением систем противоаварийной защиты постоянного действия.</w:t>
      </w:r>
    </w:p>
    <w:bookmarkStart w:id="1197" w:name="P1197"/>
    <w:bookmarkEnd w:id="1197"/>
    <w:p>
      <w:pPr>
        <w:pStyle w:val="0"/>
        <w:spacing w:before="240" w:lineRule="auto"/>
        <w:ind w:firstLine="540"/>
        <w:jc w:val="both"/>
      </w:pPr>
      <w:r>
        <w:rPr>
          <w:sz w:val="24"/>
        </w:rPr>
        <w:t xml:space="preserve">8.22. При наполнении одного из резервуаров топливом (за исключением сосудов КПГ) должны быть обеспечены в автоматическом режиме предотвращение возможности наполнения остальных резервуаров, отключение компрессорного оборудования, не используемого в наполнении резервуара, и всех раздаточных колонок АЗС.</w:t>
      </w:r>
    </w:p>
    <w:p>
      <w:pPr>
        <w:pStyle w:val="0"/>
        <w:spacing w:before="240" w:lineRule="auto"/>
        <w:ind w:firstLine="540"/>
        <w:jc w:val="both"/>
      </w:pPr>
      <w:r>
        <w:rPr>
          <w:sz w:val="24"/>
        </w:rPr>
        <w:t xml:space="preserve">8.23. При срабатывании автоматических систем противоаварийной защиты одного из участков многотопливных АЗС должно быть предусмотрено автоматическое приведение в действие систем противоаварийной защиты всех технологических участков (перекрытие трубопроводов, отключение механизмов перекачивания, сброс избыточного давления природного газа, в том числе паров СПГ, из оборудования с СПГ, включение системы орошения, обесточивание оборудования), обеспечивающих предотвращение дальнейшего развития аварии.</w:t>
      </w:r>
    </w:p>
    <w:bookmarkStart w:id="1199" w:name="P1199"/>
    <w:bookmarkEnd w:id="1199"/>
    <w:p>
      <w:pPr>
        <w:pStyle w:val="0"/>
        <w:spacing w:before="240" w:lineRule="auto"/>
        <w:ind w:firstLine="540"/>
        <w:jc w:val="both"/>
      </w:pPr>
      <w:r>
        <w:rPr>
          <w:sz w:val="24"/>
        </w:rPr>
        <w:t xml:space="preserve">8.24. Запорная трубопроводная арматура с ручным и дистанционным приводом (включая электромагнитный), применяемая на технологическом оборудовании, в котором обращается СУГ, КПГ или СПГ, должна соответствовать классу А или В герметичности затворов по </w:t>
      </w:r>
      <w:hyperlink w:history="0" r:id="rId96" w:tooltip="&quot;ГОСТ 9544-2015. Межгосударственный стандарт. Арматура трубопроводная. Нормы герметичности затворов&quot; (введен в действие Приказом Росстандарта от 26.05.2015 N 440-ст) {КонсультантПлюс}">
        <w:r>
          <w:rPr>
            <w:sz w:val="24"/>
            <w:color w:val="0000ff"/>
          </w:rPr>
          <w:t xml:space="preserve">ГОСТ 9544</w:t>
        </w:r>
      </w:hyperlink>
      <w:r>
        <w:rPr>
          <w:sz w:val="24"/>
        </w:rPr>
        <w:t xml:space="preserve">.</w:t>
      </w:r>
    </w:p>
    <w:p>
      <w:pPr>
        <w:pStyle w:val="0"/>
        <w:jc w:val="both"/>
      </w:pPr>
      <w:r>
        <w:rPr>
          <w:sz w:val="24"/>
        </w:rPr>
        <w:t xml:space="preserve">(в ред. </w:t>
      </w:r>
      <w:hyperlink w:history="0" r:id="rId9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Паспортные значения параметров испытаний на надежность запорной арматуры, предназначенной для герметизации резервуаров СУГ и СПГ от отводящих трубопроводов и патрубков, а также запорной, предохранительной и регулирующей арматуры систем противоаварийной защиты должны быть не хуже следующих значений:</w:t>
      </w:r>
    </w:p>
    <w:p>
      <w:pPr>
        <w:pStyle w:val="0"/>
        <w:spacing w:before="240" w:lineRule="auto"/>
        <w:ind w:firstLine="540"/>
        <w:jc w:val="both"/>
      </w:pPr>
      <w:r>
        <w:rPr>
          <w:sz w:val="24"/>
        </w:rPr>
        <w:t xml:space="preserve">параметры наработки на отказ (количество циклов и/или часов работы) должны быть не менее допустимого количества циклов и/или времени эксплуатации указанной арматуры до ее замены, регламентированной требованиями документации на технологическую систему АЗС;</w:t>
      </w:r>
    </w:p>
    <w:p>
      <w:pPr>
        <w:pStyle w:val="0"/>
        <w:spacing w:before="240" w:lineRule="auto"/>
        <w:ind w:firstLine="540"/>
        <w:jc w:val="both"/>
      </w:pPr>
      <w:r>
        <w:rPr>
          <w:sz w:val="24"/>
        </w:rPr>
        <w:t xml:space="preserve">периодичность технического обслуживания, связанного с заменой элементов, должна осуществляться не чаще чем раз в 5 лет.</w:t>
      </w:r>
    </w:p>
    <w:p>
      <w:pPr>
        <w:pStyle w:val="0"/>
        <w:spacing w:before="240" w:lineRule="auto"/>
        <w:ind w:firstLine="540"/>
        <w:jc w:val="both"/>
      </w:pPr>
      <w:r>
        <w:rPr>
          <w:sz w:val="24"/>
        </w:rPr>
        <w:t xml:space="preserve">Полный назначенный ресурс применяемой запорной арматуры, в том числе с принудительным приводом, должен превышать его расчетную величину не менее чем на 20% и должен быть указан в документации на технологическую систему АЗС.</w:t>
      </w:r>
    </w:p>
    <w:p>
      <w:pPr>
        <w:pStyle w:val="0"/>
        <w:spacing w:before="240" w:lineRule="auto"/>
        <w:ind w:firstLine="540"/>
        <w:jc w:val="both"/>
      </w:pPr>
      <w:r>
        <w:rPr>
          <w:sz w:val="24"/>
        </w:rPr>
        <w:t xml:space="preserve">8.25. Конструкция технологических систем должна предусматривать возможность проведения пожаровзрывобезопасного опорожнения от топлива и продувки инертным газом как внутреннего пространства оборудования, в котором обращается КПГ, СПГ, СУГ и его пары, без демонтажа этого оборудования, так и межстенного пространства оборудования для СУГ и СПГ.</w:t>
      </w:r>
    </w:p>
    <w:p>
      <w:pPr>
        <w:pStyle w:val="0"/>
        <w:jc w:val="both"/>
      </w:pPr>
      <w:r>
        <w:rPr>
          <w:sz w:val="24"/>
        </w:rPr>
        <w:t xml:space="preserve">(в ред. </w:t>
      </w:r>
      <w:hyperlink w:history="0" r:id="rId9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1207" w:name="P1207"/>
    <w:bookmarkEnd w:id="1207"/>
    <w:p>
      <w:pPr>
        <w:pStyle w:val="0"/>
        <w:spacing w:before="240" w:lineRule="auto"/>
        <w:ind w:firstLine="540"/>
        <w:jc w:val="both"/>
      </w:pPr>
      <w:r>
        <w:rPr>
          <w:sz w:val="24"/>
        </w:rPr>
        <w:t xml:space="preserve">8.26. Конструкция технологических систем должна предусматривать возможность дистанционного (из операторной АЗС) и автоматического (при срабатывании систем противоаварийной защиты) управления процессом сброса КПГ, КВ, опорожнения (путем сброса паров) оборудования от СПГ (в том числе мерных емкостей) и опорожнения (путем сброса паров) отсеченных с обеих сторон надземных или расположенных в помещениях трубопроводов и оборудования от СПГ и СУГ на сбросные трубы технологической системы АЗС вертикально вверх.</w:t>
      </w:r>
    </w:p>
    <w:p>
      <w:pPr>
        <w:pStyle w:val="0"/>
        <w:jc w:val="both"/>
      </w:pPr>
      <w:r>
        <w:rPr>
          <w:sz w:val="24"/>
        </w:rPr>
        <w:t xml:space="preserve">(в ред. </w:t>
      </w:r>
      <w:hyperlink w:history="0" r:id="rId99"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Участки технологической системы АЗС с оборудованием (в том числе трубопроводами) для КПГ, КВ, СПГ, СУГ и его паров, которые в процессе эксплуатации или действий по локализации аварии возможно перекрыть с обеих сторон, должны быть оснащены устройствами предотвращения роста давления свыше предусмотренного документацией на технологическую систему АЗС.</w:t>
      </w:r>
    </w:p>
    <w:p>
      <w:pPr>
        <w:pStyle w:val="0"/>
        <w:jc w:val="both"/>
      </w:pPr>
      <w:r>
        <w:rPr>
          <w:sz w:val="24"/>
        </w:rPr>
        <w:t xml:space="preserve">(в ред. </w:t>
      </w:r>
      <w:hyperlink w:history="0" r:id="rId100"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Требования безопасности при заправке газобаллонных автомобилей (в частности, вопросы слива газа при неисправности газобаллонного оборудования) должны соответствовать требованиям </w:t>
      </w:r>
      <w:hyperlink w:history="0" w:anchor="P2108" w:tooltip="[6]">
        <w:r>
          <w:rPr>
            <w:sz w:val="24"/>
            <w:color w:val="0000ff"/>
          </w:rPr>
          <w:t xml:space="preserve">[6]</w:t>
        </w:r>
      </w:hyperlink>
      <w:r>
        <w:rPr>
          <w:sz w:val="24"/>
        </w:rPr>
        <w:t xml:space="preserve">.</w:t>
      </w:r>
    </w:p>
    <w:p>
      <w:pPr>
        <w:pStyle w:val="0"/>
        <w:jc w:val="both"/>
      </w:pPr>
      <w:r>
        <w:rPr>
          <w:sz w:val="24"/>
        </w:rPr>
        <w:t xml:space="preserve">(абзац введен </w:t>
      </w:r>
      <w:hyperlink w:history="0" r:id="rId10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8.27. В случаях, когда завод-изготовитель не гарантирует герметичность всего топливного оборудования технологической системы АЗС в течение срока службы, установленного документацией на эту систему, то конструкция указанной системы должна обеспечивать возможность проведения пожаробезопасных периодических испытаний указанного оборудования на герметичность непосредственно на объекте.</w:t>
      </w:r>
    </w:p>
    <w:p>
      <w:pPr>
        <w:pStyle w:val="0"/>
        <w:spacing w:before="240" w:lineRule="auto"/>
        <w:ind w:firstLine="540"/>
        <w:jc w:val="both"/>
      </w:pPr>
      <w:r>
        <w:rPr>
          <w:sz w:val="24"/>
        </w:rPr>
        <w:t xml:space="preserve">8.28. Размещение приборных панелей автоматизированных систем контроля работы, управления и аварийного отключения каждого участка технологической системы многотопливной АЗС должно предусматриваться в операторной АЗС.</w:t>
      </w:r>
    </w:p>
    <w:p>
      <w:pPr>
        <w:pStyle w:val="0"/>
        <w:spacing w:before="240" w:lineRule="auto"/>
        <w:ind w:firstLine="540"/>
        <w:jc w:val="both"/>
      </w:pPr>
      <w:r>
        <w:rPr>
          <w:sz w:val="24"/>
        </w:rPr>
        <w:t xml:space="preserve">Устройства дублирования указанных систем допускается размещать в отдельном помещении здания (имеющем выход непосредственно наружу) или снаружи ограждающих конструкций сооружения, в которых расположено оборудование технологической системы АЗС.</w:t>
      </w:r>
    </w:p>
    <w:p>
      <w:pPr>
        <w:pStyle w:val="0"/>
        <w:spacing w:before="240" w:lineRule="auto"/>
        <w:ind w:firstLine="540"/>
        <w:jc w:val="both"/>
      </w:pPr>
      <w:r>
        <w:rPr>
          <w:sz w:val="24"/>
        </w:rPr>
        <w:t xml:space="preserve">Запорная арматура на входных и отводящих топливных трубопроводах должна располагаться снаружи здания (сооружения).</w:t>
      </w:r>
    </w:p>
    <w:p>
      <w:pPr>
        <w:pStyle w:val="0"/>
        <w:spacing w:before="240" w:lineRule="auto"/>
        <w:ind w:firstLine="540"/>
        <w:jc w:val="both"/>
      </w:pPr>
      <w:r>
        <w:rPr>
          <w:sz w:val="24"/>
        </w:rPr>
        <w:t xml:space="preserve">8.29. На многотопливных АЗС допускается использование технологического оборудования для приема, хранения и выдачи бензина и дизтоплива, отвечающего требованиям, предъявляемым к технологическим системам традиционной АЗС.</w:t>
      </w:r>
    </w:p>
    <w:p>
      <w:pPr>
        <w:pStyle w:val="0"/>
        <w:spacing w:before="240" w:lineRule="auto"/>
        <w:ind w:firstLine="540"/>
        <w:jc w:val="both"/>
      </w:pPr>
      <w:r>
        <w:rPr>
          <w:sz w:val="24"/>
        </w:rPr>
        <w:t xml:space="preserve">8.30. Резервуары для хранения СУГ должны быть расположены подземно с обеспечением толщины засыпки грунтом не менее 0,5 м.</w:t>
      </w:r>
    </w:p>
    <w:p>
      <w:pPr>
        <w:pStyle w:val="0"/>
        <w:spacing w:before="240" w:lineRule="auto"/>
        <w:ind w:firstLine="540"/>
        <w:jc w:val="both"/>
      </w:pPr>
      <w:r>
        <w:rPr>
          <w:sz w:val="24"/>
        </w:rPr>
        <w:t xml:space="preserve">На АЗС, размещаемых в черте населенных пунктов, общая вместимость резервуаров для СУГ не должна превышать 20 м3, а единичная - 10 м3.</w:t>
      </w:r>
    </w:p>
    <w:p>
      <w:pPr>
        <w:pStyle w:val="0"/>
        <w:spacing w:before="240" w:lineRule="auto"/>
        <w:ind w:firstLine="540"/>
        <w:jc w:val="both"/>
      </w:pPr>
      <w:r>
        <w:rPr>
          <w:sz w:val="24"/>
        </w:rPr>
        <w:t xml:space="preserve">Общую и единичную вместимость резервуаров для СУГ на АЗС, размещаемых вне территории населенных пунктов, допускается увеличивать не более чем в 2 раза.</w:t>
      </w:r>
    </w:p>
    <w:p>
      <w:pPr>
        <w:pStyle w:val="0"/>
        <w:spacing w:before="240" w:lineRule="auto"/>
        <w:ind w:firstLine="540"/>
        <w:jc w:val="both"/>
      </w:pPr>
      <w:r>
        <w:rPr>
          <w:sz w:val="24"/>
        </w:rPr>
        <w:t xml:space="preserve">Общую и единичную вместимость резервуаров для СУГ на АЗС, независимо от места размещения, допускается увеличивать не более чем в 2 раза при обеспечении подачи воды на наружное пожаротушение и орошение с требуемым настоящим сводом правил расходом в течение времени полного выгорания СУГ из наибольшего резервуара (в том числе АЦ), применяемого на этой АЗС.</w:t>
      </w:r>
    </w:p>
    <w:p>
      <w:pPr>
        <w:pStyle w:val="0"/>
        <w:spacing w:before="240" w:lineRule="auto"/>
        <w:ind w:firstLine="540"/>
        <w:jc w:val="both"/>
      </w:pPr>
      <w:r>
        <w:rPr>
          <w:sz w:val="24"/>
        </w:rPr>
        <w:t xml:space="preserve">8.31. Общая и единичная вместимость резервуаров для хранения СПГ не должна превышать 30 м</w:t>
      </w:r>
      <w:r>
        <w:rPr>
          <w:sz w:val="24"/>
          <w:vertAlign w:val="superscript"/>
        </w:rPr>
        <w:t xml:space="preserve">3</w:t>
      </w:r>
      <w:r>
        <w:rPr>
          <w:sz w:val="24"/>
        </w:rPr>
        <w:t xml:space="preserve">.</w:t>
      </w:r>
    </w:p>
    <w:p>
      <w:pPr>
        <w:pStyle w:val="0"/>
        <w:jc w:val="both"/>
      </w:pPr>
      <w:r>
        <w:rPr>
          <w:sz w:val="24"/>
        </w:rPr>
        <w:t xml:space="preserve">(в ред. </w:t>
      </w:r>
      <w:hyperlink w:history="0" r:id="rId10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Вместимость транспортной емкости (сосуда) АЦ СПГ, не отвечающей требованиям к двухоболочечному резервуару, не должна превышать 30 м</w:t>
      </w:r>
      <w:r>
        <w:rPr>
          <w:sz w:val="24"/>
          <w:vertAlign w:val="superscript"/>
        </w:rPr>
        <w:t xml:space="preserve">3</w:t>
      </w:r>
      <w:r>
        <w:rPr>
          <w:sz w:val="24"/>
        </w:rPr>
        <w:t xml:space="preserve">.</w:t>
      </w:r>
    </w:p>
    <w:p>
      <w:pPr>
        <w:pStyle w:val="0"/>
        <w:jc w:val="both"/>
      </w:pPr>
      <w:r>
        <w:rPr>
          <w:sz w:val="24"/>
        </w:rPr>
        <w:t xml:space="preserve">(в ред. </w:t>
      </w:r>
      <w:hyperlink w:history="0" r:id="rId10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Двухоболочечные резервуары СПГ в составе многотопливных АЗС с наличием жидкого моторного топлива, не относящиеся к подземным, а также приравненные к подземным согласно требованиям </w:t>
      </w:r>
      <w:hyperlink w:history="0" w:anchor="P203"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
        <w:r>
          <w:rPr>
            <w:sz w:val="24"/>
            <w:color w:val="0000ff"/>
          </w:rPr>
          <w:t xml:space="preserve">пункта 6.6</w:t>
        </w:r>
      </w:hyperlink>
      <w:r>
        <w:rPr>
          <w:sz w:val="24"/>
        </w:rPr>
        <w:t xml:space="preserve"> настоящего свода правил, следует размещать на фундаментах. Высота фундамента должна быть не менее 0,2 м по отношению к прилегающей к нему площадке, его размеры в плане должны превышать габариты резервуара не менее чем на 0,5 м во все стороны, а верхняя поверхность должна иметь уклоны от резервуаров в сторону краев фундамента не менее двух градусов.</w:t>
      </w:r>
    </w:p>
    <w:p>
      <w:pPr>
        <w:pStyle w:val="0"/>
        <w:jc w:val="both"/>
      </w:pPr>
      <w:r>
        <w:rPr>
          <w:sz w:val="24"/>
        </w:rPr>
        <w:t xml:space="preserve">(в ред. </w:t>
      </w:r>
      <w:hyperlink w:history="0" r:id="rId10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1228" w:name="P1228"/>
    <w:bookmarkEnd w:id="1228"/>
    <w:p>
      <w:pPr>
        <w:pStyle w:val="0"/>
        <w:spacing w:before="240" w:lineRule="auto"/>
        <w:ind w:firstLine="540"/>
        <w:jc w:val="both"/>
      </w:pPr>
      <w:r>
        <w:rPr>
          <w:sz w:val="24"/>
        </w:rPr>
        <w:t xml:space="preserve">8.32. Технологическая система должна обеспечивать возможность безопасного перекрытия утечки СПГ из резервуаров для хранения СПГ, а также СУГ и его паров из резервуаров для хранения СУГ, предотвращающего выход за территорию АЗС газопаровоздушных смесей с концентрацией указанных паров более 20% от НКПР с частотой выше одной миллионной в год.</w:t>
      </w:r>
    </w:p>
    <w:p>
      <w:pPr>
        <w:pStyle w:val="0"/>
        <w:spacing w:before="240" w:lineRule="auto"/>
        <w:ind w:firstLine="540"/>
        <w:jc w:val="both"/>
      </w:pPr>
      <w:r>
        <w:rPr>
          <w:sz w:val="24"/>
        </w:rPr>
        <w:t xml:space="preserve">Пример - Указанное требование допускается выполнять следующим образом. Резервуары для хранения СУГ и их оснастка (патрубки, штуцеры, фланцы, заглушки и т.п.), имеющая сварные соединения, а также все разъемные соединения до первой запорной арматуры, обеспечивающей перекрытие места выхода СУГ и его паров из резервуаров, выполнены двустенными. Указанные резервуары оснащены системами постоянного контроля герметичности их межстенного пространства, обеспечивающими автоматическую сигнализацию (световым и звуковым сигналом) обслуживающему персоналу АЗС о разгерметизации и автоматическое отключение компрессорного оборудования, прекращение операций по наполнению резервуаров топливом и выдаче его потребителю на всех технологических участках многотопливной АЗС.</w:t>
      </w:r>
    </w:p>
    <w:p>
      <w:pPr>
        <w:pStyle w:val="0"/>
        <w:spacing w:before="240" w:lineRule="auto"/>
        <w:ind w:firstLine="540"/>
        <w:jc w:val="both"/>
      </w:pPr>
      <w:r>
        <w:rPr>
          <w:sz w:val="24"/>
        </w:rPr>
        <w:t xml:space="preserve">Резервуары для хранения СПГ выполнены двухоболочечными и оснащены системами постоянного или объединенного контроля герметичности их межстенного пространства, обеспечивающими автоматическую сигнализацию (световым и звуковым сигналом) обслуживающему персоналу АЗС о разгерметизации и автоматическое отключение компрессорного оборудования, прекращение операций по наполнению резервуаров топливом и выдаче его потребителю на всех технологических участках многотопливной АЗС.</w:t>
      </w:r>
    </w:p>
    <w:p>
      <w:pPr>
        <w:pStyle w:val="0"/>
        <w:spacing w:before="240" w:lineRule="auto"/>
        <w:ind w:firstLine="540"/>
        <w:jc w:val="both"/>
      </w:pPr>
      <w:r>
        <w:rPr>
          <w:sz w:val="24"/>
        </w:rPr>
        <w:t xml:space="preserve">Для предотвращения протечки через уплотнения насоса необходимо обеспечить контроль утечки через данные уплотнения и при необходимости останов насоса и прекращения подачи СПГ к насосу. Алгоритм контроля определяется проектной организацией. Требование не распространяется на погружные насосы.</w:t>
      </w:r>
    </w:p>
    <w:p>
      <w:pPr>
        <w:pStyle w:val="0"/>
        <w:jc w:val="both"/>
      </w:pPr>
      <w:r>
        <w:rPr>
          <w:sz w:val="24"/>
        </w:rPr>
        <w:t xml:space="preserve">(абзац введен </w:t>
      </w:r>
      <w:hyperlink w:history="0" r:id="rId10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bookmarkStart w:id="1233" w:name="P1233"/>
    <w:bookmarkEnd w:id="1233"/>
    <w:p>
      <w:pPr>
        <w:pStyle w:val="0"/>
        <w:spacing w:before="240" w:lineRule="auto"/>
        <w:ind w:firstLine="540"/>
        <w:jc w:val="both"/>
      </w:pPr>
      <w:r>
        <w:rPr>
          <w:sz w:val="24"/>
        </w:rPr>
        <w:t xml:space="preserve">8.33. Трубопроводы СУГ и его паров, проходящие в зоне возможного присутствия водителей и пассажиров, должны быть размещены подземно.</w:t>
      </w:r>
    </w:p>
    <w:p>
      <w:pPr>
        <w:pStyle w:val="0"/>
        <w:spacing w:before="240" w:lineRule="auto"/>
        <w:ind w:firstLine="540"/>
        <w:jc w:val="both"/>
      </w:pPr>
      <w:r>
        <w:rPr>
          <w:sz w:val="24"/>
        </w:rPr>
        <w:t xml:space="preserve">Технологическая система должна обеспечивать возможность безопасного перекрытия любой вероятной утечки СПГ, СУГ и их паров из указанных трубопроводов в окружающую среду, предотвращающего выход в местах допустимого присутствия водителей и пассажиров, а также за территорию АЗС газопаровоздушных смесей с концентрацией указанных паров более 20% от НКПР с частотой выше одной миллионной в год.</w:t>
      </w:r>
    </w:p>
    <w:p>
      <w:pPr>
        <w:pStyle w:val="0"/>
        <w:spacing w:before="240" w:lineRule="auto"/>
        <w:ind w:firstLine="540"/>
        <w:jc w:val="both"/>
      </w:pPr>
      <w:r>
        <w:rPr>
          <w:sz w:val="24"/>
        </w:rPr>
        <w:t xml:space="preserve">Прокладка трубопроводов СПГ и их паров в зоне возможного присутствия пассажиров не допускается.</w:t>
      </w:r>
    </w:p>
    <w:p>
      <w:pPr>
        <w:pStyle w:val="0"/>
        <w:spacing w:before="240" w:lineRule="auto"/>
        <w:ind w:firstLine="540"/>
        <w:jc w:val="both"/>
      </w:pPr>
      <w:r>
        <w:rPr>
          <w:sz w:val="24"/>
        </w:rPr>
        <w:t xml:space="preserve">Пример - Указанное требование допускается выполнять следующим образом.</w:t>
      </w:r>
    </w:p>
    <w:p>
      <w:pPr>
        <w:pStyle w:val="0"/>
        <w:spacing w:before="240" w:lineRule="auto"/>
        <w:ind w:firstLine="540"/>
        <w:jc w:val="both"/>
      </w:pPr>
      <w:r>
        <w:rPr>
          <w:sz w:val="24"/>
        </w:rPr>
        <w:t xml:space="preserve">Трубопроводы СУГ и его паров, проходящие по территории АЗС, на которой допускается присутствие водителей и пассажиров, выполнены двустенными по всей длине (включая разъемные соединения) и оснащены системами постоянного контроля герметичности их межтрубного пространства, обеспечивающими автоматическое оповещение (световым и звуковым сигналом) оператора АЗС о разгерметизации, автоматическое прекращение подачи СУГ и его паров в разгерметизированный участок трубопровода с одновременным его перекрытием, операций по наполнению резервуаров топливом и выдаче его потребителю на всех технологических участках многотопливной АЗС, а также отключение компрессорного оборудования.</w:t>
      </w:r>
    </w:p>
    <w:p>
      <w:pPr>
        <w:pStyle w:val="0"/>
        <w:spacing w:before="240" w:lineRule="auto"/>
        <w:ind w:firstLine="540"/>
        <w:jc w:val="both"/>
      </w:pPr>
      <w:r>
        <w:rPr>
          <w:sz w:val="24"/>
        </w:rPr>
        <w:t xml:space="preserve">По территории КриоАЗС СПГ и КПГ в зоне возможного присутствия водителей допускается:</w:t>
      </w:r>
    </w:p>
    <w:p>
      <w:pPr>
        <w:pStyle w:val="0"/>
        <w:spacing w:before="240" w:lineRule="auto"/>
        <w:ind w:firstLine="540"/>
        <w:jc w:val="both"/>
      </w:pPr>
      <w:r>
        <w:rPr>
          <w:sz w:val="24"/>
        </w:rPr>
        <w:t xml:space="preserve">- надземная прокладка трубопроводов СПГ с вакуумной изоляцией на конструкциях (эстакадах, стойках), выполненных из негорючих материалов;</w:t>
      </w:r>
    </w:p>
    <w:p>
      <w:pPr>
        <w:pStyle w:val="0"/>
        <w:spacing w:before="240" w:lineRule="auto"/>
        <w:ind w:firstLine="540"/>
        <w:jc w:val="both"/>
      </w:pPr>
      <w:r>
        <w:rPr>
          <w:sz w:val="24"/>
        </w:rPr>
        <w:t xml:space="preserve">- подземная прокладка трубопроводов в обслуживаемых негерметичных лотках и в футлярах.</w:t>
      </w:r>
    </w:p>
    <w:p>
      <w:pPr>
        <w:pStyle w:val="0"/>
        <w:spacing w:before="240" w:lineRule="auto"/>
        <w:ind w:firstLine="540"/>
        <w:jc w:val="both"/>
      </w:pPr>
      <w:r>
        <w:rPr>
          <w:sz w:val="24"/>
        </w:rPr>
        <w:t xml:space="preserve">Трубопроводы СПГ, размещаемые в зоне возможного присутствия водителей в обслуживаемых негерметичных лотках, должны быть выполнены с вакуумной изоляцией.</w:t>
      </w:r>
    </w:p>
    <w:p>
      <w:pPr>
        <w:pStyle w:val="0"/>
        <w:spacing w:before="240" w:lineRule="auto"/>
        <w:ind w:firstLine="540"/>
        <w:jc w:val="both"/>
      </w:pPr>
      <w:r>
        <w:rPr>
          <w:sz w:val="24"/>
        </w:rPr>
        <w:t xml:space="preserve">Соединения трубопроводов в вакуумной изоляции должны быть неразъемными, оснащены устройствами постоянного контроля герметичности внутренней стенки трубопровода.</w:t>
      </w:r>
    </w:p>
    <w:p>
      <w:pPr>
        <w:pStyle w:val="0"/>
        <w:spacing w:before="240" w:lineRule="auto"/>
        <w:ind w:firstLine="540"/>
        <w:jc w:val="both"/>
      </w:pPr>
      <w:r>
        <w:rPr>
          <w:sz w:val="24"/>
        </w:rPr>
        <w:t xml:space="preserve">Должен быть обеспечен выход утечки из футляра только через сбросные трубы, соответствующие требованиям </w:t>
      </w:r>
      <w:hyperlink w:history="0" w:anchor="P1163" w:tooltip="8.12. Сбросные трубы КПГ, паров СУГ и паров СПГ должны иметь высоту, диаметр, конструкцию и расположение, исключающие образование взрывоопасных смесей в зоне размещения объектов, не относящихся к АЗС, а также в зоне выпуска дымовых газов котельной АЗС, технологического оборудования, зданий, сооружений АЗС и в местах возможного пребывания водителей и пассажиров транспортных средств.">
        <w:r>
          <w:rPr>
            <w:sz w:val="24"/>
            <w:color w:val="0000ff"/>
          </w:rPr>
          <w:t xml:space="preserve">п. 8.12</w:t>
        </w:r>
      </w:hyperlink>
      <w:r>
        <w:rPr>
          <w:sz w:val="24"/>
        </w:rPr>
        <w:t xml:space="preserve"> настоящего свода правил. Материал изоляции трубопроводов должен быть негорючим и не должен удерживать и накапливать СПГ и его пары.</w:t>
      </w:r>
    </w:p>
    <w:p>
      <w:pPr>
        <w:pStyle w:val="0"/>
        <w:spacing w:before="240" w:lineRule="auto"/>
        <w:ind w:firstLine="540"/>
        <w:jc w:val="both"/>
      </w:pPr>
      <w:r>
        <w:rPr>
          <w:sz w:val="24"/>
        </w:rPr>
        <w:t xml:space="preserve">Требования к трубопроводам с парами СПГ принимать как для трубопроводов КПГ, регламентированные настоящим сводом правил</w:t>
      </w:r>
    </w:p>
    <w:p>
      <w:pPr>
        <w:pStyle w:val="0"/>
        <w:jc w:val="both"/>
      </w:pPr>
      <w:r>
        <w:rPr>
          <w:sz w:val="24"/>
        </w:rPr>
        <w:t xml:space="preserve">(п. 8.33 в ред. </w:t>
      </w:r>
      <w:hyperlink w:history="0" r:id="rId10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8.34. Следует исключить возможность образования в межстенном пространстве резервуаров и межтрубном пространстве взрывоопасной смеси СУГ с воздухом в случае разгерметизации стенок внутренних резервуаров и трубопроводов.</w:t>
      </w:r>
    </w:p>
    <w:p>
      <w:pPr>
        <w:pStyle w:val="0"/>
        <w:spacing w:before="240" w:lineRule="auto"/>
        <w:ind w:firstLine="540"/>
        <w:jc w:val="both"/>
      </w:pPr>
      <w:r>
        <w:rPr>
          <w:sz w:val="24"/>
        </w:rPr>
        <w:t xml:space="preserve">Пример - Указанное требование допускается выполнять за счет вытеснения воздуха из указанного пространства азотом.</w:t>
      </w:r>
    </w:p>
    <w:p>
      <w:pPr>
        <w:pStyle w:val="0"/>
        <w:spacing w:before="240" w:lineRule="auto"/>
        <w:ind w:firstLine="540"/>
        <w:jc w:val="both"/>
      </w:pPr>
      <w:r>
        <w:rPr>
          <w:sz w:val="24"/>
        </w:rPr>
        <w:t xml:space="preserve">8.35. Резервуары для хранения СУГ и СПГ должны быть оснащены системой автоматического предотвращения превышения предельно допустимого уровня их заполнения (85% геометрического объема резервуара СУГ и 95% геометрического объема резервуара СПГ и мерной емкости СПГ).</w:t>
      </w:r>
    </w:p>
    <w:p>
      <w:pPr>
        <w:pStyle w:val="0"/>
        <w:jc w:val="both"/>
      </w:pPr>
      <w:r>
        <w:rPr>
          <w:sz w:val="24"/>
        </w:rPr>
        <w:t xml:space="preserve">(в ред. </w:t>
      </w:r>
      <w:hyperlink w:history="0" r:id="rId10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8.36. Места врезки (ввод трубопроводов, штуцеров, патрубков, люков) в резервуары для хранения СУГ и СПГ рекомендуется осуществлять в местах, расположенных выше номинального уровня их заполнения.</w:t>
      </w:r>
    </w:p>
    <w:p>
      <w:pPr>
        <w:pStyle w:val="0"/>
        <w:spacing w:before="240" w:lineRule="auto"/>
        <w:ind w:firstLine="540"/>
        <w:jc w:val="both"/>
      </w:pPr>
      <w:r>
        <w:rPr>
          <w:sz w:val="24"/>
        </w:rPr>
        <w:t xml:space="preserve">Участки надземных одностенных трубопроводов СУГ, проходящих на расстоянии менее 20 м от резервуара СПГ, должны отделяться от указанных резервуаров защитными экранами, отвечающими требованиям настоящего свода правил и установленными непосредственно рядом с трубопроводами. При этом ширина экрана должна обеспечивать превышение габаритов трубопровода по вертикали на 0,5 м в обе стороны.</w:t>
      </w:r>
    </w:p>
    <w:p>
      <w:pPr>
        <w:pStyle w:val="0"/>
        <w:spacing w:before="240" w:lineRule="auto"/>
        <w:ind w:firstLine="540"/>
        <w:jc w:val="both"/>
      </w:pPr>
      <w:r>
        <w:rPr>
          <w:sz w:val="24"/>
        </w:rPr>
        <w:t xml:space="preserve">8.37. В случае применения технических решений, создающих в аварийной ситуации возможность повышения давления СУГ, СПГ или их паров на каких-либо участках технологической системы выше допустимых значений, приведенных в документации на технологическую систему АЗС, необходимо предусматривать систему автоматического контроля давления на указанных участках. При повышении давления на контролируемых участках трубопроводов выше допустимых значений система автоматического контроля давления должна обеспечивать сигнализацию (световым и звуковым сигналом), прекращение операций по наполнению резервуаров топливом и выдаче его потребителю на всех технологических участках многотопливной АЗС, а также отключение компрессорного оборудования.</w:t>
      </w:r>
    </w:p>
    <w:p>
      <w:pPr>
        <w:pStyle w:val="0"/>
        <w:jc w:val="both"/>
      </w:pPr>
      <w:r>
        <w:rPr>
          <w:sz w:val="24"/>
        </w:rPr>
        <w:t xml:space="preserve">(в ред. </w:t>
      </w:r>
      <w:hyperlink w:history="0" r:id="rId10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8.38. Наполнение резервуаров хранения СУГ должно быть предусмотрено только из АЦ. Резервуары хранения СУГ должны быть оснащены линией их опорожнения в АЦ в случае объявления в зоне ее расположения чрезвычайной ситуации.</w:t>
      </w:r>
    </w:p>
    <w:p>
      <w:pPr>
        <w:pStyle w:val="0"/>
        <w:spacing w:before="240" w:lineRule="auto"/>
        <w:ind w:firstLine="540"/>
        <w:jc w:val="both"/>
      </w:pPr>
      <w:r>
        <w:rPr>
          <w:sz w:val="24"/>
        </w:rPr>
        <w:t xml:space="preserve">Допускается предусматривать подачу СУГ на раздаточные колонки АГЗС общего пользования из резервуаров технологически связанных с ней газонаполнительных станций или пунктов при условии:</w:t>
      </w:r>
    </w:p>
    <w:p>
      <w:pPr>
        <w:pStyle w:val="0"/>
        <w:spacing w:before="240" w:lineRule="auto"/>
        <w:ind w:firstLine="540"/>
        <w:jc w:val="both"/>
      </w:pPr>
      <w:r>
        <w:rPr>
          <w:sz w:val="24"/>
        </w:rPr>
        <w:t xml:space="preserve">отсутствия резервуаров СУГ на территории АГЗС;</w:t>
      </w:r>
    </w:p>
    <w:p>
      <w:pPr>
        <w:pStyle w:val="0"/>
        <w:spacing w:before="240" w:lineRule="auto"/>
        <w:ind w:firstLine="540"/>
        <w:jc w:val="both"/>
      </w:pPr>
      <w:r>
        <w:rPr>
          <w:sz w:val="24"/>
        </w:rPr>
        <w:t xml:space="preserve">обеспечения дистанционного (из операторной АГЗС) перекрытия трубопровода подачи СУГ, осуществляемого на территории газонаполнительной станции или пункта;</w:t>
      </w:r>
    </w:p>
    <w:p>
      <w:pPr>
        <w:pStyle w:val="0"/>
        <w:spacing w:before="240" w:lineRule="auto"/>
        <w:ind w:firstLine="540"/>
        <w:jc w:val="both"/>
      </w:pPr>
      <w:r>
        <w:rPr>
          <w:sz w:val="24"/>
        </w:rPr>
        <w:t xml:space="preserve">блокировки подачи СУГ на раздаточные колонки АГЗС при наполнении резервуара, из которого осуществляется указанная подача.</w:t>
      </w:r>
    </w:p>
    <w:p>
      <w:pPr>
        <w:pStyle w:val="0"/>
        <w:spacing w:before="240" w:lineRule="auto"/>
        <w:ind w:firstLine="540"/>
        <w:jc w:val="both"/>
      </w:pPr>
      <w:r>
        <w:rPr>
          <w:sz w:val="24"/>
        </w:rPr>
        <w:t xml:space="preserve">Минимальные расстояния от раздаточных колонок до зданий и сооружений газонаполнительной станции или пункта, с которых осуществляется подача СУГ на раздаточные колонки АГЗС, следует определять в соответствии с </w:t>
      </w:r>
      <w:hyperlink w:history="0" w:anchor="P726" w:tooltip="Таблица 5">
        <w:r>
          <w:rPr>
            <w:sz w:val="24"/>
            <w:color w:val="0000ff"/>
          </w:rPr>
          <w:t xml:space="preserve">таблицей 5</w:t>
        </w:r>
      </w:hyperlink>
      <w:r>
        <w:rPr>
          <w:sz w:val="24"/>
        </w:rPr>
        <w:t xml:space="preserve"> настоящего свода правил.</w:t>
      </w:r>
    </w:p>
    <w:p>
      <w:pPr>
        <w:pStyle w:val="0"/>
        <w:spacing w:before="240" w:lineRule="auto"/>
        <w:ind w:firstLine="540"/>
        <w:jc w:val="both"/>
      </w:pPr>
      <w:r>
        <w:rPr>
          <w:sz w:val="24"/>
        </w:rPr>
        <w:t xml:space="preserve">8.39. Наполнение резервуаров хранения СПГ должно быть предусмотрено только из АЦ. Применение АЦ, транспортные емкости (сосуды) которых не оснащены термоизоляционным кожухом, предназначенным для обеспечения вакуумной изоляции, не допускается.</w:t>
      </w:r>
    </w:p>
    <w:p>
      <w:pPr>
        <w:pStyle w:val="0"/>
        <w:spacing w:before="240" w:lineRule="auto"/>
        <w:ind w:firstLine="540"/>
        <w:jc w:val="both"/>
      </w:pPr>
      <w:r>
        <w:rPr>
          <w:sz w:val="24"/>
        </w:rPr>
        <w:t xml:space="preserve">Резервуары хранения СПГ должны быть оснащены линией их опорожнения в АЦ в случае объявления в зоне ее расположения чрезвычайной ситуации.</w:t>
      </w:r>
    </w:p>
    <w:p>
      <w:pPr>
        <w:pStyle w:val="0"/>
        <w:spacing w:before="240" w:lineRule="auto"/>
        <w:ind w:firstLine="540"/>
        <w:jc w:val="both"/>
      </w:pPr>
      <w:r>
        <w:rPr>
          <w:sz w:val="24"/>
        </w:rPr>
        <w:t xml:space="preserve">Допускается предусматривать подачу СПГ в резервуары хранения СПГ по трубопроводу с технологически связанного с ней объекта малотоннажного производства и потребления СПГ, при выполнении требований настоящего свода правил и нормативных документов по пожарной безопасности объектов малотоннажного производства и потребления СПГ. При этом следует обеспечить:</w:t>
      </w:r>
    </w:p>
    <w:p>
      <w:pPr>
        <w:pStyle w:val="0"/>
        <w:spacing w:before="240" w:lineRule="auto"/>
        <w:ind w:firstLine="540"/>
        <w:jc w:val="both"/>
      </w:pPr>
      <w:r>
        <w:rPr>
          <w:sz w:val="24"/>
        </w:rPr>
        <w:t xml:space="preserve">постоянную связь между операторами АЗС и технологически связанного с ней объекта;</w:t>
      </w:r>
    </w:p>
    <w:p>
      <w:pPr>
        <w:pStyle w:val="0"/>
        <w:spacing w:before="240" w:lineRule="auto"/>
        <w:ind w:firstLine="540"/>
        <w:jc w:val="both"/>
      </w:pPr>
      <w:r>
        <w:rPr>
          <w:sz w:val="24"/>
        </w:rPr>
        <w:t xml:space="preserve">передачу сигналов срабатывания систем противоаварийной и противопожарной защиты АЗС и технологически связанного с ней объекта в операторные обоих объектов независимо от места срабатывания;</w:t>
      </w:r>
    </w:p>
    <w:p>
      <w:pPr>
        <w:pStyle w:val="0"/>
        <w:spacing w:before="240" w:lineRule="auto"/>
        <w:ind w:firstLine="540"/>
        <w:jc w:val="both"/>
      </w:pPr>
      <w:r>
        <w:rPr>
          <w:sz w:val="24"/>
        </w:rPr>
        <w:t xml:space="preserve">размещение сбросной трубы, применяемой в том числе для опорожнения указанного трубопровода на территории технологически связанного с АЗС объекта;</w:t>
      </w:r>
    </w:p>
    <w:p>
      <w:pPr>
        <w:pStyle w:val="0"/>
        <w:spacing w:before="240" w:lineRule="auto"/>
        <w:ind w:firstLine="540"/>
        <w:jc w:val="both"/>
      </w:pPr>
      <w:r>
        <w:rPr>
          <w:sz w:val="24"/>
        </w:rPr>
        <w:t xml:space="preserve">установку запорной арматуры на указанном трубопроводе как на территории АЗС (на площадке по </w:t>
      </w:r>
      <w:hyperlink w:history="0" w:anchor="P722" w:tooltip="8.2. Территория площадки (площадок) зданий, сооружений и оборудования для приема, подготовки и хранения КПГ и/или СПГ, приема, хранения и выдачи КВ, а также территория складской площадки с резервуарами СУГ должны иметь ограждения, которые обозначают территорию, закрытую для посторонних лиц, и выполнены из негорючих материалов, не препятствующих свободному проветриванию.">
        <w:r>
          <w:rPr>
            <w:sz w:val="24"/>
            <w:color w:val="0000ff"/>
          </w:rPr>
          <w:t xml:space="preserve">пункту 8.2</w:t>
        </w:r>
      </w:hyperlink>
      <w:r>
        <w:rPr>
          <w:sz w:val="24"/>
        </w:rPr>
        <w:t xml:space="preserve"> настоящего свода правил), так и на территории технологически связанного с этой АЗС объекта;</w:t>
      </w:r>
    </w:p>
    <w:p>
      <w:pPr>
        <w:pStyle w:val="0"/>
        <w:spacing w:before="240" w:lineRule="auto"/>
        <w:ind w:firstLine="540"/>
        <w:jc w:val="both"/>
      </w:pPr>
      <w:r>
        <w:rPr>
          <w:sz w:val="24"/>
        </w:rPr>
        <w:t xml:space="preserve">ручное (с места размещения), дистанционное (из операторной АЗС и операторной технологически связанного с ней объекта) и автоматическое (при срабатывании систем противоаварийной и противопожарной защиты АЗС и указанного объекта) управление запорной арматурой на указанном трубопроводе. Алгоритмы срабатывания должны быть регламентированы в документации на технологическую систему АЗС.</w:t>
      </w:r>
    </w:p>
    <w:bookmarkStart w:id="1268" w:name="P1268"/>
    <w:bookmarkEnd w:id="1268"/>
    <w:p>
      <w:pPr>
        <w:pStyle w:val="0"/>
        <w:spacing w:before="240" w:lineRule="auto"/>
        <w:ind w:firstLine="540"/>
        <w:jc w:val="both"/>
      </w:pPr>
      <w:r>
        <w:rPr>
          <w:sz w:val="24"/>
        </w:rPr>
        <w:t xml:space="preserve">8.40. Технологические колодцы с оборудованием СУГ и СПГ, шахты (с наличием свободного пространства) резервуаров СУГ, приямки с оборудованием с КПГ и/или СПГ, площадки для АЦ СУГ и АЦ СПГ, заправочные островки, на которых транспортные средства могут заправляться СУГ или СПГ, а также сооружения, в которых обращаются КВ, КПГ, СПГ и СУГ, имеющие вертикальные ограждающие конструкции с отношением площади отверстий к полной площади преграды более 50%, должны быть оборудованы сигнализаторами довзрывоопасных концентраций. Эти сигнализаторы должны обеспечивать при достижении концентрацией горючего газа величины, превышающей 20% от НКПР, сигнализацию (световым и звуковым сигналом) о месте разгерметизации с подачей сигнала в операторную АЗС.</w:t>
      </w:r>
    </w:p>
    <w:p>
      <w:pPr>
        <w:pStyle w:val="0"/>
        <w:jc w:val="both"/>
      </w:pPr>
      <w:r>
        <w:rPr>
          <w:sz w:val="24"/>
        </w:rPr>
        <w:t xml:space="preserve">(в ред. Изменений </w:t>
      </w:r>
      <w:hyperlink w:history="0" r:id="rId10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N 1</w:t>
        </w:r>
      </w:hyperlink>
      <w:r>
        <w:rPr>
          <w:sz w:val="24"/>
        </w:rPr>
        <w:t xml:space="preserve">, утв. Приказом МЧС России от 18.08.2023 N 842, </w:t>
      </w:r>
      <w:hyperlink w:history="0" r:id="rId110"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N 2</w:t>
        </w:r>
      </w:hyperlink>
      <w:r>
        <w:rPr>
          <w:sz w:val="24"/>
        </w:rPr>
        <w:t xml:space="preserve">, утв. Приказом МЧС России от 21.06.2024 N 505)</w:t>
      </w:r>
    </w:p>
    <w:p>
      <w:pPr>
        <w:pStyle w:val="0"/>
        <w:spacing w:before="240" w:lineRule="auto"/>
        <w:ind w:firstLine="540"/>
        <w:jc w:val="both"/>
      </w:pPr>
      <w:r>
        <w:rPr>
          <w:sz w:val="24"/>
        </w:rPr>
        <w:t xml:space="preserve">При достижении в местах установки сигнализаторов довзрывоопасных концентраций горючего газа, соответствующей 50% от НКПР, должно быть обеспечено автоматическое прекращение операций наполнения резервуаров (сосудов) хранения топлива и отключение топливораздаточных устройств.</w:t>
      </w:r>
    </w:p>
    <w:p>
      <w:pPr>
        <w:pStyle w:val="0"/>
        <w:spacing w:before="240" w:lineRule="auto"/>
        <w:ind w:firstLine="540"/>
        <w:jc w:val="both"/>
      </w:pPr>
      <w:r>
        <w:rPr>
          <w:sz w:val="24"/>
        </w:rPr>
        <w:t xml:space="preserve">Датчики довзрывоопасных концентраций должны располагаться на расстоянии от 50 до 100 мм:</w:t>
      </w:r>
    </w:p>
    <w:p>
      <w:pPr>
        <w:pStyle w:val="0"/>
        <w:spacing w:before="240" w:lineRule="auto"/>
        <w:ind w:firstLine="540"/>
        <w:jc w:val="both"/>
      </w:pPr>
      <w:r>
        <w:rPr>
          <w:sz w:val="24"/>
        </w:rPr>
        <w:t xml:space="preserve">от дна технологических колодцев и шахт с оборудованием с СУГ и СПГ;</w:t>
      </w:r>
    </w:p>
    <w:p>
      <w:pPr>
        <w:pStyle w:val="0"/>
        <w:spacing w:before="240" w:lineRule="auto"/>
        <w:ind w:firstLine="540"/>
        <w:jc w:val="both"/>
      </w:pPr>
      <w:r>
        <w:rPr>
          <w:sz w:val="24"/>
        </w:rPr>
        <w:t xml:space="preserve">от уровня заправочной площадки (у раздаточной колонки СУГ);</w:t>
      </w:r>
    </w:p>
    <w:p>
      <w:pPr>
        <w:pStyle w:val="0"/>
        <w:spacing w:before="240" w:lineRule="auto"/>
        <w:ind w:firstLine="540"/>
        <w:jc w:val="both"/>
      </w:pPr>
      <w:r>
        <w:rPr>
          <w:sz w:val="24"/>
        </w:rPr>
        <w:t xml:space="preserve">от уровня площадки для АЦ СУГ и АЦ СПГ (у разъемного соединения сливного рукава АЦ с линией наполнения резервуара);</w:t>
      </w:r>
    </w:p>
    <w:p>
      <w:pPr>
        <w:pStyle w:val="0"/>
        <w:spacing w:before="240" w:lineRule="auto"/>
        <w:ind w:firstLine="540"/>
        <w:jc w:val="both"/>
      </w:pPr>
      <w:r>
        <w:rPr>
          <w:sz w:val="24"/>
        </w:rPr>
        <w:t xml:space="preserve">от поверхности площадки (пола) сооружения, в котором обращается СУГ или СПГ;</w:t>
      </w:r>
    </w:p>
    <w:p>
      <w:pPr>
        <w:pStyle w:val="0"/>
        <w:spacing w:before="240" w:lineRule="auto"/>
        <w:ind w:firstLine="540"/>
        <w:jc w:val="both"/>
      </w:pPr>
      <w:r>
        <w:rPr>
          <w:sz w:val="24"/>
        </w:rPr>
        <w:t xml:space="preserve">от перекрытия (навеса) сооружения (приямка), в котором обращаются КПГ, КВ и/или СПГ.</w:t>
      </w:r>
    </w:p>
    <w:p>
      <w:pPr>
        <w:pStyle w:val="0"/>
        <w:jc w:val="both"/>
      </w:pPr>
      <w:r>
        <w:rPr>
          <w:sz w:val="24"/>
        </w:rPr>
        <w:t xml:space="preserve">(в ред. </w:t>
      </w:r>
      <w:hyperlink w:history="0" r:id="rId111"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8.41. При срабатывании сигнализаторов довзрывоопасных концентраций, установленных в помещении перекачивания СУГ или СПГ (насосной или компрессорной), наряду с выполняемыми автоматически операциями прекращения слива газового топлива из АЦ, перекрытия запорной арматуры на трубопроводах его подачи в резервуар и паров этого топлива в свободное пространство АЦ, включения аварийной вентиляции и срабатывания сигнализации об утечке, должно быть обеспечено автоматическое опорожнение участков линий наполнения и возврата паров газового топлива, отсеченных от резервуара до штуцеров для подсоединения АЦ, посредством сброса указанных паров через сбросную трубу.</w:t>
      </w:r>
    </w:p>
    <w:bookmarkStart w:id="1279" w:name="P1279"/>
    <w:bookmarkEnd w:id="1279"/>
    <w:p>
      <w:pPr>
        <w:pStyle w:val="0"/>
        <w:spacing w:before="240" w:lineRule="auto"/>
        <w:ind w:firstLine="540"/>
        <w:jc w:val="both"/>
      </w:pPr>
      <w:r>
        <w:rPr>
          <w:sz w:val="24"/>
        </w:rPr>
        <w:t xml:space="preserve">8.42. Сбросные трубы паров СУГ и СПГ должны быть защищены от воздействия пожара (теплоизоляция, водяное орошение и т.п.) таким образом, чтобы обеспечить их функционирование в течение времени, необходимого для прибытия и развертывания передвижной пожарной техники, или времени сброса СУГ и СПГ через сбросные трубы.</w:t>
      </w:r>
    </w:p>
    <w:p>
      <w:pPr>
        <w:pStyle w:val="0"/>
        <w:spacing w:before="240" w:lineRule="auto"/>
        <w:ind w:firstLine="540"/>
        <w:jc w:val="both"/>
      </w:pPr>
      <w:r>
        <w:rPr>
          <w:sz w:val="24"/>
        </w:rPr>
        <w:t xml:space="preserve">Предел огнестойкости несущих конструкций сбросных труб должен быть не менее R60.</w:t>
      </w:r>
    </w:p>
    <w:p>
      <w:pPr>
        <w:pStyle w:val="0"/>
        <w:jc w:val="both"/>
      </w:pPr>
      <w:r>
        <w:rPr>
          <w:sz w:val="24"/>
        </w:rPr>
        <w:t xml:space="preserve">(п. 8.42 в ред. </w:t>
      </w:r>
      <w:hyperlink w:history="0" r:id="rId11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1282" w:name="P1282"/>
    <w:bookmarkEnd w:id="1282"/>
    <w:p>
      <w:pPr>
        <w:pStyle w:val="0"/>
        <w:spacing w:before="240" w:lineRule="auto"/>
        <w:ind w:firstLine="540"/>
        <w:jc w:val="both"/>
      </w:pPr>
      <w:r>
        <w:rPr>
          <w:sz w:val="24"/>
        </w:rPr>
        <w:t xml:space="preserve">8.43. На трубопроводах технологической системы АЗС для паровой и жидкой фазы СУГ, КВ, КПГ и СПГ в непосредственной близости от места их подсоединения к рукавам АЦ, раздаточным колонкам и шлангам раздаточных колонок следует предусматривать специальные устройства, обеспечивающие предотвращение поступления газа из оборудования этой системы в атмосферу при нарушении герметичности указанных рукавов и шлангов, а также при повреждении раздаточных колонок вследствие наезда на них транспортного средства.</w:t>
      </w:r>
    </w:p>
    <w:p>
      <w:pPr>
        <w:pStyle w:val="0"/>
        <w:jc w:val="both"/>
      </w:pPr>
      <w:r>
        <w:rPr>
          <w:sz w:val="24"/>
        </w:rPr>
        <w:t xml:space="preserve">(в ред. </w:t>
      </w:r>
      <w:hyperlink w:history="0" r:id="rId113"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Устройства, предназначенные для предотвращения поступления газа из подводящих трубопроводов при повреждении раздаточной колонки, допускается не предусматривать в случае, если колонка установлена на островке безопасности, приподнятом над заправочным островком не менее чем на 0,2 м, и отстоит от края заправочного островка не менее чем на 0,5 м.</w:t>
      </w:r>
    </w:p>
    <w:bookmarkStart w:id="1285" w:name="P1285"/>
    <w:bookmarkEnd w:id="1285"/>
    <w:p>
      <w:pPr>
        <w:pStyle w:val="0"/>
        <w:spacing w:before="240" w:lineRule="auto"/>
        <w:ind w:firstLine="540"/>
        <w:jc w:val="both"/>
      </w:pPr>
      <w:r>
        <w:rPr>
          <w:sz w:val="24"/>
        </w:rPr>
        <w:t xml:space="preserve">8.44. Сосуды технологической системы для КПГ или КВ, находящиеся под избыточным давлением и установленные наземно (надземно), должны быть оборудованы теплоизоляцией или системой водяного орошения, предотвращающими разрушение защищаемых сосудов вследствие воздействия на них теплового излучения очага пожара в течение не менее 30 минут. Время сброса избыточного давления газа из указанных сосудов (через сбросную трубу) в этом случае не должно превышать 20 минут.</w:t>
      </w:r>
    </w:p>
    <w:p>
      <w:pPr>
        <w:pStyle w:val="0"/>
        <w:jc w:val="both"/>
      </w:pPr>
      <w:r>
        <w:rPr>
          <w:sz w:val="24"/>
        </w:rPr>
        <w:t xml:space="preserve">(в ред. </w:t>
      </w:r>
      <w:hyperlink w:history="0" r:id="rId114"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Теплоизоляцию или водяное орошение стенок указанных сосудов допускается не предусматривать в случае их заглубленного или подземного размещения. При этом запорная, предохранительная, регулирующая и измерительная арматура, относящаяся к этим сосудам, должна располагаться в зоне свободного доступа с поверхности прилегающей к ней наземно расположенной технологической площадки.</w:t>
      </w:r>
    </w:p>
    <w:p>
      <w:pPr>
        <w:pStyle w:val="0"/>
        <w:spacing w:before="240" w:lineRule="auto"/>
        <w:ind w:firstLine="540"/>
        <w:jc w:val="both"/>
      </w:pPr>
      <w:r>
        <w:rPr>
          <w:sz w:val="24"/>
        </w:rPr>
        <w:t xml:space="preserve">Остальное оборудование технологической системы для КПГ и СПГ КВ, должно быть размещено, изготовлено и/или защищено от воздействия внешнего очага пожара таким образом, чтобы обеспечить сброс избыточного давления природного газа (паров СПГ или водорода) из указанного оборудования до его разгерметизации вследствие указанного воздействия.</w:t>
      </w:r>
    </w:p>
    <w:p>
      <w:pPr>
        <w:pStyle w:val="0"/>
        <w:jc w:val="both"/>
      </w:pPr>
      <w:r>
        <w:rPr>
          <w:sz w:val="24"/>
        </w:rPr>
        <w:t xml:space="preserve">(в ред. </w:t>
      </w:r>
      <w:hyperlink w:history="0" r:id="rId115"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8.45. На компрессорных установках следует предусматривать систему их автоматического отключения и предупредительную сигнализацию при выходе давления природного газа в узле подключения к технологической системе АЗС подводящего трубопровода природного газа за допустимые пределы, установленные в документации на технологическую систему АЗС.</w:t>
      </w:r>
    </w:p>
    <w:bookmarkStart w:id="1291" w:name="P1291"/>
    <w:bookmarkEnd w:id="1291"/>
    <w:p>
      <w:pPr>
        <w:pStyle w:val="0"/>
        <w:spacing w:before="240" w:lineRule="auto"/>
        <w:ind w:firstLine="540"/>
        <w:jc w:val="both"/>
      </w:pPr>
      <w:r>
        <w:rPr>
          <w:sz w:val="24"/>
        </w:rPr>
        <w:t xml:space="preserve">8.46. При устройстве внешней теплоизоляции оборудования, в котором обращаются топливо и/или его пары, и в помещениях, в которых оно установлено, использование горючих материалов, а также материалов, способных адсорбировать топливо и его пары, не допускается.</w:t>
      </w:r>
    </w:p>
    <w:p>
      <w:pPr>
        <w:pStyle w:val="0"/>
        <w:spacing w:before="240" w:lineRule="auto"/>
        <w:ind w:firstLine="540"/>
        <w:jc w:val="both"/>
      </w:pPr>
      <w:r>
        <w:rPr>
          <w:sz w:val="24"/>
        </w:rPr>
        <w:t xml:space="preserve">8.47. Размещение устройств контроля и управления технологическим оборудованием (приборные панели контрольно-измерительных приборов, кнопки управления), к которым в процессе эксплуатации АЗС необходимо обеспечить доступ персонала, должно быть предусмотрено в помещениях (отсеках), отделенных от остального оборудования технологической системы АЗС перегородками первого типа и имеющих выход из здания или сооружения непосредственно наружу, или в щитах управления и контроля, расположенных снаружи здания или сооружения.</w:t>
      </w:r>
    </w:p>
    <w:p>
      <w:pPr>
        <w:pStyle w:val="0"/>
        <w:spacing w:before="240" w:lineRule="auto"/>
        <w:ind w:firstLine="540"/>
        <w:jc w:val="both"/>
      </w:pPr>
      <w:r>
        <w:rPr>
          <w:sz w:val="24"/>
        </w:rPr>
        <w:t xml:space="preserve">8.48. На АГНКС допускается предусматривать площадку заправки на один ПАГЗ (МЭГК) КПГ при выполнении следующих условий:</w:t>
      </w:r>
    </w:p>
    <w:p>
      <w:pPr>
        <w:pStyle w:val="0"/>
        <w:jc w:val="both"/>
      </w:pPr>
      <w:r>
        <w:rPr>
          <w:sz w:val="24"/>
        </w:rPr>
        <w:t xml:space="preserve">(в ред. </w:t>
      </w:r>
      <w:hyperlink w:history="0" r:id="rId11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отсутствие на АГНКС зданий и сооружений сервисного обслуживания водителей, пассажиров и их транспортных средств;</w:t>
      </w:r>
    </w:p>
    <w:p>
      <w:pPr>
        <w:pStyle w:val="0"/>
        <w:spacing w:before="240" w:lineRule="auto"/>
        <w:ind w:firstLine="540"/>
        <w:jc w:val="both"/>
      </w:pPr>
      <w:r>
        <w:rPr>
          <w:sz w:val="24"/>
        </w:rPr>
        <w:t xml:space="preserve">размещение площадки заправки ПАГЗ (МЭГК) по отношению к зданиям, сооружениям и оборудованию АГНКС на расстояниях, регламентированных настоящим сводом правил для наземных и надземных наружных установок с КПГ;</w:t>
      </w:r>
    </w:p>
    <w:p>
      <w:pPr>
        <w:pStyle w:val="0"/>
        <w:spacing w:before="240" w:lineRule="auto"/>
        <w:ind w:firstLine="540"/>
        <w:jc w:val="both"/>
      </w:pPr>
      <w:r>
        <w:rPr>
          <w:sz w:val="24"/>
        </w:rPr>
        <w:t xml:space="preserve">устройство защитных экранов по </w:t>
      </w:r>
      <w:hyperlink w:history="0" w:anchor="P1173" w:tooltip="8.16. Защитные экраны, предусматриваемые с целью сокращения расстояний в соответствии с пунктами 8.3 и 8.4 настоящего свода правил, должны обеспечивать предотвращение выброса струи природного газа при аварийной разгерметизации оборудования и разлета осколков при физическом разрушении этого оборудования в сторону защищаемого объекта в горизонтальном направлении.">
        <w:r>
          <w:rPr>
            <w:sz w:val="24"/>
            <w:color w:val="0000ff"/>
          </w:rPr>
          <w:t xml:space="preserve">пункту 8.16</w:t>
        </w:r>
      </w:hyperlink>
      <w:r>
        <w:rPr>
          <w:sz w:val="24"/>
        </w:rPr>
        <w:t xml:space="preserve"> настоящего свода правил по границе площадки со стороны заправочных островков;</w:t>
      </w:r>
    </w:p>
    <w:p>
      <w:pPr>
        <w:pStyle w:val="0"/>
        <w:spacing w:before="240" w:lineRule="auto"/>
        <w:ind w:firstLine="540"/>
        <w:jc w:val="both"/>
      </w:pPr>
      <w:r>
        <w:rPr>
          <w:sz w:val="24"/>
        </w:rPr>
        <w:t xml:space="preserve">установка сигнализаторов довзрывоопасных концентраций с выполнением требований </w:t>
      </w:r>
      <w:hyperlink w:history="0" w:anchor="P1268" w:tooltip="8.40. Технологические колодцы с оборудованием СУГ и СПГ, шахты (с наличием свободного пространства) резервуаров СУГ, приямки с оборудованием с КПГ и/или СПГ, площадки для АЦ СУГ и АЦ СПГ, заправочные островки, на которых транспортные средства могут заправляться СУГ или СПГ, а также сооружения, в которых обращаются КВ, КПГ, СПГ и СУГ, имеющие вертикальные ограждающие конструкции с отношением площади отверстий к полной площади преграды более 50%, должны быть оборудованы сигнализаторами довзрывоопасных конц...">
        <w:r>
          <w:rPr>
            <w:sz w:val="24"/>
            <w:color w:val="0000ff"/>
          </w:rPr>
          <w:t xml:space="preserve">пункта 8.40</w:t>
        </w:r>
      </w:hyperlink>
      <w:r>
        <w:rPr>
          <w:sz w:val="24"/>
        </w:rPr>
        <w:t xml:space="preserve"> настоящего свода правил под перекрытием навеса (при наличии навеса над площадкой ПАГЗ (МЭГК));</w:t>
      </w:r>
    </w:p>
    <w:p>
      <w:pPr>
        <w:pStyle w:val="0"/>
        <w:spacing w:before="240" w:lineRule="auto"/>
        <w:ind w:firstLine="540"/>
        <w:jc w:val="both"/>
      </w:pPr>
      <w:r>
        <w:rPr>
          <w:sz w:val="24"/>
        </w:rPr>
        <w:t xml:space="preserve">обеспечение выполнения требований </w:t>
      </w:r>
      <w:hyperlink w:history="0" w:anchor="P1207" w:tooltip="8.26. Конструкция технологических систем должна предусматривать возможность дистанционного (из операторной АЗС) и автоматического (при срабатывании систем противоаварийной защиты) управления процессом сброса КПГ, КВ, опорожнения (путем сброса паров) оборудования от СПГ (в том числе мерных емкостей) и опорожнения (путем сброса паров) отсеченных с обеих сторон надземных или расположенных в помещениях трубопроводов и оборудования от СПГ и СУГ на сбросные трубы технологической системы АЗС вертикально вверх.">
        <w:r>
          <w:rPr>
            <w:sz w:val="24"/>
            <w:color w:val="0000ff"/>
          </w:rPr>
          <w:t xml:space="preserve">пунктов 8.26</w:t>
        </w:r>
      </w:hyperlink>
      <w:r>
        <w:rPr>
          <w:sz w:val="24"/>
        </w:rPr>
        <w:t xml:space="preserve">, </w:t>
      </w:r>
      <w:hyperlink w:history="0" w:anchor="P1282" w:tooltip="8.43. На трубопроводах технологической системы АЗС для паровой и жидкой фазы СУГ, КВ, КПГ и СПГ в непосредственной близости от места их подсоединения к рукавам АЦ, раздаточным колонкам и шлангам раздаточных колонок следует предусматривать специальные устройства, обеспечивающие предотвращение поступления газа из оборудования этой системы в атмосферу при нарушении герметичности указанных рукавов и шлангов, а также при повреждении раздаточных колонок вследствие наезда на них транспортного средства.">
        <w:r>
          <w:rPr>
            <w:sz w:val="24"/>
            <w:color w:val="0000ff"/>
          </w:rPr>
          <w:t xml:space="preserve">8.43</w:t>
        </w:r>
      </w:hyperlink>
      <w:r>
        <w:rPr>
          <w:sz w:val="24"/>
        </w:rPr>
        <w:t xml:space="preserve">, </w:t>
      </w:r>
      <w:hyperlink w:history="0" w:anchor="P1285" w:tooltip="8.44. Сосуды технологической системы для КПГ или КВ, находящиеся под избыточным давлением и установленные наземно (надземно), должны быть оборудованы теплоизоляцией или системой водяного орошения, предотвращающими разрушение защищаемых сосудов вследствие воздействия на них теплового излучения очага пожара в течение не менее 30 минут. Время сброса избыточного давления газа из указанных сосудов (через сбросную трубу) в этом случае не должно превышать 20 минут.">
        <w:r>
          <w:rPr>
            <w:sz w:val="24"/>
            <w:color w:val="0000ff"/>
          </w:rPr>
          <w:t xml:space="preserve">8.44</w:t>
        </w:r>
      </w:hyperlink>
      <w:r>
        <w:rPr>
          <w:sz w:val="24"/>
        </w:rPr>
        <w:t xml:space="preserve"> и </w:t>
      </w:r>
      <w:hyperlink w:history="0" w:anchor="P1291" w:tooltip="8.46. При устройстве внешней теплоизоляции оборудования, в котором обращаются топливо и/или его пары, и в помещениях, в которых оно установлено, использование горючих материалов, а также материалов, способных адсорбировать топливо и его пары, не допускается.">
        <w:r>
          <w:rPr>
            <w:sz w:val="24"/>
            <w:color w:val="0000ff"/>
          </w:rPr>
          <w:t xml:space="preserve">8.46</w:t>
        </w:r>
      </w:hyperlink>
      <w:r>
        <w:rPr>
          <w:sz w:val="24"/>
        </w:rPr>
        <w:t xml:space="preserve"> настоящего свода правил при заправке аккумуляторов ПАГЗ (МЭГК) природным газом по аналогии с наполнением аккумуляторов газа технологической системы АЗС;</w:t>
      </w:r>
    </w:p>
    <w:p>
      <w:pPr>
        <w:pStyle w:val="0"/>
        <w:spacing w:before="240" w:lineRule="auto"/>
        <w:ind w:firstLine="540"/>
        <w:jc w:val="both"/>
      </w:pPr>
      <w:r>
        <w:rPr>
          <w:sz w:val="24"/>
        </w:rPr>
        <w:t xml:space="preserve">обеспечение визуального контроля за процессом заправки аккумуляторов ПАГЗ (МЭГК) природным газом из операторной АЗС (допускается посредством видеонаблюдения).</w:t>
      </w:r>
    </w:p>
    <w:p>
      <w:pPr>
        <w:pStyle w:val="0"/>
        <w:spacing w:before="240" w:lineRule="auto"/>
        <w:ind w:firstLine="540"/>
        <w:jc w:val="both"/>
      </w:pPr>
      <w:r>
        <w:rPr>
          <w:sz w:val="24"/>
        </w:rPr>
        <w:t xml:space="preserve">8.49. АЗС (за исключением АЗС, приведенных в </w:t>
      </w:r>
      <w:hyperlink w:history="0" w:anchor="P275" w:tooltip="6.37. Наружное пожаротушение АЗС должно осуществляться не менее чем от двух пожарных гидрантов или от противопожарного водоема (резервуара), которые должны быть расположены на расстоянии не более 200 м от АЗС.">
        <w:r>
          <w:rPr>
            <w:sz w:val="24"/>
            <w:color w:val="0000ff"/>
          </w:rPr>
          <w:t xml:space="preserve">пунктах 6.37</w:t>
        </w:r>
      </w:hyperlink>
      <w:r>
        <w:rPr>
          <w:sz w:val="24"/>
        </w:rPr>
        <w:t xml:space="preserve">, </w:t>
      </w:r>
      <w:hyperlink w:history="0" w:anchor="P281" w:tooltip="6.38. Наружное противопожарное водоснабжение АГНКС или АЗС жидкого моторного топлива, размещенных вне населенных пунктов, допускается предусматривать от противопожарных водоемов (резервуаров) общей вместимостью не менее 3 м3 в следующих случаях:">
        <w:r>
          <w:rPr>
            <w:sz w:val="24"/>
            <w:color w:val="0000ff"/>
          </w:rPr>
          <w:t xml:space="preserve">6.38</w:t>
        </w:r>
      </w:hyperlink>
      <w:r>
        <w:rPr>
          <w:sz w:val="24"/>
        </w:rPr>
        <w:t xml:space="preserve"> и с учетом допущений, регламентированных в </w:t>
      </w:r>
      <w:hyperlink w:history="0" w:anchor="P1721" w:tooltip="СПЕЦИФИЧЕСКИЕ ТРЕБОВАНИЯ">
        <w:r>
          <w:rPr>
            <w:sz w:val="24"/>
            <w:color w:val="0000ff"/>
          </w:rPr>
          <w:t xml:space="preserve">приложениях Е</w:t>
        </w:r>
      </w:hyperlink>
      <w:r>
        <w:rPr>
          <w:sz w:val="24"/>
        </w:rPr>
        <w:t xml:space="preserve"> и </w:t>
      </w:r>
      <w:hyperlink w:history="0" w:anchor="P1815" w:tooltip="СПЕЦИФИЧЕСКИЕ ТРЕБОВАНИЯ">
        <w:r>
          <w:rPr>
            <w:sz w:val="24"/>
            <w:color w:val="0000ff"/>
          </w:rPr>
          <w:t xml:space="preserve">Ж</w:t>
        </w:r>
      </w:hyperlink>
      <w:r>
        <w:rPr>
          <w:sz w:val="24"/>
        </w:rPr>
        <w:t xml:space="preserve">), независимо от места их размещения, должны быть оснащены наружным противопожарным водопроводом.</w:t>
      </w:r>
    </w:p>
    <w:p>
      <w:pPr>
        <w:pStyle w:val="0"/>
        <w:jc w:val="both"/>
      </w:pPr>
      <w:r>
        <w:rPr>
          <w:sz w:val="24"/>
        </w:rPr>
        <w:t xml:space="preserve">(в ред. </w:t>
      </w:r>
      <w:hyperlink w:history="0" r:id="rId117"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Подачу воды на наружное пожаротушение и орошение указанных АЗС допускается осуществлять посредством насосной станции пожаротушения от противопожарных водоемов или резервуаров, расположенных от АЗС на расстоянии не более чем 200 м. При этом общая вместимость противопожарных водоемов или резервуаров должна быть определена расчетом, но составлять не менее 200 м3.</w:t>
      </w:r>
    </w:p>
    <w:p>
      <w:pPr>
        <w:pStyle w:val="0"/>
        <w:spacing w:before="240" w:lineRule="auto"/>
        <w:ind w:firstLine="540"/>
        <w:jc w:val="both"/>
      </w:pPr>
      <w:r>
        <w:rPr>
          <w:sz w:val="24"/>
        </w:rPr>
        <w:t xml:space="preserve">Время восстановления пожарного объема воды не должно превышать 24 часа.</w:t>
      </w:r>
    </w:p>
    <w:bookmarkStart w:id="1305" w:name="P1305"/>
    <w:bookmarkEnd w:id="1305"/>
    <w:p>
      <w:pPr>
        <w:pStyle w:val="0"/>
        <w:spacing w:before="240" w:lineRule="auto"/>
        <w:ind w:firstLine="540"/>
        <w:jc w:val="both"/>
      </w:pPr>
      <w:r>
        <w:rPr>
          <w:sz w:val="24"/>
        </w:rPr>
        <w:t xml:space="preserve">8.50. Для обеспечения охлаждения надземного (наземного) оборудования с СУГ на складской площадке, а также резервуаров хранения СПГ, транспортных емкостей (сосудов) АЦ СУГ и АЦ СПГ, которые не отвечают требованиям </w:t>
      </w:r>
      <w:hyperlink w:history="0" w:anchor="P203"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
        <w:r>
          <w:rPr>
            <w:sz w:val="24"/>
            <w:color w:val="0000ff"/>
          </w:rPr>
          <w:t xml:space="preserve">пункта 6.6</w:t>
        </w:r>
      </w:hyperlink>
      <w:r>
        <w:rPr>
          <w:sz w:val="24"/>
        </w:rPr>
        <w:t xml:space="preserve"> настоящего свода правил, следует предусматривать устройство стационарных систем водяного орошения, обеспечивающих подачу воды на поверхности указанного оборудования в случае пожара.</w:t>
      </w:r>
    </w:p>
    <w:p>
      <w:pPr>
        <w:pStyle w:val="0"/>
        <w:spacing w:before="240" w:lineRule="auto"/>
        <w:ind w:firstLine="540"/>
        <w:jc w:val="both"/>
      </w:pPr>
      <w:r>
        <w:rPr>
          <w:sz w:val="24"/>
        </w:rPr>
        <w:t xml:space="preserve">8.51. Стационарные системы водяного орошения должны быть подключены к противопожарному водопроводу высокого давления с дистанционным пуском из помещения операторной.</w:t>
      </w:r>
    </w:p>
    <w:p>
      <w:pPr>
        <w:pStyle w:val="0"/>
        <w:spacing w:before="240" w:lineRule="auto"/>
        <w:ind w:firstLine="540"/>
        <w:jc w:val="both"/>
      </w:pPr>
      <w:r>
        <w:rPr>
          <w:sz w:val="24"/>
        </w:rPr>
        <w:t xml:space="preserve">Размещение и конструктивное исполнение системы водяного орошения должно обеспечивать ее устойчивость к тепловому излучению пожара.</w:t>
      </w:r>
    </w:p>
    <w:bookmarkStart w:id="1308" w:name="P1308"/>
    <w:bookmarkEnd w:id="1308"/>
    <w:p>
      <w:pPr>
        <w:pStyle w:val="0"/>
        <w:spacing w:before="240" w:lineRule="auto"/>
        <w:ind w:firstLine="540"/>
        <w:jc w:val="both"/>
      </w:pPr>
      <w:r>
        <w:rPr>
          <w:sz w:val="24"/>
        </w:rPr>
        <w:t xml:space="preserve">8.52. Расход воды на наружное пожаротушение многотопливной АЗС, АГЗС и КриоАЗС определяется расчетом как суммарный расход воды, включающий в себя максимальное из значений расхода на пожаротушение зданий и общий расход воды на охлаждение наземно (надземно) расположенного оборудования с СУГ, СПГ и КПГ (за исключением двустенных резервуаров СУГ и двухоболочечных резервуаров СПГ, включая транспортные емкости АЦ, отвечающих требованиям </w:t>
      </w:r>
      <w:hyperlink w:history="0" w:anchor="P203"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
        <w:r>
          <w:rPr>
            <w:sz w:val="24"/>
            <w:color w:val="0000ff"/>
          </w:rPr>
          <w:t xml:space="preserve">пункта 6.6</w:t>
        </w:r>
      </w:hyperlink>
      <w:r>
        <w:rPr>
          <w:sz w:val="24"/>
        </w:rPr>
        <w:t xml:space="preserve"> настоящего свода правил). При определении общего расхода воды на охлаждение указанного оборудования в качестве расхода воды на охлаждение транспортных емкостей АЦ следует учитывать максимальное из значений расхода воды на орошение только тех АЦ, которые допущены проектом к единовременному нахождению на территории АЗС.</w:t>
      </w:r>
    </w:p>
    <w:p>
      <w:pPr>
        <w:pStyle w:val="0"/>
        <w:spacing w:before="240" w:lineRule="auto"/>
        <w:ind w:firstLine="540"/>
        <w:jc w:val="both"/>
      </w:pPr>
      <w:r>
        <w:rPr>
          <w:sz w:val="24"/>
        </w:rPr>
        <w:t xml:space="preserve">Интенсивность подачи воды на охлаждение указанного оборудования следует принимать:</w:t>
      </w:r>
    </w:p>
    <w:p>
      <w:pPr>
        <w:pStyle w:val="0"/>
        <w:spacing w:before="240" w:lineRule="auto"/>
        <w:ind w:firstLine="540"/>
        <w:jc w:val="both"/>
      </w:pPr>
      <w:r>
        <w:rPr>
          <w:sz w:val="24"/>
        </w:rPr>
        <w:t xml:space="preserve">для поверхности резервуаров (сосудов) с СУГ и СПГ (включая АЦ) - не менее 0,1 литра в секунду на 1 м2 защищаемой поверхности;</w:t>
      </w:r>
    </w:p>
    <w:p>
      <w:pPr>
        <w:pStyle w:val="0"/>
        <w:spacing w:before="240" w:lineRule="auto"/>
        <w:ind w:firstLine="540"/>
        <w:jc w:val="both"/>
      </w:pPr>
      <w:r>
        <w:rPr>
          <w:sz w:val="24"/>
        </w:rPr>
        <w:t xml:space="preserve">для мест расположения функционального оборудования, включая емкости, баллоны, штуцеры и предохранительные клапаны, узлы отключающей арматуры, трубопроводы и оборудование насосной, не менее 0,5 литра в секунду на 1 м2 защищаемой поверхности.</w:t>
      </w:r>
    </w:p>
    <w:p>
      <w:pPr>
        <w:pStyle w:val="0"/>
        <w:spacing w:before="240" w:lineRule="auto"/>
        <w:ind w:firstLine="540"/>
        <w:jc w:val="both"/>
      </w:pPr>
      <w:r>
        <w:rPr>
          <w:sz w:val="24"/>
        </w:rPr>
        <w:t xml:space="preserve">Расчетное время подачи воды на охлаждение АЦ, оборудования СУГ и резервуаров СПГ следует принимать не менее 60 минут. Расчетное время подачи воды на охлаждение оборудования с КПГ и СПГ (за исключением резервуаров хранения и транспортных емкостей АЦ) следует принимать не менее времени полного сброса из указанного оборудования избыточного давления газа на сбросные трубы технологической системы АЗС, увеличенного на 20%.</w:t>
      </w:r>
    </w:p>
    <w:p>
      <w:pPr>
        <w:pStyle w:val="0"/>
        <w:spacing w:before="240" w:lineRule="auto"/>
        <w:ind w:firstLine="540"/>
        <w:jc w:val="both"/>
      </w:pPr>
      <w:r>
        <w:rPr>
          <w:sz w:val="24"/>
        </w:rPr>
        <w:t xml:space="preserve">При этом общий расход воды на охлаждение надземных резервуаров (сосудов) должен быть не менее 15 литров в секунду.</w:t>
      </w:r>
    </w:p>
    <w:p>
      <w:pPr>
        <w:pStyle w:val="0"/>
        <w:spacing w:before="240" w:lineRule="auto"/>
        <w:ind w:firstLine="540"/>
        <w:jc w:val="both"/>
      </w:pPr>
      <w:r>
        <w:rPr>
          <w:sz w:val="24"/>
        </w:rPr>
        <w:t xml:space="preserve">8.53. Помещения, в которых обращается КПГ, СПГ и СУГ, должны оборудоваться автоматической пожарной сигнализацией.</w:t>
      </w:r>
    </w:p>
    <w:p>
      <w:pPr>
        <w:pStyle w:val="0"/>
        <w:spacing w:before="240" w:lineRule="auto"/>
        <w:ind w:firstLine="540"/>
        <w:jc w:val="both"/>
      </w:pPr>
      <w:r>
        <w:rPr>
          <w:sz w:val="24"/>
        </w:rPr>
        <w:t xml:space="preserve">8.54. При срабатывании пожарной сигнализации в помещении АЗС должны быть обеспечены в автоматическом режиме:</w:t>
      </w:r>
    </w:p>
    <w:p>
      <w:pPr>
        <w:pStyle w:val="0"/>
        <w:spacing w:before="240" w:lineRule="auto"/>
        <w:ind w:firstLine="540"/>
        <w:jc w:val="both"/>
      </w:pPr>
      <w:r>
        <w:rPr>
          <w:sz w:val="24"/>
        </w:rPr>
        <w:t xml:space="preserve">подача сигнала о пожаре в помещение операторной с круглосуточным пребыванием в нем персонала АЗС, а также в помещение операторной с круглосуточным пребыванием в нем персонала технологически связанного с этой АЗС объекта (при наличии);</w:t>
      </w:r>
    </w:p>
    <w:p>
      <w:pPr>
        <w:pStyle w:val="0"/>
        <w:spacing w:before="240" w:lineRule="auto"/>
        <w:ind w:firstLine="540"/>
        <w:jc w:val="both"/>
      </w:pPr>
      <w:r>
        <w:rPr>
          <w:sz w:val="24"/>
        </w:rPr>
        <w:t xml:space="preserve">прекращение операций по наполнению резервуаров (сосудов) топливом;</w:t>
      </w:r>
    </w:p>
    <w:p>
      <w:pPr>
        <w:pStyle w:val="0"/>
        <w:spacing w:before="240" w:lineRule="auto"/>
        <w:ind w:firstLine="540"/>
        <w:jc w:val="both"/>
      </w:pPr>
      <w:r>
        <w:rPr>
          <w:sz w:val="24"/>
        </w:rPr>
        <w:t xml:space="preserve">перекрытие запорной арматуры на трубопроводах, сообщающих резервуар хранения СУГ с транспортной емкостью (сосудом) АЦ СУГ и резервуар хранения СПГ с транспортной емкостью (сосудом) АЦ СПГ, а также на трубопроводах подачи топлива на АЗС;</w:t>
      </w:r>
    </w:p>
    <w:p>
      <w:pPr>
        <w:pStyle w:val="0"/>
        <w:spacing w:before="240" w:lineRule="auto"/>
        <w:ind w:firstLine="540"/>
        <w:jc w:val="both"/>
      </w:pPr>
      <w:r>
        <w:rPr>
          <w:sz w:val="24"/>
        </w:rPr>
        <w:t xml:space="preserve">отключение всех топливораздаточных (раздаточных) колонок и компрессорного оборудования.</w:t>
      </w:r>
    </w:p>
    <w:p>
      <w:pPr>
        <w:pStyle w:val="0"/>
        <w:spacing w:before="240" w:lineRule="auto"/>
        <w:ind w:firstLine="540"/>
        <w:jc w:val="both"/>
      </w:pPr>
      <w:r>
        <w:rPr>
          <w:sz w:val="24"/>
        </w:rPr>
        <w:t xml:space="preserve">8.55. Специфические требования к АГЗС с одностенными резервуарами хранения СУГ следует уточнять в соответствии с </w:t>
      </w:r>
      <w:hyperlink w:history="0" w:anchor="P1721" w:tooltip="СПЕЦИФИЧЕСКИЕ ТРЕБОВАНИЯ">
        <w:r>
          <w:rPr>
            <w:sz w:val="24"/>
            <w:color w:val="0000ff"/>
          </w:rPr>
          <w:t xml:space="preserve">приложением Е</w:t>
        </w:r>
      </w:hyperlink>
      <w:r>
        <w:rPr>
          <w:sz w:val="24"/>
        </w:rPr>
        <w:t xml:space="preserve">.</w:t>
      </w:r>
    </w:p>
    <w:p>
      <w:pPr>
        <w:pStyle w:val="0"/>
        <w:jc w:val="both"/>
      </w:pPr>
      <w:r>
        <w:rPr>
          <w:sz w:val="24"/>
        </w:rPr>
        <w:t xml:space="preserve">(в ред. </w:t>
      </w:r>
      <w:hyperlink w:history="0" r:id="rId118"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8.56. Специфические требования к КриоАЗС с резервуарами СПГ в кожухе следует уточнять в соответствии с </w:t>
      </w:r>
      <w:hyperlink w:history="0" w:anchor="P1815" w:tooltip="СПЕЦИФИЧЕСКИЕ ТРЕБОВАНИЯ">
        <w:r>
          <w:rPr>
            <w:sz w:val="24"/>
            <w:color w:val="0000ff"/>
          </w:rPr>
          <w:t xml:space="preserve">приложением Ж</w:t>
        </w:r>
      </w:hyperlink>
      <w:r>
        <w:rPr>
          <w:sz w:val="24"/>
        </w:rPr>
        <w:t xml:space="preserve">.</w:t>
      </w:r>
    </w:p>
    <w:p>
      <w:pPr>
        <w:pStyle w:val="0"/>
        <w:jc w:val="both"/>
      </w:pPr>
      <w:r>
        <w:rPr>
          <w:sz w:val="24"/>
        </w:rPr>
        <w:t xml:space="preserve">(в ред. </w:t>
      </w:r>
      <w:hyperlink w:history="0" r:id="rId119"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8.57. Специфические требования к передвижным автомобильным КриоАЗС, газонаполнительным и газозаправочным станциям следует уточнять в соответствии с </w:t>
      </w:r>
      <w:hyperlink w:history="0" w:anchor="P1891" w:tooltip="СПЕЦИФИЧЕСКИЕ ТРЕБОВАНИЯ">
        <w:r>
          <w:rPr>
            <w:sz w:val="24"/>
            <w:color w:val="0000ff"/>
          </w:rPr>
          <w:t xml:space="preserve">приложением З</w:t>
        </w:r>
      </w:hyperlink>
      <w:r>
        <w:rPr>
          <w:sz w:val="24"/>
        </w:rPr>
        <w:t xml:space="preserve">.</w:t>
      </w:r>
    </w:p>
    <w:p>
      <w:pPr>
        <w:pStyle w:val="0"/>
        <w:jc w:val="both"/>
      </w:pPr>
      <w:r>
        <w:rPr>
          <w:sz w:val="24"/>
        </w:rPr>
        <w:t xml:space="preserve">(в ред. </w:t>
      </w:r>
      <w:hyperlink w:history="0" r:id="rId120"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w:t>
        </w:r>
      </w:hyperlink>
      <w:r>
        <w:rPr>
          <w:sz w:val="24"/>
        </w:rPr>
        <w:t xml:space="preserve"> N 2, утв. Приказом МЧС России от 21.06.2024 N 505)</w:t>
      </w:r>
    </w:p>
    <w:p>
      <w:pPr>
        <w:pStyle w:val="0"/>
        <w:spacing w:before="240" w:lineRule="auto"/>
        <w:ind w:firstLine="540"/>
        <w:jc w:val="both"/>
      </w:pPr>
      <w:r>
        <w:rPr>
          <w:sz w:val="24"/>
        </w:rPr>
        <w:t xml:space="preserve">8.58 Специфические требования к передвижным АГНСВ следует уточнять в соответствии с </w:t>
      </w:r>
      <w:hyperlink w:history="0" w:anchor="P1917" w:tooltip="СПЕЦИФИЧЕСКИЕ ТРЕБОВАНИЯ">
        <w:r>
          <w:rPr>
            <w:sz w:val="24"/>
            <w:color w:val="0000ff"/>
          </w:rPr>
          <w:t xml:space="preserve">приложением И</w:t>
        </w:r>
      </w:hyperlink>
      <w:r>
        <w:rPr>
          <w:sz w:val="24"/>
        </w:rPr>
        <w:t xml:space="preserve">.</w:t>
      </w:r>
    </w:p>
    <w:p>
      <w:pPr>
        <w:pStyle w:val="0"/>
        <w:jc w:val="both"/>
      </w:pPr>
      <w:r>
        <w:rPr>
          <w:sz w:val="24"/>
        </w:rPr>
        <w:t xml:space="preserve">(п. 8.58 введен </w:t>
      </w:r>
      <w:hyperlink w:history="0" r:id="rId121"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w:t>
        </w:r>
      </w:hyperlink>
      <w:r>
        <w:rPr>
          <w:sz w:val="24"/>
        </w:rPr>
        <w:t xml:space="preserve"> N 2, утв. Приказом МЧС России от 21.06.2024 N 505)</w:t>
      </w:r>
    </w:p>
    <w:p>
      <w:pPr>
        <w:pStyle w:val="0"/>
        <w:jc w:val="both"/>
      </w:pPr>
      <w:r>
        <w:rPr>
          <w:sz w:val="24"/>
        </w:rPr>
      </w:r>
    </w:p>
    <w:p>
      <w:pPr>
        <w:pStyle w:val="2"/>
        <w:outlineLvl w:val="1"/>
        <w:ind w:firstLine="540"/>
        <w:jc w:val="both"/>
      </w:pPr>
      <w:r>
        <w:rPr>
          <w:sz w:val="24"/>
        </w:rPr>
        <w:t xml:space="preserve">9. Выбор типа противопожарных преград</w:t>
      </w:r>
    </w:p>
    <w:p>
      <w:pPr>
        <w:pStyle w:val="0"/>
        <w:jc w:val="both"/>
      </w:pPr>
      <w:r>
        <w:rPr>
          <w:sz w:val="24"/>
        </w:rPr>
      </w:r>
    </w:p>
    <w:p>
      <w:pPr>
        <w:pStyle w:val="0"/>
        <w:ind w:firstLine="540"/>
        <w:jc w:val="both"/>
      </w:pPr>
      <w:r>
        <w:rPr>
          <w:sz w:val="24"/>
        </w:rPr>
        <w:t xml:space="preserve">Исключен. - </w:t>
      </w:r>
      <w:hyperlink w:history="0" r:id="rId122"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w:t>
        </w:r>
      </w:hyperlink>
      <w:r>
        <w:rPr>
          <w:sz w:val="24"/>
        </w:rPr>
        <w:t xml:space="preserve"> N 2, утв. Приказом МЧС России от 21.06.2024 N 505.</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both"/>
      </w:pPr>
      <w:r>
        <w:rPr>
          <w:sz w:val="24"/>
        </w:rPr>
      </w:r>
    </w:p>
    <w:p>
      <w:pPr>
        <w:pStyle w:val="0"/>
        <w:jc w:val="right"/>
      </w:pPr>
      <w:r>
        <w:rPr>
          <w:sz w:val="24"/>
        </w:rPr>
        <w:t xml:space="preserve">(справочное)</w:t>
      </w:r>
    </w:p>
    <w:p>
      <w:pPr>
        <w:pStyle w:val="0"/>
        <w:jc w:val="both"/>
      </w:pPr>
      <w:r>
        <w:rPr>
          <w:sz w:val="24"/>
        </w:rPr>
      </w:r>
    </w:p>
    <w:bookmarkStart w:id="1341" w:name="P1341"/>
    <w:bookmarkEnd w:id="1341"/>
    <w:p>
      <w:pPr>
        <w:pStyle w:val="2"/>
        <w:jc w:val="center"/>
      </w:pPr>
      <w:r>
        <w:rPr>
          <w:sz w:val="24"/>
        </w:rPr>
        <w:t xml:space="preserve">СИСТЕМЫ</w:t>
      </w:r>
    </w:p>
    <w:p>
      <w:pPr>
        <w:pStyle w:val="2"/>
        <w:jc w:val="center"/>
      </w:pPr>
      <w:r>
        <w:rPr>
          <w:sz w:val="24"/>
        </w:rPr>
        <w:t xml:space="preserve">КОНТРОЛЯ ГЕРМЕТИЧНОСТИ ОДНОСТЕННЫХ РЕЗЕРВУАРОВ</w:t>
      </w:r>
    </w:p>
    <w:p>
      <w:pPr>
        <w:pStyle w:val="2"/>
        <w:jc w:val="center"/>
      </w:pPr>
      <w:r>
        <w:rPr>
          <w:sz w:val="24"/>
        </w:rPr>
        <w:t xml:space="preserve">ИЛИ МЕЖСТЕННОГО ПРОСТРАНСТВА ДВУСТЕННЫХ РЕЗЕРВУАРОВ</w:t>
      </w:r>
    </w:p>
    <w:p>
      <w:pPr>
        <w:pStyle w:val="2"/>
        <w:jc w:val="center"/>
      </w:pPr>
      <w:r>
        <w:rPr>
          <w:sz w:val="24"/>
        </w:rPr>
        <w:t xml:space="preserve">И ТРУБОПРОВОДОВ</w:t>
      </w:r>
    </w:p>
    <w:p>
      <w:pPr>
        <w:pStyle w:val="0"/>
        <w:jc w:val="both"/>
      </w:pPr>
      <w:r>
        <w:rPr>
          <w:sz w:val="24"/>
        </w:rPr>
      </w:r>
    </w:p>
    <w:p>
      <w:pPr>
        <w:pStyle w:val="2"/>
        <w:outlineLvl w:val="2"/>
        <w:ind w:firstLine="540"/>
        <w:jc w:val="both"/>
      </w:pPr>
      <w:r>
        <w:rPr>
          <w:sz w:val="24"/>
        </w:rPr>
        <w:t xml:space="preserve">А.1. Системы периодического контроля герметичности одностенных резервуаров для хранения топлива</w:t>
      </w:r>
    </w:p>
    <w:p>
      <w:pPr>
        <w:pStyle w:val="0"/>
        <w:spacing w:before="240" w:lineRule="auto"/>
        <w:ind w:firstLine="540"/>
        <w:jc w:val="both"/>
      </w:pPr>
      <w:r>
        <w:rPr>
          <w:sz w:val="24"/>
        </w:rPr>
        <w:t xml:space="preserve">А.1.1. Контроль герметичности одностенных подземных резервуаров можно проводить путем периодического отбора проб (газовых или жидкостных), осуществляемого в наиболее низкой части пространства, образуемого стенками резервуаров и оболочек, для их анализа на наличие топлива. С этой целью в материале, которым заполняется указанное пространство, следует предусматривать специальные замерные патрубки.</w:t>
      </w:r>
    </w:p>
    <w:p>
      <w:pPr>
        <w:pStyle w:val="0"/>
        <w:spacing w:before="240" w:lineRule="auto"/>
        <w:ind w:firstLine="540"/>
        <w:jc w:val="both"/>
      </w:pPr>
      <w:r>
        <w:rPr>
          <w:sz w:val="24"/>
        </w:rPr>
        <w:t xml:space="preserve">А.1.2. Контроль герметичности одностенных резервуаров можно проводить, осуществляя наблюдение за падением уровня топлива в резервуаре в период его длительного хранения (операции приема и выдачи топлива не проводятся в течение 3 часов и более) путем нескольких замеров метроштоком или посредством высокоточного электронного уровнемера.</w:t>
      </w:r>
    </w:p>
    <w:bookmarkStart w:id="1349" w:name="P1349"/>
    <w:bookmarkEnd w:id="1349"/>
    <w:p>
      <w:pPr>
        <w:pStyle w:val="0"/>
        <w:spacing w:before="240" w:lineRule="auto"/>
        <w:ind w:firstLine="540"/>
        <w:jc w:val="both"/>
      </w:pPr>
      <w:r>
        <w:rPr>
          <w:sz w:val="24"/>
        </w:rPr>
        <w:t xml:space="preserve">А.1.3. Контроль герметичности одностенных резервуаров можно проводить посредством периодических пневматических испытаний. Испытания должны проводиться путем создания в опорожненных от топлива резервуарах избыточного давления инертного газа и последующего наблюдения за его сохранением в течение не менее 30 минут. Для исключения возможности повреждения резервуара при проведении пневматических испытаний в арматуру, предусматриваемую в конструкции технологической системы для указанных испытаний, следует включать предохранительный клапан, предотвращающий превышение допустимого избыточного давления в резервуаре, регламентированного документацией на технологическую систему АЗС.</w:t>
      </w:r>
    </w:p>
    <w:p>
      <w:pPr>
        <w:pStyle w:val="0"/>
        <w:spacing w:before="240" w:lineRule="auto"/>
        <w:ind w:firstLine="540"/>
        <w:jc w:val="both"/>
      </w:pPr>
      <w:r>
        <w:rPr>
          <w:sz w:val="24"/>
        </w:rPr>
        <w:t xml:space="preserve">А.1.4. Контроль герметичности одностенных резервуаров можно проводить посредством периодического обследования негорючего материала, которым заполнено пространство между оболочкой и резервуаром, на предмет наличия топлива методом сравнения электрофизических свойств указанного материала.</w:t>
      </w:r>
    </w:p>
    <w:p>
      <w:pPr>
        <w:pStyle w:val="0"/>
        <w:ind w:firstLine="540"/>
        <w:jc w:val="both"/>
      </w:pPr>
      <w:r>
        <w:rPr>
          <w:sz w:val="24"/>
        </w:rPr>
      </w:r>
    </w:p>
    <w:p>
      <w:pPr>
        <w:pStyle w:val="2"/>
        <w:outlineLvl w:val="2"/>
        <w:ind w:firstLine="540"/>
        <w:jc w:val="both"/>
      </w:pPr>
      <w:r>
        <w:rPr>
          <w:sz w:val="24"/>
        </w:rPr>
        <w:t xml:space="preserve">А.2. Системы периодического контроля герметичности межстенного пространства двустенных резервуаров для хранения жидкого моторного топлива</w:t>
      </w:r>
    </w:p>
    <w:bookmarkStart w:id="1353" w:name="P1353"/>
    <w:bookmarkEnd w:id="1353"/>
    <w:p>
      <w:pPr>
        <w:pStyle w:val="0"/>
        <w:spacing w:before="240" w:lineRule="auto"/>
        <w:ind w:firstLine="540"/>
        <w:jc w:val="both"/>
      </w:pPr>
      <w:r>
        <w:rPr>
          <w:sz w:val="24"/>
        </w:rPr>
        <w:t xml:space="preserve">А.2.1. Контроль герметичности межстенного пространства двустенных резервуаров можно проводить посредством периодических пневматических испытаний. Испытания должны проводиться путем создания избыточного давления инертного газа в указанном пространстве при выполнении требований, указанных в </w:t>
      </w:r>
      <w:hyperlink w:history="0" w:anchor="P1349" w:tooltip="А.1.3. Контроль герметичности одностенных резервуаров можно проводить посредством периодических пневматических испытаний. Испытания должны проводиться путем создания в опорожненных от топлива резервуарах избыточного давления инертного газа и последующего наблюдения за его сохранением в течение не менее 30 минут. Для исключения возможности повреждения резервуара при проведении пневматических испытаний в арматуру, предусматриваемую в конструкции технологической системы для указанных испытаний, следует вклю...">
        <w:r>
          <w:rPr>
            <w:sz w:val="24"/>
            <w:color w:val="0000ff"/>
          </w:rPr>
          <w:t xml:space="preserve">пункте А.1.3</w:t>
        </w:r>
      </w:hyperlink>
      <w:r>
        <w:rPr>
          <w:sz w:val="24"/>
        </w:rPr>
        <w:t xml:space="preserve"> настоящего приложения.</w:t>
      </w:r>
    </w:p>
    <w:bookmarkStart w:id="1354" w:name="P1354"/>
    <w:bookmarkEnd w:id="1354"/>
    <w:p>
      <w:pPr>
        <w:pStyle w:val="0"/>
        <w:spacing w:before="240" w:lineRule="auto"/>
        <w:ind w:firstLine="540"/>
        <w:jc w:val="both"/>
      </w:pPr>
      <w:r>
        <w:rPr>
          <w:sz w:val="24"/>
        </w:rPr>
        <w:t xml:space="preserve">А.2.2. Контроль герметичности межстенного пространства двустенных резервуаров жидкого моторного топлива можно проводить путем периодического контроля уровня жидкости, которой заполняется межстенное пространство.</w:t>
      </w:r>
    </w:p>
    <w:p>
      <w:pPr>
        <w:pStyle w:val="0"/>
        <w:spacing w:before="240" w:lineRule="auto"/>
        <w:ind w:firstLine="540"/>
        <w:jc w:val="both"/>
      </w:pPr>
      <w:r>
        <w:rPr>
          <w:sz w:val="24"/>
        </w:rPr>
        <w:t xml:space="preserve">В качестве такой жидкости допускается использовать вещества, удовлетворяющие одновременно следующим требованиям: плотность жидкости должна быть выше плотности топлива; температура вспышки жидкости не должна быть ниже 100 °C, жидкость не должна вступать в реакцию с материалами и веществами, применяемыми в конструкции резервуара, и топливом; жидкость должна сохранять свойства, обеспечивающие ее функциональное назначение при температурах окружающей среды в условиях эксплуатации резервуаров.</w:t>
      </w:r>
    </w:p>
    <w:p>
      <w:pPr>
        <w:pStyle w:val="0"/>
        <w:spacing w:before="240" w:lineRule="auto"/>
        <w:ind w:firstLine="540"/>
        <w:jc w:val="both"/>
      </w:pPr>
      <w:r>
        <w:rPr>
          <w:sz w:val="24"/>
        </w:rPr>
        <w:t xml:space="preserve">Жидкостью должно быть заполнено все межстенное пространство резервуара. Межстенное пространство должно быть оснащено системой откачки из него жидкости закрытым способом. Возможность образования воздушного пространства при увеличении плотности жидкости за счет снижения температуры окружающего воздуха должна быть исключена (посредством устройства расширительного бака). Дыхательный патрубок межстенного пространства должен быть оборудован огнепреградителем.</w:t>
      </w:r>
    </w:p>
    <w:p>
      <w:pPr>
        <w:pStyle w:val="0"/>
        <w:ind w:firstLine="540"/>
        <w:jc w:val="both"/>
      </w:pPr>
      <w:r>
        <w:rPr>
          <w:sz w:val="24"/>
        </w:rPr>
      </w:r>
    </w:p>
    <w:p>
      <w:pPr>
        <w:pStyle w:val="2"/>
        <w:outlineLvl w:val="2"/>
        <w:ind w:firstLine="540"/>
        <w:jc w:val="both"/>
      </w:pPr>
      <w:r>
        <w:rPr>
          <w:sz w:val="24"/>
        </w:rPr>
        <w:t xml:space="preserve">А.3. Системы постоянного контроля герметичности одностенных резервуаров для хранения жидкого моторного топлива</w:t>
      </w:r>
    </w:p>
    <w:p>
      <w:pPr>
        <w:pStyle w:val="0"/>
        <w:spacing w:before="240" w:lineRule="auto"/>
        <w:ind w:firstLine="540"/>
        <w:jc w:val="both"/>
      </w:pPr>
      <w:r>
        <w:rPr>
          <w:sz w:val="24"/>
        </w:rPr>
        <w:t xml:space="preserve">А.3.1. Контроль герметичности одностенных резервуаров можно проводить путем непрерывного наблюдения за наличием утечек топлива в наиболее низкой части пространства, образуемого стенками резервуаров и оболочек, в автоматическом режиме с использованием специальных стационарно установленных датчиков.</w:t>
      </w:r>
    </w:p>
    <w:p>
      <w:pPr>
        <w:pStyle w:val="0"/>
        <w:spacing w:before="240" w:lineRule="auto"/>
        <w:ind w:firstLine="540"/>
        <w:jc w:val="both"/>
      </w:pPr>
      <w:r>
        <w:rPr>
          <w:sz w:val="24"/>
        </w:rPr>
        <w:t xml:space="preserve">А.3.2. Контроль герметичности одностенных резервуаров можно проводить путем непрерывного наблюдения за сохранением массового баланса топлива в технологической системе с использованием автоматизированной системы количественного учета топлива при его приеме, хранении и выдаче.</w:t>
      </w:r>
    </w:p>
    <w:p>
      <w:pPr>
        <w:pStyle w:val="0"/>
        <w:ind w:firstLine="540"/>
        <w:jc w:val="both"/>
      </w:pPr>
      <w:r>
        <w:rPr>
          <w:sz w:val="24"/>
        </w:rPr>
      </w:r>
    </w:p>
    <w:p>
      <w:pPr>
        <w:pStyle w:val="2"/>
        <w:outlineLvl w:val="2"/>
        <w:ind w:firstLine="540"/>
        <w:jc w:val="both"/>
      </w:pPr>
      <w:r>
        <w:rPr>
          <w:sz w:val="24"/>
        </w:rPr>
        <w:t xml:space="preserve">А.4. Системы постоянного контроля герметичности межстенного пространства двустенных резервуаров для хранения топлива</w:t>
      </w:r>
    </w:p>
    <w:p>
      <w:pPr>
        <w:pStyle w:val="0"/>
        <w:spacing w:before="240" w:lineRule="auto"/>
        <w:ind w:firstLine="540"/>
        <w:jc w:val="both"/>
      </w:pPr>
      <w:r>
        <w:rPr>
          <w:sz w:val="24"/>
        </w:rPr>
        <w:t xml:space="preserve">А.4.1. Контроль герметичности межстенного пространства двустенных резервуаров можно проводить путем непрерывного автоматического контроля уровня жидкости, которой заполняется межстенное пространство, с помощью соответствующего датчика-сигнализатора уровня.</w:t>
      </w:r>
    </w:p>
    <w:p>
      <w:pPr>
        <w:pStyle w:val="0"/>
        <w:spacing w:before="240" w:lineRule="auto"/>
        <w:ind w:firstLine="540"/>
        <w:jc w:val="both"/>
      </w:pPr>
      <w:r>
        <w:rPr>
          <w:sz w:val="24"/>
        </w:rPr>
        <w:t xml:space="preserve">Порог срабатывания системы должен соответствовать уменьшению высоты столба жидкости в расширительном баке, установленном над межстенным пространством резервуара, на величину, указанную в документации на технологическую систему АЗС. При этом на систему контроля герметичности межстенного пространства двустенных резервуаров распространяются требования, изложенные в </w:t>
      </w:r>
      <w:hyperlink w:history="0" w:anchor="P1354" w:tooltip="А.2.2. Контроль герметичности межстенного пространства двустенных резервуаров жидкого моторного топлива можно проводить путем периодического контроля уровня жидкости, которой заполняется межстенное пространство.">
        <w:r>
          <w:rPr>
            <w:sz w:val="24"/>
            <w:color w:val="0000ff"/>
          </w:rPr>
          <w:t xml:space="preserve">пункте А.2.2</w:t>
        </w:r>
      </w:hyperlink>
      <w:r>
        <w:rPr>
          <w:sz w:val="24"/>
        </w:rPr>
        <w:t xml:space="preserve"> настоящего приложения.</w:t>
      </w:r>
    </w:p>
    <w:p>
      <w:pPr>
        <w:pStyle w:val="0"/>
        <w:spacing w:before="240" w:lineRule="auto"/>
        <w:ind w:firstLine="540"/>
        <w:jc w:val="both"/>
      </w:pPr>
      <w:r>
        <w:rPr>
          <w:sz w:val="24"/>
        </w:rPr>
        <w:t xml:space="preserve">А.4.2. Контроль герметичности межстенного пространства двустенных резервуаров можно проводить путем непрерывного автоматического контроля избыточного давления инертного газа в межстенном пространстве резервуара с помощью соответствующего датчика-сигнализатора давления.</w:t>
      </w:r>
    </w:p>
    <w:p>
      <w:pPr>
        <w:pStyle w:val="0"/>
        <w:spacing w:before="240" w:lineRule="auto"/>
        <w:ind w:firstLine="540"/>
        <w:jc w:val="both"/>
      </w:pPr>
      <w:r>
        <w:rPr>
          <w:sz w:val="24"/>
        </w:rPr>
        <w:t xml:space="preserve">Величина избыточного давления инертного газа не должна превышать 0,02 МПа. Для предотвращения превышения величины избыточного давления в межстенном пространстве резервуара, равной 0,02 МПа, необходимо предусматривать предохранительный клапан.</w:t>
      </w:r>
    </w:p>
    <w:p>
      <w:pPr>
        <w:pStyle w:val="0"/>
        <w:spacing w:before="240" w:lineRule="auto"/>
        <w:ind w:firstLine="540"/>
        <w:jc w:val="both"/>
      </w:pPr>
      <w:r>
        <w:rPr>
          <w:sz w:val="24"/>
        </w:rPr>
        <w:t xml:space="preserve">Порог срабатывания системы должен соответствовать уменьшению давления в межстенном пространстве на величину, указанную в документации на технологическую систему АЗС.</w:t>
      </w:r>
    </w:p>
    <w:p>
      <w:pPr>
        <w:pStyle w:val="0"/>
        <w:ind w:firstLine="540"/>
        <w:jc w:val="both"/>
      </w:pPr>
      <w:r>
        <w:rPr>
          <w:sz w:val="24"/>
        </w:rPr>
      </w:r>
    </w:p>
    <w:p>
      <w:pPr>
        <w:pStyle w:val="2"/>
        <w:outlineLvl w:val="2"/>
        <w:ind w:firstLine="540"/>
        <w:jc w:val="both"/>
      </w:pPr>
      <w:r>
        <w:rPr>
          <w:sz w:val="24"/>
        </w:rPr>
        <w:t xml:space="preserve">А.5. Системы объединенного контроля герметичности межстенного пространства двустенных резервуаров для хранения топлива</w:t>
      </w:r>
    </w:p>
    <w:p>
      <w:pPr>
        <w:pStyle w:val="0"/>
        <w:spacing w:before="240" w:lineRule="auto"/>
        <w:ind w:firstLine="540"/>
        <w:jc w:val="both"/>
      </w:pPr>
      <w:r>
        <w:rPr>
          <w:sz w:val="24"/>
        </w:rPr>
        <w:t xml:space="preserve">Контроль герметичности межстенного пространства двустенных резервуаров можно проводить путем непрерывного автоматического контроля за концентрацией паров топлива у дна межстенного пространства резервуара с помощью соответствующего датчика-сигнализатора в сочетании с периодическим контролем, осуществляемым путем периодических пневматических испытаний, требования к которым изложены в </w:t>
      </w:r>
      <w:hyperlink w:history="0" w:anchor="P1353" w:tooltip="А.2.1. Контроль герметичности межстенного пространства двустенных резервуаров можно проводить посредством периодических пневматических испытаний. Испытания должны проводиться путем создания избыточного давления инертного газа в указанном пространстве при выполнении требований, указанных в пункте А.1.3 настоящего приложения.">
        <w:r>
          <w:rPr>
            <w:sz w:val="24"/>
            <w:color w:val="0000ff"/>
          </w:rPr>
          <w:t xml:space="preserve">пункте А.2.1</w:t>
        </w:r>
      </w:hyperlink>
      <w:r>
        <w:rPr>
          <w:sz w:val="24"/>
        </w:rPr>
        <w:t xml:space="preserve"> настоящего приложения.</w:t>
      </w:r>
    </w:p>
    <w:p>
      <w:pPr>
        <w:pStyle w:val="0"/>
        <w:spacing w:before="240" w:lineRule="auto"/>
        <w:ind w:firstLine="540"/>
        <w:jc w:val="both"/>
      </w:pPr>
      <w:r>
        <w:rPr>
          <w:sz w:val="24"/>
        </w:rPr>
        <w:t xml:space="preserve">Порог срабатывания системы должен соответствовать превышению величины концентрации этих паров, равной 20% от наименьшего из значений НКПР паров топлив, допускаемых к хранению в резервуаре. Для исключения возможности воспламенения паров топлива в межстенном пространстве резервуара это пространство должно заполняться инертным газом (например, азотом) путем вытеснения воздуха. При этом концентрация кислорода в межстенном пространстве резервуара не должна превышать 10% объемных.</w:t>
      </w:r>
    </w:p>
    <w:p>
      <w:pPr>
        <w:pStyle w:val="0"/>
        <w:ind w:firstLine="540"/>
        <w:jc w:val="both"/>
      </w:pPr>
      <w:r>
        <w:rPr>
          <w:sz w:val="24"/>
        </w:rPr>
      </w:r>
    </w:p>
    <w:p>
      <w:pPr>
        <w:pStyle w:val="2"/>
        <w:outlineLvl w:val="2"/>
        <w:ind w:firstLine="540"/>
        <w:jc w:val="both"/>
      </w:pPr>
      <w:r>
        <w:rPr>
          <w:sz w:val="24"/>
        </w:rPr>
        <w:t xml:space="preserve">А.6. Системы постоянного контроля герметичности межстенного пространства двухоболочечных резервуаров для хранения СПГ</w:t>
      </w:r>
    </w:p>
    <w:p>
      <w:pPr>
        <w:pStyle w:val="0"/>
        <w:spacing w:before="240" w:lineRule="auto"/>
        <w:ind w:firstLine="540"/>
        <w:jc w:val="both"/>
      </w:pPr>
      <w:r>
        <w:rPr>
          <w:sz w:val="24"/>
        </w:rPr>
        <w:t xml:space="preserve">Контроль герметичности межстенного пространства двухоболочечных резервуаров для хранения СПГ можно проводить путем непрерывного автоматического контроля величины вакуума в межстенном пространстве резервуара с помощью соответствующего датчика-сигнализатора давления.</w:t>
      </w:r>
    </w:p>
    <w:p>
      <w:pPr>
        <w:pStyle w:val="0"/>
        <w:spacing w:before="240" w:lineRule="auto"/>
        <w:ind w:firstLine="540"/>
        <w:jc w:val="both"/>
      </w:pPr>
      <w:r>
        <w:rPr>
          <w:sz w:val="24"/>
        </w:rPr>
        <w:t xml:space="preserve">Порог срабатывания системы должен соответствовать изменению величины разряжения в межстенном пространстве, указанному в документации на технологическую систему АЗС.</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Б</w:t>
      </w:r>
    </w:p>
    <w:p>
      <w:pPr>
        <w:pStyle w:val="0"/>
        <w:jc w:val="both"/>
      </w:pPr>
      <w:r>
        <w:rPr>
          <w:sz w:val="24"/>
        </w:rPr>
      </w:r>
    </w:p>
    <w:bookmarkStart w:id="1383" w:name="P1383"/>
    <w:bookmarkEnd w:id="1383"/>
    <w:p>
      <w:pPr>
        <w:pStyle w:val="2"/>
        <w:jc w:val="center"/>
      </w:pPr>
      <w:r>
        <w:rPr>
          <w:sz w:val="24"/>
        </w:rPr>
        <w:t xml:space="preserve">СПЕЦИФИЧЕСКИЕ ТРЕБОВАНИЯ</w:t>
      </w:r>
    </w:p>
    <w:p>
      <w:pPr>
        <w:pStyle w:val="2"/>
        <w:jc w:val="center"/>
      </w:pPr>
      <w:r>
        <w:rPr>
          <w:sz w:val="24"/>
        </w:rPr>
        <w:t xml:space="preserve">К АЗС ЖИДКОГО МОТОРНОГО ТОПЛИВА, НА КОТОРЫХ</w:t>
      </w:r>
    </w:p>
    <w:p>
      <w:pPr>
        <w:pStyle w:val="2"/>
        <w:jc w:val="center"/>
      </w:pPr>
      <w:r>
        <w:rPr>
          <w:sz w:val="24"/>
        </w:rPr>
        <w:t xml:space="preserve">ПРЕДУСМАТРИВАЕТСЯ ПРИМЕНЕНИЕ ОДНОСТЕННЫХ</w:t>
      </w:r>
    </w:p>
    <w:p>
      <w:pPr>
        <w:pStyle w:val="2"/>
        <w:jc w:val="center"/>
      </w:pPr>
      <w:r>
        <w:rPr>
          <w:sz w:val="24"/>
        </w:rPr>
        <w:t xml:space="preserve">НАДЗЕМНЫХ РЕЗЕРВУАРОВ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2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Б.1. Применение одностенных резервуаров с надземным расположением допускается только на АЗС, размещаемых вне территорий населенных пунктов и предприятий, при выполнении требований настоящего свода правил, а также с учетом изложенных ниже положений.</w:t>
      </w:r>
    </w:p>
    <w:p>
      <w:pPr>
        <w:pStyle w:val="0"/>
        <w:spacing w:before="240" w:lineRule="auto"/>
        <w:ind w:firstLine="540"/>
        <w:jc w:val="both"/>
      </w:pPr>
      <w:r>
        <w:rPr>
          <w:sz w:val="24"/>
        </w:rPr>
        <w:t xml:space="preserve">Б.2. Разделение контейнерной АЗС на типы А и Б проводится исходя из условий:</w:t>
      </w:r>
    </w:p>
    <w:p>
      <w:pPr>
        <w:pStyle w:val="0"/>
        <w:spacing w:before="240" w:lineRule="auto"/>
        <w:ind w:firstLine="540"/>
        <w:jc w:val="both"/>
      </w:pPr>
      <w:r>
        <w:rPr>
          <w:sz w:val="24"/>
        </w:rPr>
        <w:t xml:space="preserve">тип А - общая вместимость резервуаров АЗС от 20 до 60 м3; тип Б - общая вместимость резервуаров АЗС не более 20 м3.</w:t>
      </w:r>
    </w:p>
    <w:p>
      <w:pPr>
        <w:pStyle w:val="0"/>
        <w:spacing w:before="240" w:lineRule="auto"/>
        <w:ind w:firstLine="540"/>
        <w:jc w:val="both"/>
      </w:pPr>
      <w:r>
        <w:rPr>
          <w:sz w:val="24"/>
        </w:rPr>
        <w:t xml:space="preserve">Общая вместимость резервуаров модульной АЗС должна составлять: для типа А - от 40 до 100 м3, для типа Б - не более 40 м3.</w:t>
      </w:r>
    </w:p>
    <w:p>
      <w:pPr>
        <w:pStyle w:val="0"/>
        <w:spacing w:before="240" w:lineRule="auto"/>
        <w:ind w:firstLine="540"/>
        <w:jc w:val="both"/>
      </w:pPr>
      <w:r>
        <w:rPr>
          <w:sz w:val="24"/>
        </w:rPr>
        <w:t xml:space="preserve">Единичная емкость резервуаров не должна превышать 10 м3.</w:t>
      </w:r>
    </w:p>
    <w:p>
      <w:pPr>
        <w:pStyle w:val="0"/>
        <w:spacing w:before="240" w:lineRule="auto"/>
        <w:ind w:firstLine="540"/>
        <w:jc w:val="both"/>
      </w:pPr>
      <w:r>
        <w:rPr>
          <w:sz w:val="24"/>
        </w:rPr>
        <w:t xml:space="preserve">Б.3. Минимальные расстояния от АЗС с одностенными надземными резервуарами до других объектов принимаются в соответствии с таблицей Б.1.</w:t>
      </w:r>
    </w:p>
    <w:p>
      <w:pPr>
        <w:pStyle w:val="0"/>
        <w:jc w:val="both"/>
      </w:pPr>
      <w:r>
        <w:rPr>
          <w:sz w:val="24"/>
        </w:rPr>
      </w:r>
    </w:p>
    <w:p>
      <w:pPr>
        <w:pStyle w:val="2"/>
        <w:outlineLvl w:val="2"/>
        <w:jc w:val="both"/>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514"/>
        <w:gridCol w:w="1672"/>
        <w:gridCol w:w="1564"/>
      </w:tblGrid>
      <w:tr>
        <w:tc>
          <w:tcPr>
            <w:tcW w:w="6514" w:type="dxa"/>
            <w:vMerge w:val="restart"/>
          </w:tcPr>
          <w:p>
            <w:pPr>
              <w:pStyle w:val="0"/>
              <w:jc w:val="center"/>
            </w:pPr>
            <w:r>
              <w:rPr>
                <w:sz w:val="24"/>
              </w:rPr>
              <w:t xml:space="preserve">Наименование объекта, до которого определяется расстояние</w:t>
            </w:r>
          </w:p>
        </w:tc>
        <w:tc>
          <w:tcPr>
            <w:gridSpan w:val="2"/>
            <w:tcW w:w="3236" w:type="dxa"/>
          </w:tcPr>
          <w:p>
            <w:pPr>
              <w:pStyle w:val="0"/>
              <w:jc w:val="center"/>
            </w:pPr>
            <w:r>
              <w:rPr>
                <w:sz w:val="24"/>
              </w:rPr>
              <w:t xml:space="preserve">Расстояние от АЗС, м</w:t>
            </w:r>
          </w:p>
        </w:tc>
      </w:tr>
      <w:tr>
        <w:tc>
          <w:tcPr>
            <w:vMerge w:val="continue"/>
          </w:tcPr>
          <w:p/>
        </w:tc>
        <w:tc>
          <w:tcPr>
            <w:tcW w:w="1672" w:type="dxa"/>
          </w:tcPr>
          <w:p>
            <w:pPr>
              <w:pStyle w:val="0"/>
              <w:jc w:val="center"/>
            </w:pPr>
            <w:r>
              <w:rPr>
                <w:sz w:val="24"/>
              </w:rPr>
              <w:t xml:space="preserve">Тип А</w:t>
            </w:r>
          </w:p>
        </w:tc>
        <w:tc>
          <w:tcPr>
            <w:tcW w:w="1564" w:type="dxa"/>
          </w:tcPr>
          <w:p>
            <w:pPr>
              <w:pStyle w:val="0"/>
              <w:jc w:val="center"/>
            </w:pPr>
            <w:r>
              <w:rPr>
                <w:sz w:val="24"/>
              </w:rPr>
              <w:t xml:space="preserve">Тип Б</w:t>
            </w:r>
          </w:p>
        </w:tc>
      </w:tr>
      <w:tr>
        <w:tc>
          <w:tcPr>
            <w:tcW w:w="6514" w:type="dxa"/>
          </w:tcPr>
          <w:bookmarkStart w:id="1403" w:name="P1403"/>
          <w:bookmarkEnd w:id="1403"/>
          <w:p>
            <w:pPr>
              <w:pStyle w:val="0"/>
            </w:pPr>
            <w:r>
              <w:rPr>
                <w:sz w:val="24"/>
              </w:rPr>
              <w:t xml:space="preserve">1. Производственные и складские здания и сооружения, административно-бытовые здания и сооружения промышленных организаций (за исключением указанных в </w:t>
            </w:r>
            <w:hyperlink w:history="0" w:anchor="P1443" w:tooltip="10.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строках 10</w:t>
              </w:r>
            </w:hyperlink>
            <w:r>
              <w:rPr>
                <w:sz w:val="24"/>
              </w:rPr>
              <w:t xml:space="preserve"> и </w:t>
            </w:r>
            <w:hyperlink w:history="0" w:anchor="P1447" w:tooltip="11. Линии электропередач, электроподстанции (в том числе трансформаторные подстанции)">
              <w:r>
                <w:rPr>
                  <w:sz w:val="24"/>
                  <w:color w:val="0000ff"/>
                </w:rPr>
                <w:t xml:space="preserve">11</w:t>
              </w:r>
            </w:hyperlink>
            <w:r>
              <w:rPr>
                <w:sz w:val="24"/>
              </w:rPr>
              <w:t xml:space="preserve">)</w:t>
            </w:r>
          </w:p>
        </w:tc>
        <w:tc>
          <w:tcPr>
            <w:tcW w:w="1672" w:type="dxa"/>
            <w:vAlign w:val="center"/>
          </w:tcPr>
          <w:p>
            <w:pPr>
              <w:pStyle w:val="0"/>
              <w:jc w:val="center"/>
            </w:pPr>
            <w:r>
              <w:rPr>
                <w:sz w:val="24"/>
              </w:rPr>
              <w:t xml:space="preserve">30</w:t>
            </w:r>
          </w:p>
        </w:tc>
        <w:tc>
          <w:tcPr>
            <w:tcW w:w="1564" w:type="dxa"/>
            <w:vAlign w:val="center"/>
          </w:tcPr>
          <w:p>
            <w:pPr>
              <w:pStyle w:val="0"/>
              <w:jc w:val="center"/>
            </w:pPr>
            <w:r>
              <w:rPr>
                <w:sz w:val="24"/>
              </w:rPr>
              <w:t xml:space="preserve">30</w:t>
            </w:r>
          </w:p>
        </w:tc>
      </w:tr>
      <w:tr>
        <w:tblPrEx>
          <w:tblBorders>
            <w:insideH w:val="nil"/>
          </w:tblBorders>
        </w:tblPrEx>
        <w:tc>
          <w:tcPr>
            <w:tcW w:w="6514" w:type="dxa"/>
            <w:tcBorders>
              <w:bottom w:val="nil"/>
            </w:tcBorders>
          </w:tcPr>
          <w:p>
            <w:pPr>
              <w:pStyle w:val="0"/>
            </w:pPr>
            <w:r>
              <w:rPr>
                <w:sz w:val="24"/>
              </w:rPr>
              <w:t xml:space="preserve">2. Лесничества с лесными насаждениями:</w:t>
            </w:r>
          </w:p>
        </w:tc>
        <w:tc>
          <w:tcPr>
            <w:tcW w:w="1672" w:type="dxa"/>
            <w:vAlign w:val="center"/>
            <w:tcBorders>
              <w:bottom w:val="nil"/>
            </w:tcBorders>
          </w:tcPr>
          <w:p>
            <w:pPr>
              <w:pStyle w:val="0"/>
            </w:pPr>
            <w:r>
              <w:rPr>
                <w:sz w:val="24"/>
              </w:rPr>
            </w:r>
          </w:p>
        </w:tc>
        <w:tc>
          <w:tcPr>
            <w:tcW w:w="1564" w:type="dxa"/>
            <w:vAlign w:val="center"/>
            <w:tcBorders>
              <w:bottom w:val="nil"/>
            </w:tcBorders>
          </w:tcPr>
          <w:p>
            <w:pPr>
              <w:pStyle w:val="0"/>
            </w:pPr>
            <w:r>
              <w:rPr>
                <w:sz w:val="24"/>
              </w:rPr>
            </w:r>
          </w:p>
        </w:tc>
      </w:tr>
      <w:tr>
        <w:tblPrEx>
          <w:tblBorders>
            <w:insideH w:val="nil"/>
          </w:tblBorders>
        </w:tblPrEx>
        <w:tc>
          <w:tcPr>
            <w:gridSpan w:val="3"/>
            <w:tcW w:w="9750" w:type="dxa"/>
            <w:tcBorders>
              <w:top w:val="nil"/>
              <w:bottom w:val="nil"/>
            </w:tcBorders>
          </w:tcPr>
          <w:p>
            <w:pPr>
              <w:pStyle w:val="0"/>
              <w:jc w:val="both"/>
            </w:pPr>
            <w:r>
              <w:rPr>
                <w:sz w:val="24"/>
              </w:rPr>
              <w:t xml:space="preserve">(в ред. </w:t>
            </w:r>
            <w:hyperlink w:history="0" r:id="rId12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blPrEx>
          <w:tblBorders>
            <w:insideH w:val="nil"/>
          </w:tblBorders>
        </w:tblPrEx>
        <w:tc>
          <w:tcPr>
            <w:tcW w:w="6514" w:type="dxa"/>
            <w:tcBorders>
              <w:top w:val="nil"/>
              <w:bottom w:val="nil"/>
            </w:tcBorders>
          </w:tcPr>
          <w:p>
            <w:pPr>
              <w:pStyle w:val="0"/>
            </w:pPr>
            <w:r>
              <w:rPr>
                <w:sz w:val="24"/>
              </w:rPr>
              <w:t xml:space="preserve">хвойных и смешанных пород</w:t>
            </w:r>
          </w:p>
        </w:tc>
        <w:tc>
          <w:tcPr>
            <w:tcW w:w="1672" w:type="dxa"/>
            <w:vAlign w:val="center"/>
            <w:tcBorders>
              <w:top w:val="nil"/>
              <w:bottom w:val="nil"/>
            </w:tcBorders>
          </w:tcPr>
          <w:p>
            <w:pPr>
              <w:pStyle w:val="0"/>
              <w:jc w:val="center"/>
            </w:pPr>
            <w:r>
              <w:rPr>
                <w:sz w:val="24"/>
              </w:rPr>
              <w:t xml:space="preserve">50</w:t>
            </w:r>
          </w:p>
        </w:tc>
        <w:tc>
          <w:tcPr>
            <w:tcW w:w="1564" w:type="dxa"/>
            <w:vAlign w:val="center"/>
            <w:tcBorders>
              <w:top w:val="nil"/>
              <w:bottom w:val="nil"/>
            </w:tcBorders>
          </w:tcPr>
          <w:p>
            <w:pPr>
              <w:pStyle w:val="0"/>
              <w:jc w:val="center"/>
            </w:pPr>
            <w:r>
              <w:rPr>
                <w:sz w:val="24"/>
              </w:rPr>
              <w:t xml:space="preserve">40</w:t>
            </w:r>
          </w:p>
        </w:tc>
      </w:tr>
      <w:tr>
        <w:tblPrEx>
          <w:tblBorders>
            <w:insideH w:val="nil"/>
          </w:tblBorders>
        </w:tblPrEx>
        <w:tc>
          <w:tcPr>
            <w:tcW w:w="6514" w:type="dxa"/>
            <w:tcBorders>
              <w:top w:val="nil"/>
            </w:tcBorders>
          </w:tcPr>
          <w:p>
            <w:pPr>
              <w:pStyle w:val="0"/>
            </w:pPr>
            <w:r>
              <w:rPr>
                <w:sz w:val="24"/>
              </w:rPr>
              <w:t xml:space="preserve">лиственных пород</w:t>
            </w:r>
          </w:p>
        </w:tc>
        <w:tc>
          <w:tcPr>
            <w:tcW w:w="1672" w:type="dxa"/>
            <w:vAlign w:val="center"/>
            <w:tcBorders>
              <w:top w:val="nil"/>
            </w:tcBorders>
          </w:tcPr>
          <w:p>
            <w:pPr>
              <w:pStyle w:val="0"/>
              <w:jc w:val="center"/>
            </w:pPr>
            <w:r>
              <w:rPr>
                <w:sz w:val="24"/>
              </w:rPr>
              <w:t xml:space="preserve">20</w:t>
            </w:r>
          </w:p>
        </w:tc>
        <w:tc>
          <w:tcPr>
            <w:tcW w:w="1564" w:type="dxa"/>
            <w:vAlign w:val="center"/>
            <w:tcBorders>
              <w:top w:val="nil"/>
            </w:tcBorders>
          </w:tcPr>
          <w:p>
            <w:pPr>
              <w:pStyle w:val="0"/>
              <w:jc w:val="center"/>
            </w:pPr>
            <w:r>
              <w:rPr>
                <w:sz w:val="24"/>
              </w:rPr>
              <w:t xml:space="preserve">15</w:t>
            </w:r>
          </w:p>
        </w:tc>
      </w:tr>
      <w:tr>
        <w:tc>
          <w:tcPr>
            <w:tcW w:w="6514" w:type="dxa"/>
          </w:tcPr>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1403" w:tooltip="1. Производственные и складские здания и сооружения, административно-бытовые здания и сооружения промышленных организаций (за исключением указанных в строках 10 и 11)">
              <w:r>
                <w:rPr>
                  <w:sz w:val="24"/>
                  <w:color w:val="0000ff"/>
                </w:rPr>
                <w:t xml:space="preserve">строке 1</w:t>
              </w:r>
            </w:hyperlink>
            <w:r>
              <w:rPr>
                <w:sz w:val="24"/>
              </w:rPr>
              <w:t xml:space="preserve">)</w:t>
            </w:r>
          </w:p>
        </w:tc>
        <w:tc>
          <w:tcPr>
            <w:tcW w:w="1672" w:type="dxa"/>
            <w:vAlign w:val="center"/>
          </w:tcPr>
          <w:p>
            <w:pPr>
              <w:pStyle w:val="0"/>
              <w:jc w:val="center"/>
            </w:pPr>
            <w:r>
              <w:rPr>
                <w:sz w:val="24"/>
              </w:rPr>
              <w:t xml:space="preserve">100</w:t>
            </w:r>
          </w:p>
        </w:tc>
        <w:tc>
          <w:tcPr>
            <w:tcW w:w="1564" w:type="dxa"/>
            <w:vAlign w:val="center"/>
          </w:tcPr>
          <w:p>
            <w:pPr>
              <w:pStyle w:val="0"/>
              <w:jc w:val="center"/>
            </w:pPr>
            <w:r>
              <w:rPr>
                <w:sz w:val="24"/>
              </w:rPr>
              <w:t xml:space="preserve">50</w:t>
            </w:r>
          </w:p>
        </w:tc>
      </w:tr>
      <w:tr>
        <w:tc>
          <w:tcPr>
            <w:tcW w:w="6514" w:type="dxa"/>
          </w:tcPr>
          <w:p>
            <w:pPr>
              <w:pStyle w:val="0"/>
            </w:pPr>
            <w:r>
              <w:rPr>
                <w:sz w:val="24"/>
              </w:rPr>
              <w:t xml:space="preserve">4. Места массового пребывания людей</w:t>
            </w:r>
          </w:p>
        </w:tc>
        <w:tc>
          <w:tcPr>
            <w:tcW w:w="1672" w:type="dxa"/>
            <w:vAlign w:val="center"/>
          </w:tcPr>
          <w:p>
            <w:pPr>
              <w:pStyle w:val="0"/>
              <w:jc w:val="center"/>
            </w:pPr>
            <w:r>
              <w:rPr>
                <w:sz w:val="24"/>
              </w:rPr>
              <w:t xml:space="preserve">100</w:t>
            </w:r>
          </w:p>
        </w:tc>
        <w:tc>
          <w:tcPr>
            <w:tcW w:w="1564" w:type="dxa"/>
            <w:vAlign w:val="center"/>
          </w:tcPr>
          <w:p>
            <w:pPr>
              <w:pStyle w:val="0"/>
              <w:jc w:val="center"/>
            </w:pPr>
            <w:r>
              <w:rPr>
                <w:sz w:val="24"/>
              </w:rPr>
              <w:t xml:space="preserve">100</w:t>
            </w:r>
          </w:p>
        </w:tc>
      </w:tr>
      <w:tr>
        <w:tc>
          <w:tcPr>
            <w:tcW w:w="6514" w:type="dxa"/>
          </w:tcPr>
          <w:p>
            <w:pPr>
              <w:pStyle w:val="0"/>
            </w:pPr>
            <w:r>
              <w:rPr>
                <w:sz w:val="24"/>
              </w:rPr>
              <w:t xml:space="preserve">5. Индивидуальные гаражи и открытые стоянки для автомобилей</w:t>
            </w:r>
          </w:p>
        </w:tc>
        <w:tc>
          <w:tcPr>
            <w:tcW w:w="1672" w:type="dxa"/>
            <w:vAlign w:val="center"/>
          </w:tcPr>
          <w:p>
            <w:pPr>
              <w:pStyle w:val="0"/>
              <w:jc w:val="center"/>
            </w:pPr>
            <w:r>
              <w:rPr>
                <w:sz w:val="24"/>
              </w:rPr>
              <w:t xml:space="preserve">40</w:t>
            </w:r>
          </w:p>
        </w:tc>
        <w:tc>
          <w:tcPr>
            <w:tcW w:w="1564" w:type="dxa"/>
            <w:vAlign w:val="center"/>
          </w:tcPr>
          <w:p>
            <w:pPr>
              <w:pStyle w:val="0"/>
              <w:jc w:val="center"/>
            </w:pPr>
            <w:r>
              <w:rPr>
                <w:sz w:val="24"/>
              </w:rPr>
              <w:t xml:space="preserve">30</w:t>
            </w:r>
          </w:p>
        </w:tc>
      </w:tr>
      <w:tr>
        <w:tc>
          <w:tcPr>
            <w:tcW w:w="6514" w:type="dxa"/>
          </w:tcPr>
          <w:p>
            <w:pPr>
              <w:pStyle w:val="0"/>
            </w:pPr>
            <w:r>
              <w:rPr>
                <w:sz w:val="24"/>
              </w:rPr>
              <w:t xml:space="preserve">6. Торговые киоски</w:t>
            </w:r>
          </w:p>
        </w:tc>
        <w:tc>
          <w:tcPr>
            <w:tcW w:w="1672" w:type="dxa"/>
            <w:vAlign w:val="center"/>
          </w:tcPr>
          <w:p>
            <w:pPr>
              <w:pStyle w:val="0"/>
              <w:jc w:val="center"/>
            </w:pPr>
            <w:r>
              <w:rPr>
                <w:sz w:val="24"/>
              </w:rPr>
              <w:t xml:space="preserve">50</w:t>
            </w:r>
          </w:p>
        </w:tc>
        <w:tc>
          <w:tcPr>
            <w:tcW w:w="1564" w:type="dxa"/>
            <w:vAlign w:val="center"/>
          </w:tcPr>
          <w:p>
            <w:pPr>
              <w:pStyle w:val="0"/>
              <w:jc w:val="center"/>
            </w:pPr>
            <w:r>
              <w:rPr>
                <w:sz w:val="24"/>
              </w:rPr>
              <w:t xml:space="preserve">50</w:t>
            </w:r>
          </w:p>
        </w:tc>
      </w:tr>
      <w:tr>
        <w:tblPrEx>
          <w:tblBorders>
            <w:insideH w:val="nil"/>
          </w:tblBorders>
        </w:tblPrEx>
        <w:tc>
          <w:tcPr>
            <w:tcW w:w="6514" w:type="dxa"/>
            <w:tcBorders>
              <w:bottom w:val="nil"/>
            </w:tcBorders>
          </w:tcPr>
          <w:p>
            <w:pPr>
              <w:pStyle w:val="0"/>
            </w:pPr>
            <w:r>
              <w:rPr>
                <w:sz w:val="24"/>
              </w:rPr>
              <w:t xml:space="preserve">7. Автомобильные дороги общей сети (край проезжей части):</w:t>
            </w:r>
          </w:p>
        </w:tc>
        <w:tc>
          <w:tcPr>
            <w:tcW w:w="1672" w:type="dxa"/>
            <w:vAlign w:val="center"/>
            <w:tcBorders>
              <w:bottom w:val="nil"/>
            </w:tcBorders>
          </w:tcPr>
          <w:p>
            <w:pPr>
              <w:pStyle w:val="0"/>
            </w:pPr>
            <w:r>
              <w:rPr>
                <w:sz w:val="24"/>
              </w:rPr>
            </w:r>
          </w:p>
        </w:tc>
        <w:tc>
          <w:tcPr>
            <w:tcW w:w="1564" w:type="dxa"/>
            <w:vAlign w:val="center"/>
            <w:tcBorders>
              <w:bottom w:val="nil"/>
            </w:tcBorders>
          </w:tcPr>
          <w:p>
            <w:pPr>
              <w:pStyle w:val="0"/>
            </w:pPr>
            <w:r>
              <w:rPr>
                <w:sz w:val="24"/>
              </w:rPr>
            </w:r>
          </w:p>
        </w:tc>
      </w:tr>
      <w:tr>
        <w:tblPrEx>
          <w:tblBorders>
            <w:insideH w:val="nil"/>
          </w:tblBorders>
        </w:tblPrEx>
        <w:tc>
          <w:tcPr>
            <w:tcW w:w="6514" w:type="dxa"/>
            <w:tcBorders>
              <w:top w:val="nil"/>
              <w:bottom w:val="nil"/>
            </w:tcBorders>
          </w:tcPr>
          <w:p>
            <w:pPr>
              <w:pStyle w:val="0"/>
            </w:pPr>
            <w:r>
              <w:rPr>
                <w:sz w:val="24"/>
              </w:rPr>
              <w:t xml:space="preserve">I, II и III категории</w:t>
            </w:r>
          </w:p>
        </w:tc>
        <w:tc>
          <w:tcPr>
            <w:tcW w:w="1672" w:type="dxa"/>
            <w:vAlign w:val="center"/>
            <w:tcBorders>
              <w:top w:val="nil"/>
              <w:bottom w:val="nil"/>
            </w:tcBorders>
          </w:tcPr>
          <w:p>
            <w:pPr>
              <w:pStyle w:val="0"/>
              <w:jc w:val="center"/>
            </w:pPr>
            <w:r>
              <w:rPr>
                <w:sz w:val="24"/>
              </w:rPr>
              <w:t xml:space="preserve">25</w:t>
            </w:r>
          </w:p>
        </w:tc>
        <w:tc>
          <w:tcPr>
            <w:tcW w:w="1564" w:type="dxa"/>
            <w:vAlign w:val="center"/>
            <w:tcBorders>
              <w:top w:val="nil"/>
              <w:bottom w:val="nil"/>
            </w:tcBorders>
          </w:tcPr>
          <w:p>
            <w:pPr>
              <w:pStyle w:val="0"/>
              <w:jc w:val="center"/>
            </w:pPr>
            <w:r>
              <w:rPr>
                <w:sz w:val="24"/>
              </w:rPr>
              <w:t xml:space="preserve">20</w:t>
            </w:r>
          </w:p>
        </w:tc>
      </w:tr>
      <w:tr>
        <w:tblPrEx>
          <w:tblBorders>
            <w:insideH w:val="nil"/>
          </w:tblBorders>
        </w:tblPrEx>
        <w:tc>
          <w:tcPr>
            <w:tcW w:w="6514" w:type="dxa"/>
            <w:tcBorders>
              <w:top w:val="nil"/>
            </w:tcBorders>
          </w:tcPr>
          <w:p>
            <w:pPr>
              <w:pStyle w:val="0"/>
            </w:pPr>
            <w:r>
              <w:rPr>
                <w:sz w:val="24"/>
              </w:rPr>
              <w:t xml:space="preserve">IV и V категории</w:t>
            </w:r>
          </w:p>
        </w:tc>
        <w:tc>
          <w:tcPr>
            <w:tcW w:w="1672" w:type="dxa"/>
            <w:vAlign w:val="center"/>
            <w:tcBorders>
              <w:top w:val="nil"/>
            </w:tcBorders>
          </w:tcPr>
          <w:p>
            <w:pPr>
              <w:pStyle w:val="0"/>
              <w:jc w:val="center"/>
            </w:pPr>
            <w:r>
              <w:rPr>
                <w:sz w:val="24"/>
              </w:rPr>
              <w:t xml:space="preserve">15</w:t>
            </w:r>
          </w:p>
        </w:tc>
        <w:tc>
          <w:tcPr>
            <w:tcW w:w="1564" w:type="dxa"/>
            <w:vAlign w:val="center"/>
            <w:tcBorders>
              <w:top w:val="nil"/>
            </w:tcBorders>
          </w:tcPr>
          <w:p>
            <w:pPr>
              <w:pStyle w:val="0"/>
              <w:jc w:val="center"/>
            </w:pPr>
            <w:r>
              <w:rPr>
                <w:sz w:val="24"/>
              </w:rPr>
              <w:t xml:space="preserve">12</w:t>
            </w:r>
          </w:p>
        </w:tc>
      </w:tr>
      <w:tr>
        <w:tc>
          <w:tcPr>
            <w:tcW w:w="6514" w:type="dxa"/>
          </w:tcPr>
          <w:p>
            <w:pPr>
              <w:pStyle w:val="0"/>
            </w:pPr>
            <w:r>
              <w:rPr>
                <w:sz w:val="24"/>
              </w:rPr>
              <w:t xml:space="preserve">8. Железные дороги общей сети (до подошвы насыпи или бровки выемки)</w:t>
            </w:r>
          </w:p>
        </w:tc>
        <w:tc>
          <w:tcPr>
            <w:tcW w:w="1672" w:type="dxa"/>
            <w:vAlign w:val="center"/>
          </w:tcPr>
          <w:p>
            <w:pPr>
              <w:pStyle w:val="0"/>
              <w:jc w:val="center"/>
            </w:pPr>
            <w:r>
              <w:rPr>
                <w:sz w:val="24"/>
              </w:rPr>
              <w:t xml:space="preserve">30</w:t>
            </w:r>
          </w:p>
        </w:tc>
        <w:tc>
          <w:tcPr>
            <w:tcW w:w="1564" w:type="dxa"/>
            <w:vAlign w:val="center"/>
          </w:tcPr>
          <w:p>
            <w:pPr>
              <w:pStyle w:val="0"/>
              <w:jc w:val="center"/>
            </w:pPr>
            <w:r>
              <w:rPr>
                <w:sz w:val="24"/>
              </w:rPr>
              <w:t xml:space="preserve">30</w:t>
            </w:r>
          </w:p>
        </w:tc>
      </w:tr>
      <w:tr>
        <w:tc>
          <w:tcPr>
            <w:tcW w:w="6514" w:type="dxa"/>
          </w:tcPr>
          <w:p>
            <w:pPr>
              <w:pStyle w:val="0"/>
            </w:pPr>
            <w:r>
              <w:rPr>
                <w:sz w:val="24"/>
              </w:rPr>
              <w:t xml:space="preserve">9. Очистные канализационные сооружения и насосные станции, не относящиеся к АЗС</w:t>
            </w:r>
          </w:p>
        </w:tc>
        <w:tc>
          <w:tcPr>
            <w:tcW w:w="1672" w:type="dxa"/>
            <w:vAlign w:val="center"/>
          </w:tcPr>
          <w:p>
            <w:pPr>
              <w:pStyle w:val="0"/>
              <w:jc w:val="center"/>
            </w:pPr>
            <w:r>
              <w:rPr>
                <w:sz w:val="24"/>
              </w:rPr>
              <w:t xml:space="preserve">40</w:t>
            </w:r>
          </w:p>
        </w:tc>
        <w:tc>
          <w:tcPr>
            <w:tcW w:w="1564" w:type="dxa"/>
            <w:vAlign w:val="center"/>
          </w:tcPr>
          <w:p>
            <w:pPr>
              <w:pStyle w:val="0"/>
              <w:jc w:val="center"/>
            </w:pPr>
            <w:r>
              <w:rPr>
                <w:sz w:val="24"/>
              </w:rPr>
              <w:t xml:space="preserve">30</w:t>
            </w:r>
          </w:p>
        </w:tc>
      </w:tr>
      <w:tr>
        <w:tblPrEx>
          <w:tblBorders>
            <w:insideH w:val="nil"/>
          </w:tblBorders>
        </w:tblPrEx>
        <w:tc>
          <w:tcPr>
            <w:tcW w:w="6514" w:type="dxa"/>
            <w:tcBorders>
              <w:bottom w:val="nil"/>
            </w:tcBorders>
          </w:tcPr>
          <w:bookmarkStart w:id="1443" w:name="P1443"/>
          <w:bookmarkEnd w:id="1443"/>
          <w:p>
            <w:pPr>
              <w:pStyle w:val="0"/>
            </w:pPr>
            <w:r>
              <w:rPr>
                <w:sz w:val="24"/>
              </w:rPr>
              <w:t xml:space="preserve">10. Наружные установки категорий АН, БН, ГН, здания и сооружения с наличием радиоактивных, а также вредных веществ I и II классов опасности по </w:t>
            </w:r>
            <w:hyperlink w:history="0" r:id="rId125"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1672" w:type="dxa"/>
            <w:vAlign w:val="center"/>
            <w:tcBorders>
              <w:bottom w:val="nil"/>
            </w:tcBorders>
          </w:tcPr>
          <w:p>
            <w:pPr>
              <w:pStyle w:val="0"/>
              <w:jc w:val="center"/>
            </w:pPr>
            <w:r>
              <w:rPr>
                <w:sz w:val="24"/>
              </w:rPr>
              <w:t xml:space="preserve">100</w:t>
            </w:r>
          </w:p>
        </w:tc>
        <w:tc>
          <w:tcPr>
            <w:tcW w:w="1564" w:type="dxa"/>
            <w:vAlign w:val="center"/>
            <w:tcBorders>
              <w:bottom w:val="nil"/>
            </w:tcBorders>
          </w:tcPr>
          <w:p>
            <w:pPr>
              <w:pStyle w:val="0"/>
              <w:jc w:val="center"/>
            </w:pPr>
            <w:r>
              <w:rPr>
                <w:sz w:val="24"/>
              </w:rPr>
              <w:t xml:space="preserve">100</w:t>
            </w:r>
          </w:p>
        </w:tc>
      </w:tr>
      <w:tr>
        <w:tblPrEx>
          <w:tblBorders>
            <w:insideH w:val="nil"/>
          </w:tblBorders>
        </w:tblPrEx>
        <w:tc>
          <w:tcPr>
            <w:gridSpan w:val="3"/>
            <w:tcW w:w="9750" w:type="dxa"/>
            <w:tcBorders>
              <w:top w:val="nil"/>
            </w:tcBorders>
          </w:tcPr>
          <w:p>
            <w:pPr>
              <w:pStyle w:val="0"/>
              <w:jc w:val="both"/>
            </w:pPr>
            <w:r>
              <w:rPr>
                <w:sz w:val="24"/>
              </w:rPr>
              <w:t xml:space="preserve">(в ред. </w:t>
            </w:r>
            <w:hyperlink w:history="0" r:id="rId12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c>
          <w:tcPr>
            <w:tcW w:w="6514" w:type="dxa"/>
          </w:tcPr>
          <w:bookmarkStart w:id="1447" w:name="P1447"/>
          <w:bookmarkEnd w:id="1447"/>
          <w:p>
            <w:pPr>
              <w:pStyle w:val="0"/>
            </w:pPr>
            <w:r>
              <w:rPr>
                <w:sz w:val="24"/>
              </w:rPr>
              <w:t xml:space="preserve">11. Линии электропередач, электроподстанции (в том числе трансформаторные подстанции)</w:t>
            </w:r>
          </w:p>
        </w:tc>
        <w:tc>
          <w:tcPr>
            <w:tcW w:w="1672" w:type="dxa"/>
            <w:vAlign w:val="center"/>
          </w:tcPr>
          <w:p>
            <w:pPr>
              <w:pStyle w:val="0"/>
              <w:jc w:val="center"/>
            </w:pPr>
            <w:r>
              <w:rPr>
                <w:sz w:val="24"/>
              </w:rPr>
              <w:t xml:space="preserve">100</w:t>
            </w:r>
          </w:p>
        </w:tc>
        <w:tc>
          <w:tcPr>
            <w:tcW w:w="1564" w:type="dxa"/>
            <w:vAlign w:val="center"/>
          </w:tcPr>
          <w:p>
            <w:pPr>
              <w:pStyle w:val="0"/>
              <w:jc w:val="center"/>
            </w:pPr>
            <w:r>
              <w:rPr>
                <w:sz w:val="24"/>
              </w:rPr>
              <w:t xml:space="preserve">100</w:t>
            </w:r>
          </w:p>
        </w:tc>
      </w:tr>
      <w:tr>
        <w:tc>
          <w:tcPr>
            <w:tcW w:w="6514" w:type="dxa"/>
          </w:tcPr>
          <w:p>
            <w:pPr>
              <w:pStyle w:val="0"/>
            </w:pPr>
            <w:r>
              <w:rPr>
                <w:sz w:val="24"/>
              </w:rPr>
              <w:t xml:space="preserve">12. Склады (вне зданий): лесных материалов, торфа, волокнистых горючих веществ, сена, соломы, а также участки открытого залегания торфа</w:t>
            </w:r>
          </w:p>
        </w:tc>
        <w:tc>
          <w:tcPr>
            <w:tcW w:w="1672" w:type="dxa"/>
            <w:vAlign w:val="center"/>
          </w:tcPr>
          <w:p>
            <w:pPr>
              <w:pStyle w:val="0"/>
              <w:jc w:val="center"/>
            </w:pPr>
            <w:r>
              <w:rPr>
                <w:sz w:val="24"/>
              </w:rPr>
              <w:t xml:space="preserve">50</w:t>
            </w:r>
          </w:p>
        </w:tc>
        <w:tc>
          <w:tcPr>
            <w:tcW w:w="1564" w:type="dxa"/>
            <w:vAlign w:val="center"/>
          </w:tcPr>
          <w:p>
            <w:pPr>
              <w:pStyle w:val="0"/>
              <w:jc w:val="center"/>
            </w:pPr>
            <w:r>
              <w:rPr>
                <w:sz w:val="24"/>
              </w:rPr>
              <w:t xml:space="preserve">35</w:t>
            </w:r>
          </w:p>
        </w:tc>
      </w:tr>
      <w:tr>
        <w:tc>
          <w:tcPr>
            <w:gridSpan w:val="3"/>
            <w:tcW w:w="9750" w:type="dxa"/>
          </w:tcPr>
          <w:p>
            <w:pPr>
              <w:pStyle w:val="0"/>
              <w:jc w:val="both"/>
            </w:pPr>
            <w:r>
              <w:rPr>
                <w:sz w:val="24"/>
              </w:rPr>
              <w:t xml:space="preserve">Примечание - на таблицу Б.1 распространяется </w:t>
            </w:r>
            <w:hyperlink w:history="0" w:anchor="P383" w:tooltip="Примечания">
              <w:r>
                <w:rPr>
                  <w:sz w:val="24"/>
                  <w:color w:val="0000ff"/>
                </w:rPr>
                <w:t xml:space="preserve">примечание 3</w:t>
              </w:r>
            </w:hyperlink>
            <w:r>
              <w:rPr>
                <w:sz w:val="24"/>
              </w:rPr>
              <w:t xml:space="preserve"> к таблице 1 настоящего свода правил.</w:t>
            </w:r>
          </w:p>
        </w:tc>
      </w:tr>
    </w:tbl>
    <w:p>
      <w:pPr>
        <w:pStyle w:val="0"/>
        <w:jc w:val="both"/>
      </w:pPr>
      <w:r>
        <w:rPr>
          <w:sz w:val="24"/>
        </w:rPr>
      </w:r>
    </w:p>
    <w:p>
      <w:pPr>
        <w:pStyle w:val="0"/>
        <w:ind w:firstLine="540"/>
        <w:jc w:val="both"/>
      </w:pPr>
      <w:r>
        <w:rPr>
          <w:sz w:val="24"/>
        </w:rPr>
        <w:t xml:space="preserve">Б.4. Резервуары контейнера хранения топлива должны быть установлены в емкость для сбора аварийного пролива топлива. Вместимость указанной емкости должна быть не менее вместимости наибольшего из резервуаров контейнера хранения топлива.</w:t>
      </w:r>
    </w:p>
    <w:p>
      <w:pPr>
        <w:pStyle w:val="0"/>
        <w:spacing w:before="240" w:lineRule="auto"/>
        <w:ind w:firstLine="540"/>
        <w:jc w:val="both"/>
      </w:pPr>
      <w:r>
        <w:rPr>
          <w:sz w:val="24"/>
        </w:rPr>
        <w:t xml:space="preserve">Б.5. При установке нескольких резервуаров в общую емкость для сбора аварийного пролива топлива эту емкость следует секционировать перегородками, размещаемыми между резервуарами. Высота перегородок должна быть не менее половины высоты борта указанной емкости. Перегородки должны быть выполнены из негорючих материалов. Места соединений перегородок с емкостью должны быть герметичными.</w:t>
      </w:r>
    </w:p>
    <w:p>
      <w:pPr>
        <w:pStyle w:val="0"/>
        <w:spacing w:before="240" w:lineRule="auto"/>
        <w:ind w:firstLine="540"/>
        <w:jc w:val="both"/>
      </w:pPr>
      <w:r>
        <w:rPr>
          <w:sz w:val="24"/>
        </w:rPr>
        <w:t xml:space="preserve">Б.6. Контейнеры хранения топлива должны быть оборудованы автоматическими установками пожаротушения.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В</w:t>
      </w:r>
    </w:p>
    <w:p>
      <w:pPr>
        <w:pStyle w:val="0"/>
        <w:jc w:val="both"/>
      </w:pPr>
      <w:r>
        <w:rPr>
          <w:sz w:val="24"/>
        </w:rPr>
      </w:r>
    </w:p>
    <w:bookmarkStart w:id="1465" w:name="P1465"/>
    <w:bookmarkEnd w:id="1465"/>
    <w:p>
      <w:pPr>
        <w:pStyle w:val="2"/>
        <w:jc w:val="center"/>
      </w:pPr>
      <w:r>
        <w:rPr>
          <w:sz w:val="24"/>
        </w:rPr>
        <w:t xml:space="preserve">СПЕЦИФИЧЕСКИЕ ТРЕБОВАНИЯ</w:t>
      </w:r>
    </w:p>
    <w:p>
      <w:pPr>
        <w:pStyle w:val="2"/>
        <w:jc w:val="center"/>
      </w:pPr>
      <w:r>
        <w:rPr>
          <w:sz w:val="24"/>
        </w:rPr>
        <w:t xml:space="preserve">К ТОПЛИВОЗАПРАВОЧНОМУ ПУНКТУ ЖИДКОГО МОТОРНОГО ТОПЛИВА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2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В.1. Минимальные расстояния от технологического оборудования и сооружений топливозаправочного пункта жидкого моторного топлива до зданий, сооружений и наружных установок предприятия, на котором он размещается, следует принимать в соответствии с </w:t>
      </w:r>
      <w:hyperlink w:history="0" w:anchor="P1474" w:tooltip="Таблица В.1">
        <w:r>
          <w:rPr>
            <w:sz w:val="24"/>
            <w:color w:val="0000ff"/>
          </w:rPr>
          <w:t xml:space="preserve">таблицей В.1</w:t>
        </w:r>
      </w:hyperlink>
      <w:r>
        <w:rPr>
          <w:sz w:val="24"/>
        </w:rPr>
        <w:t xml:space="preserve">.</w:t>
      </w:r>
    </w:p>
    <w:p>
      <w:pPr>
        <w:pStyle w:val="0"/>
        <w:spacing w:before="240" w:lineRule="auto"/>
        <w:ind w:firstLine="540"/>
        <w:jc w:val="both"/>
      </w:pPr>
      <w:r>
        <w:rPr>
          <w:sz w:val="24"/>
        </w:rPr>
        <w:t xml:space="preserve">В.2. Помещение операторной топливозаправочного пункта допускается размещать в зданиях другого назначения категории В или Д при обеспечении визуального контроля из этого помещения за процессами наполнения резервуаров из АЦ и выдачи топлива потребителям.</w:t>
      </w:r>
    </w:p>
    <w:p>
      <w:pPr>
        <w:pStyle w:val="0"/>
        <w:spacing w:before="240" w:lineRule="auto"/>
        <w:ind w:firstLine="540"/>
        <w:jc w:val="both"/>
      </w:pPr>
      <w:r>
        <w:rPr>
          <w:sz w:val="24"/>
        </w:rPr>
        <w:t xml:space="preserve">В.3. Эвакуационные выходы из близлежащих к топливозаправочному пункту зданий и сооружений предприятия, предназначенных для одновременного пребывания 50 человек и менее, должны размещаться на расстоянии не менее 12 м от наземно расположенного топливного оборудования АЗС и площадок для АЦ, а более 50 человек - не менее 15 м.</w:t>
      </w:r>
    </w:p>
    <w:p>
      <w:pPr>
        <w:pStyle w:val="0"/>
        <w:jc w:val="both"/>
      </w:pPr>
      <w:r>
        <w:rPr>
          <w:sz w:val="24"/>
        </w:rPr>
      </w:r>
    </w:p>
    <w:bookmarkStart w:id="1474" w:name="P1474"/>
    <w:bookmarkEnd w:id="1474"/>
    <w:p>
      <w:pPr>
        <w:pStyle w:val="2"/>
        <w:outlineLvl w:val="2"/>
        <w:jc w:val="both"/>
      </w:pPr>
      <w:r>
        <w:rPr>
          <w:sz w:val="24"/>
        </w:rPr>
        <w:t xml:space="preserve">Таблица В.1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850"/>
        <w:gridCol w:w="1488"/>
        <w:gridCol w:w="1459"/>
        <w:gridCol w:w="1550"/>
        <w:gridCol w:w="1483"/>
      </w:tblGrid>
      <w:tr>
        <w:tc>
          <w:tcPr>
            <w:tcW w:w="3850" w:type="dxa"/>
            <w:vMerge w:val="restart"/>
          </w:tcPr>
          <w:p>
            <w:pPr>
              <w:pStyle w:val="0"/>
              <w:jc w:val="center"/>
            </w:pPr>
            <w:r>
              <w:rPr>
                <w:sz w:val="24"/>
              </w:rPr>
              <w:t xml:space="preserve">Наименование зданий, сооружений и наружных установок</w:t>
            </w:r>
          </w:p>
        </w:tc>
        <w:tc>
          <w:tcPr>
            <w:gridSpan w:val="4"/>
            <w:tcW w:w="5980" w:type="dxa"/>
          </w:tcPr>
          <w:p>
            <w:pPr>
              <w:pStyle w:val="0"/>
              <w:jc w:val="center"/>
            </w:pPr>
            <w:r>
              <w:rPr>
                <w:sz w:val="24"/>
              </w:rPr>
              <w:t xml:space="preserve">Расстояния, м</w:t>
            </w:r>
          </w:p>
        </w:tc>
      </w:tr>
      <w:tr>
        <w:tc>
          <w:tcPr>
            <w:vMerge w:val="continue"/>
          </w:tcPr>
          <w:p/>
        </w:tc>
        <w:tc>
          <w:tcPr>
            <w:tcW w:w="1488" w:type="dxa"/>
          </w:tcPr>
          <w:p>
            <w:pPr>
              <w:pStyle w:val="0"/>
              <w:jc w:val="center"/>
            </w:pPr>
            <w:r>
              <w:rPr>
                <w:sz w:val="24"/>
              </w:rPr>
              <w:t xml:space="preserve">Подземные резервуары для топлива и очистные сооружения</w:t>
            </w:r>
          </w:p>
        </w:tc>
        <w:tc>
          <w:tcPr>
            <w:tcW w:w="1459" w:type="dxa"/>
          </w:tcPr>
          <w:p>
            <w:pPr>
              <w:pStyle w:val="0"/>
              <w:jc w:val="center"/>
            </w:pPr>
            <w:r>
              <w:rPr>
                <w:sz w:val="24"/>
              </w:rPr>
              <w:t xml:space="preserve">Надземные резервуары для топлива</w:t>
            </w:r>
          </w:p>
        </w:tc>
        <w:tc>
          <w:tcPr>
            <w:tcW w:w="1550" w:type="dxa"/>
          </w:tcPr>
          <w:p>
            <w:pPr>
              <w:pStyle w:val="0"/>
              <w:jc w:val="center"/>
            </w:pPr>
            <w:r>
              <w:rPr>
                <w:sz w:val="24"/>
              </w:rPr>
              <w:t xml:space="preserve">Топливо-раздаточные колонки</w:t>
            </w:r>
          </w:p>
        </w:tc>
        <w:tc>
          <w:tcPr>
            <w:tcW w:w="1483" w:type="dxa"/>
          </w:tcPr>
          <w:p>
            <w:pPr>
              <w:pStyle w:val="0"/>
              <w:jc w:val="center"/>
            </w:pPr>
            <w:r>
              <w:rPr>
                <w:sz w:val="24"/>
              </w:rPr>
              <w:t xml:space="preserve">Площадка для АЦ</w:t>
            </w:r>
          </w:p>
        </w:tc>
      </w:tr>
      <w:tr>
        <w:tc>
          <w:tcPr>
            <w:tcW w:w="3850" w:type="dxa"/>
          </w:tcPr>
          <w:p>
            <w:pPr>
              <w:pStyle w:val="0"/>
            </w:pPr>
            <w:r>
              <w:rPr>
                <w:sz w:val="24"/>
              </w:rPr>
              <w:t xml:space="preserve">1. Производственные здания и помещения категорий А, Б, Г; наружные установки категорий АН, БН, ВН, ГН; площадки хранения транспортных средств для перевозки опасных грузов классов 2 - 4, 8 и подкласса 9.1 по </w:t>
            </w:r>
            <w:hyperlink w:history="0" r:id="rId128"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1488" w:type="dxa"/>
          </w:tcPr>
          <w:p>
            <w:pPr>
              <w:pStyle w:val="0"/>
              <w:jc w:val="center"/>
            </w:pPr>
            <w:r>
              <w:rPr>
                <w:sz w:val="24"/>
              </w:rPr>
              <w:t xml:space="preserve">30</w:t>
            </w:r>
          </w:p>
        </w:tc>
        <w:tc>
          <w:tcPr>
            <w:tcW w:w="1459" w:type="dxa"/>
          </w:tcPr>
          <w:p>
            <w:pPr>
              <w:pStyle w:val="0"/>
              <w:jc w:val="center"/>
            </w:pPr>
            <w:r>
              <w:rPr>
                <w:sz w:val="24"/>
              </w:rPr>
              <w:t xml:space="preserve">30</w:t>
            </w:r>
          </w:p>
        </w:tc>
        <w:tc>
          <w:tcPr>
            <w:tcW w:w="1550" w:type="dxa"/>
          </w:tcPr>
          <w:p>
            <w:pPr>
              <w:pStyle w:val="0"/>
              <w:jc w:val="center"/>
            </w:pPr>
            <w:r>
              <w:rPr>
                <w:sz w:val="24"/>
              </w:rPr>
              <w:t xml:space="preserve">30</w:t>
            </w:r>
          </w:p>
        </w:tc>
        <w:tc>
          <w:tcPr>
            <w:tcW w:w="1483" w:type="dxa"/>
          </w:tcPr>
          <w:p>
            <w:pPr>
              <w:pStyle w:val="0"/>
              <w:jc w:val="center"/>
            </w:pPr>
            <w:r>
              <w:rPr>
                <w:sz w:val="24"/>
              </w:rPr>
              <w:t xml:space="preserve">30</w:t>
            </w:r>
          </w:p>
        </w:tc>
      </w:tr>
      <w:tr>
        <w:tblPrEx>
          <w:tblBorders>
            <w:insideH w:val="nil"/>
          </w:tblBorders>
        </w:tblPrEx>
        <w:tc>
          <w:tcPr>
            <w:tcW w:w="3850" w:type="dxa"/>
            <w:tcBorders>
              <w:bottom w:val="nil"/>
            </w:tcBorders>
          </w:tcPr>
          <w:bookmarkStart w:id="1487" w:name="P1487"/>
          <w:bookmarkEnd w:id="1487"/>
          <w:p>
            <w:pPr>
              <w:pStyle w:val="0"/>
            </w:pPr>
            <w:r>
              <w:rPr>
                <w:sz w:val="24"/>
              </w:rPr>
              <w:t xml:space="preserve">2. Производственные здания категорий В и Д, помещения категорий В1 - В4 и Д, наружные установки категории ДН:</w:t>
            </w:r>
          </w:p>
        </w:tc>
        <w:tc>
          <w:tcPr>
            <w:tcW w:w="1488" w:type="dxa"/>
            <w:tcBorders>
              <w:bottom w:val="nil"/>
            </w:tcBorders>
          </w:tcPr>
          <w:p>
            <w:pPr>
              <w:pStyle w:val="0"/>
            </w:pPr>
            <w:r>
              <w:rPr>
                <w:sz w:val="24"/>
              </w:rPr>
            </w:r>
          </w:p>
        </w:tc>
        <w:tc>
          <w:tcPr>
            <w:tcW w:w="1459" w:type="dxa"/>
            <w:tcBorders>
              <w:bottom w:val="nil"/>
            </w:tcBorders>
          </w:tcPr>
          <w:p>
            <w:pPr>
              <w:pStyle w:val="0"/>
            </w:pPr>
            <w:r>
              <w:rPr>
                <w:sz w:val="24"/>
              </w:rPr>
            </w:r>
          </w:p>
        </w:tc>
        <w:tc>
          <w:tcPr>
            <w:tcW w:w="1550" w:type="dxa"/>
            <w:tcBorders>
              <w:bottom w:val="nil"/>
            </w:tcBorders>
          </w:tcPr>
          <w:p>
            <w:pPr>
              <w:pStyle w:val="0"/>
            </w:pPr>
            <w:r>
              <w:rPr>
                <w:sz w:val="24"/>
              </w:rPr>
            </w:r>
          </w:p>
        </w:tc>
        <w:tc>
          <w:tcPr>
            <w:tcW w:w="1483" w:type="dxa"/>
            <w:tcBorders>
              <w:bottom w:val="nil"/>
            </w:tcBorders>
          </w:tcPr>
          <w:p>
            <w:pPr>
              <w:pStyle w:val="0"/>
            </w:pPr>
            <w:r>
              <w:rPr>
                <w:sz w:val="24"/>
              </w:rPr>
            </w:r>
          </w:p>
        </w:tc>
      </w:tr>
      <w:tr>
        <w:tblPrEx>
          <w:tblBorders>
            <w:insideH w:val="nil"/>
          </w:tblBorders>
        </w:tblPrEx>
        <w:tc>
          <w:tcPr>
            <w:tcW w:w="3850" w:type="dxa"/>
            <w:tcBorders>
              <w:top w:val="nil"/>
              <w:bottom w:val="nil"/>
            </w:tcBorders>
          </w:tcPr>
          <w:p>
            <w:pPr>
              <w:pStyle w:val="0"/>
            </w:pPr>
            <w:r>
              <w:rPr>
                <w:sz w:val="24"/>
              </w:rPr>
              <w:t xml:space="preserve">здания I, II степени огнестойкости классов С0 и С1 и III степени огнестойкости класса С0</w:t>
            </w:r>
          </w:p>
        </w:tc>
        <w:tc>
          <w:tcPr>
            <w:tcW w:w="1488" w:type="dxa"/>
            <w:vAlign w:val="bottom"/>
            <w:tcBorders>
              <w:top w:val="nil"/>
              <w:bottom w:val="nil"/>
            </w:tcBorders>
          </w:tcPr>
          <w:p>
            <w:pPr>
              <w:pStyle w:val="0"/>
              <w:jc w:val="center"/>
            </w:pPr>
            <w:r>
              <w:rPr>
                <w:sz w:val="24"/>
              </w:rPr>
              <w:t xml:space="preserve">6</w:t>
            </w:r>
          </w:p>
        </w:tc>
        <w:tc>
          <w:tcPr>
            <w:tcW w:w="1459" w:type="dxa"/>
            <w:vAlign w:val="bottom"/>
            <w:tcBorders>
              <w:top w:val="nil"/>
              <w:bottom w:val="nil"/>
            </w:tcBorders>
          </w:tcPr>
          <w:p>
            <w:pPr>
              <w:pStyle w:val="0"/>
              <w:jc w:val="center"/>
            </w:pPr>
            <w:r>
              <w:rPr>
                <w:sz w:val="24"/>
              </w:rPr>
              <w:t xml:space="preserve">12</w:t>
            </w:r>
          </w:p>
        </w:tc>
        <w:tc>
          <w:tcPr>
            <w:tcW w:w="1550" w:type="dxa"/>
            <w:vAlign w:val="bottom"/>
            <w:tcBorders>
              <w:top w:val="nil"/>
              <w:bottom w:val="nil"/>
            </w:tcBorders>
          </w:tcPr>
          <w:p>
            <w:pPr>
              <w:pStyle w:val="0"/>
              <w:jc w:val="center"/>
            </w:pPr>
            <w:r>
              <w:rPr>
                <w:sz w:val="24"/>
              </w:rPr>
              <w:t xml:space="preserve">6</w:t>
            </w:r>
          </w:p>
        </w:tc>
        <w:tc>
          <w:tcPr>
            <w:tcW w:w="1483" w:type="dxa"/>
            <w:vAlign w:val="bottom"/>
            <w:tcBorders>
              <w:top w:val="nil"/>
              <w:bottom w:val="nil"/>
            </w:tcBorders>
          </w:tcPr>
          <w:p>
            <w:pPr>
              <w:pStyle w:val="0"/>
              <w:jc w:val="center"/>
            </w:pPr>
            <w:r>
              <w:rPr>
                <w:sz w:val="24"/>
              </w:rPr>
              <w:t xml:space="preserve">9</w:t>
            </w:r>
          </w:p>
        </w:tc>
      </w:tr>
      <w:tr>
        <w:tblPrEx>
          <w:tblBorders>
            <w:insideH w:val="nil"/>
          </w:tblBorders>
        </w:tblPrEx>
        <w:tc>
          <w:tcPr>
            <w:tcW w:w="3850" w:type="dxa"/>
            <w:tcBorders>
              <w:top w:val="nil"/>
              <w:bottom w:val="nil"/>
            </w:tcBorders>
          </w:tcPr>
          <w:p>
            <w:pPr>
              <w:pStyle w:val="0"/>
            </w:pPr>
            <w:r>
              <w:rPr>
                <w:sz w:val="24"/>
              </w:rPr>
              <w:t xml:space="preserve">здания III степени огнестойкости класса С1 и IV степени огнестойкости класса С0</w:t>
            </w:r>
          </w:p>
        </w:tc>
        <w:tc>
          <w:tcPr>
            <w:tcW w:w="1488" w:type="dxa"/>
            <w:vAlign w:val="bottom"/>
            <w:tcBorders>
              <w:top w:val="nil"/>
              <w:bottom w:val="nil"/>
            </w:tcBorders>
          </w:tcPr>
          <w:p>
            <w:pPr>
              <w:pStyle w:val="0"/>
              <w:jc w:val="center"/>
            </w:pPr>
            <w:r>
              <w:rPr>
                <w:sz w:val="24"/>
              </w:rPr>
              <w:t xml:space="preserve">9</w:t>
            </w:r>
          </w:p>
        </w:tc>
        <w:tc>
          <w:tcPr>
            <w:tcW w:w="1459" w:type="dxa"/>
            <w:vAlign w:val="bottom"/>
            <w:tcBorders>
              <w:top w:val="nil"/>
              <w:bottom w:val="nil"/>
            </w:tcBorders>
          </w:tcPr>
          <w:p>
            <w:pPr>
              <w:pStyle w:val="0"/>
              <w:jc w:val="center"/>
            </w:pPr>
            <w:r>
              <w:rPr>
                <w:sz w:val="24"/>
              </w:rPr>
              <w:t xml:space="preserve">16</w:t>
            </w:r>
          </w:p>
        </w:tc>
        <w:tc>
          <w:tcPr>
            <w:tcW w:w="1550" w:type="dxa"/>
            <w:vAlign w:val="bottom"/>
            <w:tcBorders>
              <w:top w:val="nil"/>
              <w:bottom w:val="nil"/>
            </w:tcBorders>
          </w:tcPr>
          <w:p>
            <w:pPr>
              <w:pStyle w:val="0"/>
              <w:jc w:val="center"/>
            </w:pPr>
            <w:r>
              <w:rPr>
                <w:sz w:val="24"/>
              </w:rPr>
              <w:t xml:space="preserve">9</w:t>
            </w:r>
          </w:p>
        </w:tc>
        <w:tc>
          <w:tcPr>
            <w:tcW w:w="1483" w:type="dxa"/>
            <w:vAlign w:val="bottom"/>
            <w:tcBorders>
              <w:top w:val="nil"/>
              <w:bottom w:val="nil"/>
            </w:tcBorders>
          </w:tcPr>
          <w:p>
            <w:pPr>
              <w:pStyle w:val="0"/>
              <w:jc w:val="center"/>
            </w:pPr>
            <w:r>
              <w:rPr>
                <w:sz w:val="24"/>
              </w:rPr>
              <w:t xml:space="preserve">12</w:t>
            </w:r>
          </w:p>
        </w:tc>
      </w:tr>
      <w:tr>
        <w:tblPrEx>
          <w:tblBorders>
            <w:insideH w:val="nil"/>
          </w:tblBorders>
        </w:tblPrEx>
        <w:tc>
          <w:tcPr>
            <w:tcW w:w="3850" w:type="dxa"/>
            <w:tcBorders>
              <w:top w:val="nil"/>
            </w:tcBorders>
          </w:tcPr>
          <w:p>
            <w:pPr>
              <w:pStyle w:val="0"/>
            </w:pPr>
            <w:r>
              <w:rPr>
                <w:sz w:val="24"/>
              </w:rPr>
              <w:t xml:space="preserve">здания IV, V степени огнестойкости и наружные установки категории ДН</w:t>
            </w:r>
          </w:p>
        </w:tc>
        <w:tc>
          <w:tcPr>
            <w:tcW w:w="1488" w:type="dxa"/>
            <w:vAlign w:val="bottom"/>
            <w:tcBorders>
              <w:top w:val="nil"/>
            </w:tcBorders>
          </w:tcPr>
          <w:p>
            <w:pPr>
              <w:pStyle w:val="0"/>
              <w:jc w:val="center"/>
            </w:pPr>
            <w:r>
              <w:rPr>
                <w:sz w:val="24"/>
              </w:rPr>
              <w:t xml:space="preserve">12</w:t>
            </w:r>
          </w:p>
        </w:tc>
        <w:tc>
          <w:tcPr>
            <w:tcW w:w="1459" w:type="dxa"/>
            <w:vAlign w:val="bottom"/>
            <w:tcBorders>
              <w:top w:val="nil"/>
            </w:tcBorders>
          </w:tcPr>
          <w:p>
            <w:pPr>
              <w:pStyle w:val="0"/>
              <w:jc w:val="center"/>
            </w:pPr>
            <w:r>
              <w:rPr>
                <w:sz w:val="24"/>
              </w:rPr>
              <w:t xml:space="preserve">20</w:t>
            </w:r>
          </w:p>
        </w:tc>
        <w:tc>
          <w:tcPr>
            <w:tcW w:w="1550" w:type="dxa"/>
            <w:vAlign w:val="bottom"/>
            <w:tcBorders>
              <w:top w:val="nil"/>
            </w:tcBorders>
          </w:tcPr>
          <w:p>
            <w:pPr>
              <w:pStyle w:val="0"/>
              <w:jc w:val="center"/>
            </w:pPr>
            <w:r>
              <w:rPr>
                <w:sz w:val="24"/>
              </w:rPr>
              <w:t xml:space="preserve">12</w:t>
            </w:r>
          </w:p>
        </w:tc>
        <w:tc>
          <w:tcPr>
            <w:tcW w:w="1483" w:type="dxa"/>
            <w:vAlign w:val="bottom"/>
            <w:tcBorders>
              <w:top w:val="nil"/>
            </w:tcBorders>
          </w:tcPr>
          <w:p>
            <w:pPr>
              <w:pStyle w:val="0"/>
              <w:jc w:val="center"/>
            </w:pPr>
            <w:r>
              <w:rPr>
                <w:sz w:val="24"/>
              </w:rPr>
              <w:t xml:space="preserve">18</w:t>
            </w:r>
          </w:p>
        </w:tc>
      </w:tr>
      <w:tr>
        <w:tc>
          <w:tcPr>
            <w:tcW w:w="3850" w:type="dxa"/>
          </w:tcPr>
          <w:bookmarkStart w:id="1507" w:name="P1507"/>
          <w:bookmarkEnd w:id="1507"/>
          <w:p>
            <w:pPr>
              <w:pStyle w:val="0"/>
            </w:pPr>
            <w:r>
              <w:rPr>
                <w:sz w:val="24"/>
              </w:rPr>
              <w:t xml:space="preserve">3. Административные и бытовые здания</w:t>
            </w:r>
          </w:p>
        </w:tc>
        <w:tc>
          <w:tcPr>
            <w:tcW w:w="1488" w:type="dxa"/>
            <w:vAlign w:val="center"/>
          </w:tcPr>
          <w:p>
            <w:pPr>
              <w:pStyle w:val="0"/>
              <w:jc w:val="center"/>
            </w:pPr>
            <w:r>
              <w:rPr>
                <w:sz w:val="24"/>
              </w:rPr>
              <w:t xml:space="preserve">18</w:t>
            </w:r>
          </w:p>
        </w:tc>
        <w:tc>
          <w:tcPr>
            <w:tcW w:w="1459" w:type="dxa"/>
            <w:vAlign w:val="center"/>
          </w:tcPr>
          <w:p>
            <w:pPr>
              <w:pStyle w:val="0"/>
              <w:jc w:val="center"/>
            </w:pPr>
            <w:r>
              <w:rPr>
                <w:sz w:val="24"/>
              </w:rPr>
              <w:t xml:space="preserve">25</w:t>
            </w:r>
          </w:p>
        </w:tc>
        <w:tc>
          <w:tcPr>
            <w:tcW w:w="1550" w:type="dxa"/>
            <w:vAlign w:val="center"/>
          </w:tcPr>
          <w:p>
            <w:pPr>
              <w:pStyle w:val="0"/>
              <w:jc w:val="center"/>
            </w:pPr>
            <w:r>
              <w:rPr>
                <w:sz w:val="24"/>
              </w:rPr>
              <w:t xml:space="preserve">18</w:t>
            </w:r>
          </w:p>
        </w:tc>
        <w:tc>
          <w:tcPr>
            <w:tcW w:w="1483" w:type="dxa"/>
            <w:vAlign w:val="center"/>
          </w:tcPr>
          <w:p>
            <w:pPr>
              <w:pStyle w:val="0"/>
              <w:jc w:val="center"/>
            </w:pPr>
            <w:r>
              <w:rPr>
                <w:sz w:val="24"/>
              </w:rPr>
              <w:t xml:space="preserve">25</w:t>
            </w:r>
          </w:p>
        </w:tc>
      </w:tr>
      <w:tr>
        <w:tc>
          <w:tcPr>
            <w:tcW w:w="3850" w:type="dxa"/>
          </w:tcPr>
          <w:bookmarkStart w:id="1512" w:name="P1512"/>
          <w:bookmarkEnd w:id="1512"/>
          <w:p>
            <w:pPr>
              <w:pStyle w:val="0"/>
            </w:pPr>
            <w:r>
              <w:rPr>
                <w:sz w:val="24"/>
              </w:rPr>
              <w:t xml:space="preserve">4. Открытые площадки и навесы для хранения транспортных средств</w:t>
            </w:r>
          </w:p>
        </w:tc>
        <w:tc>
          <w:tcPr>
            <w:tcW w:w="1488" w:type="dxa"/>
            <w:vAlign w:val="center"/>
          </w:tcPr>
          <w:p>
            <w:pPr>
              <w:pStyle w:val="0"/>
              <w:jc w:val="center"/>
            </w:pPr>
            <w:r>
              <w:rPr>
                <w:sz w:val="24"/>
              </w:rPr>
              <w:t xml:space="preserve">6</w:t>
            </w:r>
          </w:p>
        </w:tc>
        <w:tc>
          <w:tcPr>
            <w:tcW w:w="1459" w:type="dxa"/>
            <w:vAlign w:val="center"/>
          </w:tcPr>
          <w:p>
            <w:pPr>
              <w:pStyle w:val="0"/>
              <w:jc w:val="center"/>
            </w:pPr>
            <w:r>
              <w:rPr>
                <w:sz w:val="24"/>
              </w:rPr>
              <w:t xml:space="preserve">12</w:t>
            </w:r>
          </w:p>
        </w:tc>
        <w:tc>
          <w:tcPr>
            <w:tcW w:w="1550" w:type="dxa"/>
            <w:vAlign w:val="center"/>
          </w:tcPr>
          <w:p>
            <w:pPr>
              <w:pStyle w:val="0"/>
              <w:jc w:val="center"/>
            </w:pPr>
            <w:r>
              <w:rPr>
                <w:sz w:val="24"/>
              </w:rPr>
              <w:t xml:space="preserve">6</w:t>
            </w:r>
          </w:p>
        </w:tc>
        <w:tc>
          <w:tcPr>
            <w:tcW w:w="1483" w:type="dxa"/>
            <w:vAlign w:val="center"/>
          </w:tcPr>
          <w:p>
            <w:pPr>
              <w:pStyle w:val="0"/>
              <w:jc w:val="center"/>
            </w:pPr>
            <w:r>
              <w:rPr>
                <w:sz w:val="24"/>
              </w:rPr>
              <w:t xml:space="preserve">9</w:t>
            </w:r>
          </w:p>
        </w:tc>
      </w:tr>
      <w:tr>
        <w:tc>
          <w:tcPr>
            <w:tcW w:w="3850" w:type="dxa"/>
          </w:tcPr>
          <w:p>
            <w:pPr>
              <w:pStyle w:val="0"/>
            </w:pPr>
            <w:r>
              <w:rPr>
                <w:sz w:val="24"/>
              </w:rPr>
              <w:t xml:space="preserve">5 До оси внутренних железнодорожных путей предприятия</w:t>
            </w:r>
          </w:p>
        </w:tc>
        <w:tc>
          <w:tcPr>
            <w:tcW w:w="1488" w:type="dxa"/>
            <w:vAlign w:val="center"/>
          </w:tcPr>
          <w:p>
            <w:pPr>
              <w:pStyle w:val="0"/>
              <w:jc w:val="center"/>
            </w:pPr>
            <w:r>
              <w:rPr>
                <w:sz w:val="24"/>
              </w:rPr>
              <w:t xml:space="preserve">10</w:t>
            </w:r>
          </w:p>
        </w:tc>
        <w:tc>
          <w:tcPr>
            <w:tcW w:w="1459" w:type="dxa"/>
            <w:vAlign w:val="center"/>
          </w:tcPr>
          <w:p>
            <w:pPr>
              <w:pStyle w:val="0"/>
              <w:jc w:val="center"/>
            </w:pPr>
            <w:r>
              <w:rPr>
                <w:sz w:val="24"/>
              </w:rPr>
              <w:t xml:space="preserve">15</w:t>
            </w:r>
          </w:p>
        </w:tc>
        <w:tc>
          <w:tcPr>
            <w:tcW w:w="1550" w:type="dxa"/>
            <w:vAlign w:val="center"/>
          </w:tcPr>
          <w:p>
            <w:pPr>
              <w:pStyle w:val="0"/>
              <w:jc w:val="center"/>
            </w:pPr>
            <w:r>
              <w:rPr>
                <w:sz w:val="24"/>
              </w:rPr>
              <w:t xml:space="preserve">10</w:t>
            </w:r>
          </w:p>
        </w:tc>
        <w:tc>
          <w:tcPr>
            <w:tcW w:w="1483" w:type="dxa"/>
            <w:vAlign w:val="center"/>
          </w:tcPr>
          <w:p>
            <w:pPr>
              <w:pStyle w:val="0"/>
              <w:jc w:val="center"/>
            </w:pPr>
            <w:r>
              <w:rPr>
                <w:sz w:val="24"/>
              </w:rPr>
              <w:t xml:space="preserve">15</w:t>
            </w:r>
          </w:p>
        </w:tc>
      </w:tr>
      <w:tr>
        <w:tc>
          <w:tcPr>
            <w:tcW w:w="3850" w:type="dxa"/>
          </w:tcPr>
          <w:p>
            <w:pPr>
              <w:pStyle w:val="0"/>
            </w:pPr>
            <w:r>
              <w:rPr>
                <w:sz w:val="24"/>
              </w:rPr>
              <w:t xml:space="preserve">6. До края проезжей части автомобильных дорог предприятия</w:t>
            </w:r>
          </w:p>
        </w:tc>
        <w:tc>
          <w:tcPr>
            <w:tcW w:w="1488" w:type="dxa"/>
            <w:vAlign w:val="center"/>
          </w:tcPr>
          <w:p>
            <w:pPr>
              <w:pStyle w:val="0"/>
              <w:jc w:val="center"/>
            </w:pPr>
            <w:r>
              <w:rPr>
                <w:sz w:val="24"/>
              </w:rPr>
              <w:t xml:space="preserve">5</w:t>
            </w:r>
          </w:p>
        </w:tc>
        <w:tc>
          <w:tcPr>
            <w:tcW w:w="1459" w:type="dxa"/>
            <w:vAlign w:val="center"/>
          </w:tcPr>
          <w:p>
            <w:pPr>
              <w:pStyle w:val="0"/>
              <w:jc w:val="center"/>
            </w:pPr>
            <w:r>
              <w:rPr>
                <w:sz w:val="24"/>
              </w:rPr>
              <w:t xml:space="preserve">9</w:t>
            </w:r>
          </w:p>
        </w:tc>
        <w:tc>
          <w:tcPr>
            <w:tcW w:w="1550" w:type="dxa"/>
            <w:vAlign w:val="center"/>
          </w:tcPr>
          <w:p>
            <w:pPr>
              <w:pStyle w:val="0"/>
              <w:jc w:val="center"/>
            </w:pPr>
            <w:r>
              <w:rPr>
                <w:sz w:val="24"/>
              </w:rPr>
              <w:t xml:space="preserve">5</w:t>
            </w:r>
          </w:p>
        </w:tc>
        <w:tc>
          <w:tcPr>
            <w:tcW w:w="1483" w:type="dxa"/>
            <w:vAlign w:val="center"/>
          </w:tcPr>
          <w:p>
            <w:pPr>
              <w:pStyle w:val="0"/>
              <w:jc w:val="center"/>
            </w:pPr>
            <w:r>
              <w:rPr>
                <w:sz w:val="24"/>
              </w:rPr>
              <w:t xml:space="preserve">9</w:t>
            </w:r>
          </w:p>
        </w:tc>
      </w:tr>
      <w:tr>
        <w:tblPrEx>
          <w:tblBorders>
            <w:insideH w:val="nil"/>
          </w:tblBorders>
        </w:tblPrEx>
        <w:tc>
          <w:tcPr>
            <w:tcW w:w="3850" w:type="dxa"/>
            <w:tcBorders>
              <w:bottom w:val="nil"/>
            </w:tcBorders>
          </w:tcPr>
          <w:p>
            <w:pPr>
              <w:pStyle w:val="0"/>
            </w:pPr>
            <w:r>
              <w:rPr>
                <w:sz w:val="24"/>
              </w:rPr>
              <w:t xml:space="preserve">7. Здания и сооружения с наличием радиоактивных, а также вредных веществ I и II классов опасности по </w:t>
            </w:r>
            <w:hyperlink w:history="0" r:id="rId129"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площадки хранения транспортных средств для перевозки опасных грузов классов 1, 5 - 7 и подкласса 9.2 по </w:t>
            </w:r>
            <w:hyperlink w:history="0" r:id="rId130"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1488" w:type="dxa"/>
            <w:vAlign w:val="center"/>
            <w:tcBorders>
              <w:bottom w:val="nil"/>
            </w:tcBorders>
          </w:tcPr>
          <w:p>
            <w:pPr>
              <w:pStyle w:val="0"/>
              <w:jc w:val="center"/>
            </w:pPr>
            <w:r>
              <w:rPr>
                <w:sz w:val="24"/>
              </w:rPr>
              <w:t xml:space="preserve">100</w:t>
            </w:r>
          </w:p>
        </w:tc>
        <w:tc>
          <w:tcPr>
            <w:tcW w:w="1459" w:type="dxa"/>
            <w:vAlign w:val="center"/>
            <w:tcBorders>
              <w:bottom w:val="nil"/>
            </w:tcBorders>
          </w:tcPr>
          <w:p>
            <w:pPr>
              <w:pStyle w:val="0"/>
              <w:jc w:val="center"/>
            </w:pPr>
            <w:r>
              <w:rPr>
                <w:sz w:val="24"/>
              </w:rPr>
              <w:t xml:space="preserve">100</w:t>
            </w:r>
          </w:p>
        </w:tc>
        <w:tc>
          <w:tcPr>
            <w:tcW w:w="1550" w:type="dxa"/>
            <w:vAlign w:val="center"/>
            <w:tcBorders>
              <w:bottom w:val="nil"/>
            </w:tcBorders>
          </w:tcPr>
          <w:p>
            <w:pPr>
              <w:pStyle w:val="0"/>
              <w:jc w:val="center"/>
            </w:pPr>
            <w:r>
              <w:rPr>
                <w:sz w:val="24"/>
              </w:rPr>
              <w:t xml:space="preserve">100</w:t>
            </w:r>
          </w:p>
        </w:tc>
        <w:tc>
          <w:tcPr>
            <w:tcW w:w="1483" w:type="dxa"/>
            <w:vAlign w:val="center"/>
            <w:tcBorders>
              <w:bottom w:val="nil"/>
            </w:tcBorders>
          </w:tcPr>
          <w:p>
            <w:pPr>
              <w:pStyle w:val="0"/>
              <w:jc w:val="center"/>
            </w:pPr>
            <w:r>
              <w:rPr>
                <w:sz w:val="24"/>
              </w:rPr>
              <w:t xml:space="preserve">100</w:t>
            </w:r>
          </w:p>
        </w:tc>
      </w:tr>
      <w:tr>
        <w:tblPrEx>
          <w:tblBorders>
            <w:insideH w:val="nil"/>
          </w:tblBorders>
        </w:tblPrEx>
        <w:tc>
          <w:tcPr>
            <w:gridSpan w:val="5"/>
            <w:tcW w:w="9830" w:type="dxa"/>
            <w:tcBorders>
              <w:top w:val="nil"/>
            </w:tcBorders>
          </w:tcPr>
          <w:p>
            <w:pPr>
              <w:pStyle w:val="0"/>
              <w:jc w:val="both"/>
            </w:pPr>
            <w:r>
              <w:rPr>
                <w:sz w:val="24"/>
              </w:rPr>
              <w:t xml:space="preserve">(в ред. </w:t>
            </w:r>
            <w:hyperlink w:history="0" r:id="rId13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c>
          <w:tcPr>
            <w:gridSpan w:val="5"/>
            <w:tcW w:w="9830" w:type="dxa"/>
          </w:tcPr>
          <w:p>
            <w:pPr>
              <w:pStyle w:val="0"/>
              <w:jc w:val="both"/>
            </w:pPr>
            <w:r>
              <w:rPr>
                <w:sz w:val="24"/>
              </w:rPr>
              <w:t xml:space="preserve">Примечания</w:t>
            </w:r>
          </w:p>
          <w:p>
            <w:pPr>
              <w:pStyle w:val="0"/>
              <w:jc w:val="both"/>
            </w:pPr>
            <w:r>
              <w:rPr>
                <w:sz w:val="24"/>
              </w:rPr>
              <w:t xml:space="preserve">1. Расстояния до зданий, указанные в </w:t>
            </w:r>
            <w:hyperlink w:history="0" w:anchor="P1487" w:tooltip="2. Производственные здания категорий В и Д, помещения категорий В1 - В4 и Д, наружные установки категории ДН:">
              <w:r>
                <w:rPr>
                  <w:sz w:val="24"/>
                  <w:color w:val="0000ff"/>
                </w:rPr>
                <w:t xml:space="preserve">строке 2</w:t>
              </w:r>
            </w:hyperlink>
            <w:r>
              <w:rPr>
                <w:sz w:val="24"/>
              </w:rPr>
              <w:t xml:space="preserve">, не нормируются, а расстояния, указанные в </w:t>
            </w:r>
            <w:hyperlink w:history="0" w:anchor="P1507" w:tooltip="3. Административные и бытовые здания">
              <w:r>
                <w:rPr>
                  <w:sz w:val="24"/>
                  <w:color w:val="0000ff"/>
                </w:rPr>
                <w:t xml:space="preserve">строке 3</w:t>
              </w:r>
            </w:hyperlink>
            <w:r>
              <w:rPr>
                <w:sz w:val="24"/>
              </w:rPr>
              <w:t xml:space="preserve">, допускается уменьшать на 50%, если стена здания, обращенная в сторону топливозаправочного пункта, является противопожарной и не имеет проемов.</w:t>
            </w:r>
          </w:p>
          <w:p>
            <w:pPr>
              <w:pStyle w:val="0"/>
              <w:jc w:val="both"/>
            </w:pPr>
            <w:r>
              <w:rPr>
                <w:sz w:val="24"/>
              </w:rPr>
              <w:t xml:space="preserve">2. В таблице приведены расстояния до очистных сооружений, относящихся к топливозаправочному пункту и отвечающих требованиям настоящего свода правил. Расстояния до очистных сооружений предприятия определяются в зависимости от их категории.</w:t>
            </w:r>
          </w:p>
          <w:p>
            <w:pPr>
              <w:pStyle w:val="0"/>
              <w:jc w:val="both"/>
            </w:pPr>
            <w:r>
              <w:rPr>
                <w:sz w:val="24"/>
              </w:rPr>
              <w:t xml:space="preserve">3. Расстояния, указанные в </w:t>
            </w:r>
            <w:hyperlink w:history="0" w:anchor="P1512" w:tooltip="4. Открытые площадки и навесы для хранения транспортных средств">
              <w:r>
                <w:rPr>
                  <w:sz w:val="24"/>
                  <w:color w:val="0000ff"/>
                </w:rPr>
                <w:t xml:space="preserve">строке 4</w:t>
              </w:r>
            </w:hyperlink>
            <w:r>
              <w:rPr>
                <w:sz w:val="24"/>
              </w:rPr>
              <w:t xml:space="preserve">, приведены до площадок хранения легкового и мототранспорта в количестве не более 10 единиц. При увеличении этого количества до 50 единиц указанные расстояния должны быть увеличены на 30%, а свыше 50 единиц - на 60%. При организации стоянок для других транспортных средств расстояния следует увеличивать на 50%.</w:t>
            </w:r>
          </w:p>
          <w:p>
            <w:pPr>
              <w:pStyle w:val="0"/>
              <w:jc w:val="both"/>
            </w:pPr>
            <w:r>
              <w:rPr>
                <w:sz w:val="24"/>
              </w:rPr>
              <w:t xml:space="preserve">4. При размещении в зданиях категорий В и Д, не относящихся к топливозаправочному пункту, помещений категорий А, Б, Г расстояния до стен (перегородок) этих помещений должны приниматься не менее 30 м.</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Г</w:t>
      </w:r>
    </w:p>
    <w:p>
      <w:pPr>
        <w:pStyle w:val="0"/>
        <w:jc w:val="both"/>
      </w:pPr>
      <w:r>
        <w:rPr>
          <w:sz w:val="24"/>
        </w:rPr>
      </w:r>
    </w:p>
    <w:bookmarkStart w:id="1545" w:name="P1545"/>
    <w:bookmarkEnd w:id="1545"/>
    <w:p>
      <w:pPr>
        <w:pStyle w:val="2"/>
        <w:jc w:val="center"/>
      </w:pPr>
      <w:r>
        <w:rPr>
          <w:sz w:val="24"/>
        </w:rPr>
        <w:t xml:space="preserve">СПЕЦИФИЧЕСКИЕ ТРЕБОВАНИЯ</w:t>
      </w:r>
    </w:p>
    <w:p>
      <w:pPr>
        <w:pStyle w:val="2"/>
        <w:jc w:val="center"/>
      </w:pPr>
      <w:r>
        <w:rPr>
          <w:sz w:val="24"/>
        </w:rPr>
        <w:t xml:space="preserve">К ПЕРЕДВИЖНЫМ АВТОЗАПРАВОЧНЫМ СТАНЦИЯМ ЖИДКОГО</w:t>
      </w:r>
    </w:p>
    <w:p>
      <w:pPr>
        <w:pStyle w:val="2"/>
        <w:jc w:val="center"/>
      </w:pPr>
      <w:r>
        <w:rPr>
          <w:sz w:val="24"/>
        </w:rPr>
        <w:t xml:space="preserve">МОТОРНОГО ТОПЛИВА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3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Г.1. Размещение ПАЗС в пределах населенных пунктов допускается только на территории традиционных АЗС в период проведения на АЗС регламентных и ремонтных работ, не связанных с огневыми работами, заполнением и выдачей топлива с использованием оборудования этих АЗС. Во время нахождения ПАЗС на территории традиционных АЗС эксплуатация зданий сервисного обслуживания не допускается. ПАЗС следует устанавливать на специально оборудованных для этой цели площадках, предусматриваемых в районах, недостаточно обеспеченных АЗС других типов.</w:t>
      </w:r>
    </w:p>
    <w:p>
      <w:pPr>
        <w:pStyle w:val="0"/>
        <w:spacing w:before="240" w:lineRule="auto"/>
        <w:ind w:firstLine="540"/>
        <w:jc w:val="both"/>
      </w:pPr>
      <w:r>
        <w:rPr>
          <w:sz w:val="24"/>
        </w:rPr>
        <w:t xml:space="preserve">Г.2. Места расположения площадок для установки ПАЗС должны соответствовать требованиям, предъявляемым настоящим сводом правил к АЗС с надземными резервуарами, и следующим дополнительным положениям:</w:t>
      </w:r>
    </w:p>
    <w:p>
      <w:pPr>
        <w:pStyle w:val="0"/>
        <w:spacing w:before="240" w:lineRule="auto"/>
        <w:ind w:firstLine="540"/>
        <w:jc w:val="both"/>
      </w:pPr>
      <w:r>
        <w:rPr>
          <w:sz w:val="24"/>
        </w:rPr>
        <w:t xml:space="preserve">на территории традиционных автозаправочных станций ПАЗС должны размещаться рядом с заправочным островком на одном из проездов таким образом, чтобы был обеспечен безопасный подъезд транспортных средств для заправки по противоположному проезду, относящемуся к этому островку. При этом спереди и сзади ПАЗС следует устанавливать временные ограждения;</w:t>
      </w:r>
    </w:p>
    <w:p>
      <w:pPr>
        <w:pStyle w:val="0"/>
        <w:spacing w:before="240" w:lineRule="auto"/>
        <w:ind w:firstLine="540"/>
        <w:jc w:val="both"/>
      </w:pPr>
      <w:r>
        <w:rPr>
          <w:sz w:val="24"/>
        </w:rPr>
        <w:t xml:space="preserve">площадку для установки ПАЗС следует выбирать, исходя из условия возможности только одностороннего подъезда к ней транспортных средств с продольной стороны ПАЗС;</w:t>
      </w:r>
    </w:p>
    <w:p>
      <w:pPr>
        <w:pStyle w:val="0"/>
        <w:spacing w:before="240" w:lineRule="auto"/>
        <w:ind w:firstLine="540"/>
        <w:jc w:val="both"/>
      </w:pPr>
      <w:r>
        <w:rPr>
          <w:sz w:val="24"/>
        </w:rPr>
        <w:t xml:space="preserve">расстояние от ПАЗС до приемных колодцев ливневой канализации должно быть не менее 10 м;</w:t>
      </w:r>
    </w:p>
    <w:p>
      <w:pPr>
        <w:pStyle w:val="0"/>
        <w:spacing w:before="240" w:lineRule="auto"/>
        <w:ind w:firstLine="540"/>
        <w:jc w:val="both"/>
      </w:pPr>
      <w:r>
        <w:rPr>
          <w:sz w:val="24"/>
        </w:rPr>
        <w:t xml:space="preserve">площадка для установки ПАЗС и подъезды к ней должны иметь твердое покрытие, исключающее проникновение топлива в грунт;</w:t>
      </w:r>
    </w:p>
    <w:p>
      <w:pPr>
        <w:pStyle w:val="0"/>
        <w:spacing w:before="240" w:lineRule="auto"/>
        <w:ind w:firstLine="540"/>
        <w:jc w:val="both"/>
      </w:pPr>
      <w:r>
        <w:rPr>
          <w:sz w:val="24"/>
        </w:rPr>
        <w:t xml:space="preserve">площадка для установки ПАЗС должна быть оснащена устройством подсоединения заземления ПАЗС в соответствии с </w:t>
      </w:r>
      <w:hyperlink w:history="0" w:anchor="P2089" w:tooltip="БИБЛИОГРАФИЯ">
        <w:r>
          <w:rPr>
            <w:sz w:val="24"/>
            <w:color w:val="0000ff"/>
          </w:rPr>
          <w:t xml:space="preserve">[3]</w:t>
        </w:r>
      </w:hyperlink>
      <w:r>
        <w:rPr>
          <w:sz w:val="24"/>
        </w:rPr>
        <w:t xml:space="preserve">.</w:t>
      </w:r>
    </w:p>
    <w:p>
      <w:pPr>
        <w:pStyle w:val="0"/>
        <w:spacing w:before="240" w:lineRule="auto"/>
        <w:ind w:firstLine="540"/>
        <w:jc w:val="both"/>
      </w:pPr>
      <w:r>
        <w:rPr>
          <w:sz w:val="24"/>
        </w:rPr>
        <w:t xml:space="preserve">Г.3. Единичная емкость резервуаров (камер) ПАЗС, предназначенных для использования на территории населенных пунктов, не должна превышать 10 м3, а ПАЗС, предназначенных для использования вне населенных пунктов, - 20 м3.</w:t>
      </w:r>
    </w:p>
    <w:p>
      <w:pPr>
        <w:pStyle w:val="0"/>
        <w:spacing w:before="240" w:lineRule="auto"/>
        <w:ind w:firstLine="540"/>
        <w:jc w:val="both"/>
      </w:pPr>
      <w:r>
        <w:rPr>
          <w:sz w:val="24"/>
        </w:rPr>
        <w:t xml:space="preserve">Г.4. Использование автотопливозаправщиков в качестве ПАЗС запрещается.</w:t>
      </w:r>
    </w:p>
    <w:p>
      <w:pPr>
        <w:pStyle w:val="0"/>
        <w:spacing w:before="240" w:lineRule="auto"/>
        <w:ind w:firstLine="540"/>
        <w:jc w:val="both"/>
      </w:pPr>
      <w:r>
        <w:rPr>
          <w:sz w:val="24"/>
        </w:rPr>
        <w:t xml:space="preserve">Г.5. Технологическая система ПАЗС должна отвечать требованиям, предъявляемым к технологической системе АЗС с надземным расположением резервуаров, при этом:</w:t>
      </w:r>
    </w:p>
    <w:p>
      <w:pPr>
        <w:pStyle w:val="0"/>
        <w:spacing w:before="240" w:lineRule="auto"/>
        <w:ind w:firstLine="540"/>
        <w:jc w:val="both"/>
      </w:pPr>
      <w:r>
        <w:rPr>
          <w:sz w:val="24"/>
        </w:rPr>
        <w:t xml:space="preserve">использование одностенных резервуаров и двустенных с одностенным перекрытием не допускается;</w:t>
      </w:r>
    </w:p>
    <w:p>
      <w:pPr>
        <w:pStyle w:val="0"/>
        <w:spacing w:before="240" w:lineRule="auto"/>
        <w:ind w:firstLine="540"/>
        <w:jc w:val="both"/>
      </w:pPr>
      <w:r>
        <w:rPr>
          <w:sz w:val="24"/>
        </w:rPr>
        <w:t xml:space="preserve">система непрерывного автоматического контроля за герметичностью межстенного пространства резервуара ПАЗС должна обеспечивать сохранение своей работоспособности как во время движения ПАЗС (с учетом возможных вибраций), так и при остановке ПАЗС;</w:t>
      </w:r>
    </w:p>
    <w:p>
      <w:pPr>
        <w:pStyle w:val="0"/>
        <w:spacing w:before="240" w:lineRule="auto"/>
        <w:ind w:firstLine="540"/>
        <w:jc w:val="both"/>
      </w:pPr>
      <w:r>
        <w:rPr>
          <w:sz w:val="24"/>
        </w:rPr>
        <w:t xml:space="preserve">дублирование элементов системы предотвращения переполнения резервуаров ПАЗС допускается не предусматривать;</w:t>
      </w:r>
    </w:p>
    <w:p>
      <w:pPr>
        <w:pStyle w:val="0"/>
        <w:spacing w:before="240" w:lineRule="auto"/>
        <w:ind w:firstLine="540"/>
        <w:jc w:val="both"/>
      </w:pPr>
      <w:r>
        <w:rPr>
          <w:sz w:val="24"/>
        </w:rPr>
        <w:t xml:space="preserve">предохранительные мембраны резервуаров ПАЗС должны быть защищены от механических повреждений с обеспечением сохранения площади сбросного сечения при возможном опрокидывании ПАЗС. Оснащение резервуаров ПАЗС предохранительными клапанами взамен предохранительных мембран не допускается;</w:t>
      </w:r>
    </w:p>
    <w:p>
      <w:pPr>
        <w:pStyle w:val="0"/>
        <w:spacing w:before="240" w:lineRule="auto"/>
        <w:ind w:firstLine="540"/>
        <w:jc w:val="both"/>
      </w:pPr>
      <w:r>
        <w:rPr>
          <w:sz w:val="24"/>
        </w:rPr>
        <w:t xml:space="preserve">высота верхнего среза трубопровода линии деаэрации резервуара ПАЗС, определяемая от уровня проездов для транспортных средств на месте установки ПАЗС, должна быть не менее 2,5 м;</w:t>
      </w:r>
    </w:p>
    <w:p>
      <w:pPr>
        <w:pStyle w:val="0"/>
        <w:spacing w:before="240" w:lineRule="auto"/>
        <w:ind w:firstLine="540"/>
        <w:jc w:val="both"/>
      </w:pPr>
      <w:r>
        <w:rPr>
          <w:sz w:val="24"/>
        </w:rPr>
        <w:t xml:space="preserve">дыхательный клапан должен быть установлен над резервуаром ПАЗС с обеспечением проветривания окружающего его пространства. Конструкция дыхательного клапана должна обеспечивать предотвращение выхода через него жидкой фазы топлива при опрокидывании ПАЗС.</w:t>
      </w:r>
    </w:p>
    <w:p>
      <w:pPr>
        <w:pStyle w:val="0"/>
        <w:spacing w:before="240" w:lineRule="auto"/>
        <w:ind w:firstLine="540"/>
        <w:jc w:val="both"/>
      </w:pPr>
      <w:r>
        <w:rPr>
          <w:sz w:val="24"/>
        </w:rPr>
        <w:t xml:space="preserve">Г.6. Допускается использование для нескольких ТРК общего трубопровода подачи бензина или дизельного топлива из резервуара ПАЗС при условии наличия запорной арматуры на этом трубопроводе перед каждой ТРК.</w:t>
      </w:r>
    </w:p>
    <w:p>
      <w:pPr>
        <w:pStyle w:val="0"/>
        <w:spacing w:before="240" w:lineRule="auto"/>
        <w:ind w:firstLine="540"/>
        <w:jc w:val="both"/>
      </w:pPr>
      <w:r>
        <w:rPr>
          <w:sz w:val="24"/>
        </w:rPr>
        <w:t xml:space="preserve">Г.7. Внутренний резервуар должен быть оборудован устройствами, предотвращающими образование в нем волны топлива при движении ПАЗС.</w:t>
      </w:r>
    </w:p>
    <w:p>
      <w:pPr>
        <w:pStyle w:val="0"/>
        <w:spacing w:before="240" w:lineRule="auto"/>
        <w:ind w:firstLine="540"/>
        <w:jc w:val="both"/>
      </w:pPr>
      <w:r>
        <w:rPr>
          <w:sz w:val="24"/>
        </w:rPr>
        <w:t xml:space="preserve">Г.8. Все подходящие к резервуару ПАЗС трубопроводы должны быть выполнены только с верхней разводкой. Места врезки (соединения патрубков, смотровых окон, штуцеров) в резервуар должны располагаться выше уровня топлива при номинальном заполнении резервуара.</w:t>
      </w:r>
    </w:p>
    <w:p>
      <w:pPr>
        <w:pStyle w:val="0"/>
        <w:spacing w:before="240" w:lineRule="auto"/>
        <w:ind w:firstLine="540"/>
        <w:jc w:val="both"/>
      </w:pPr>
      <w:r>
        <w:rPr>
          <w:sz w:val="24"/>
        </w:rPr>
        <w:t xml:space="preserve">Г.9. Конструкция ПАЗС должна обеспечивать возможность заполнения резервуара ПАЗС с полным опорожнением трубопровода наполнения от жидкого топлива. На трубопроводе наполнения в месте подсоединения его к резервуару должен быть установлен огнепреградитель. Указанный трубопровод должен быть оснащен запорной арматурой, устанавливаемой у заправочной муфты (если последняя не является самозакрывающейся при расстыковке соединения) и над цистерной.</w:t>
      </w:r>
    </w:p>
    <w:p>
      <w:pPr>
        <w:pStyle w:val="0"/>
        <w:spacing w:before="240" w:lineRule="auto"/>
        <w:ind w:firstLine="540"/>
        <w:jc w:val="both"/>
      </w:pPr>
      <w:r>
        <w:rPr>
          <w:sz w:val="24"/>
        </w:rPr>
        <w:t xml:space="preserve">Г.10. ТРК должны устанавливаться в технологическом отсеке, располагаемом в задней торцевой части (днище) резервуара ПАЗС. Технологический отсек должен быть оборудован поддоном для сбора утечек топлива.</w:t>
      </w:r>
    </w:p>
    <w:p>
      <w:pPr>
        <w:pStyle w:val="0"/>
        <w:spacing w:before="240" w:lineRule="auto"/>
        <w:ind w:firstLine="540"/>
        <w:jc w:val="both"/>
      </w:pPr>
      <w:r>
        <w:rPr>
          <w:sz w:val="24"/>
        </w:rPr>
        <w:t xml:space="preserve">Г.11. Электропитание ТРК должно осуществляться либо от независимого источника (при установке ПАЗС на территории АЗС с подземным расположением резервуаров для хранения топлива), либо от электрогенератора или аккумуляторов ПАЗС. Расстояние от технологического отсека и дыхательного клапана до моторного отсека, выпускной трубы базового автомобиля, электрогенератора и аккумуляторов должно быть не менее 3 м.</w:t>
      </w:r>
    </w:p>
    <w:p>
      <w:pPr>
        <w:pStyle w:val="0"/>
        <w:spacing w:before="240" w:lineRule="auto"/>
        <w:ind w:firstLine="540"/>
        <w:jc w:val="both"/>
      </w:pPr>
      <w:r>
        <w:rPr>
          <w:sz w:val="24"/>
        </w:rPr>
        <w:t xml:space="preserve">Подсоединительные разъемы кабелей электропитания и сигнальных кабелей должны иметь механические крепления, предотвращающие случайное их отсоединение. Отключение электропитания насосов линии выдачи должно обеспечиваться из технологического отсека и кабины водителя ПАЗС.</w:t>
      </w:r>
    </w:p>
    <w:p>
      <w:pPr>
        <w:pStyle w:val="0"/>
        <w:spacing w:before="240" w:lineRule="auto"/>
        <w:ind w:firstLine="540"/>
        <w:jc w:val="both"/>
      </w:pPr>
      <w:r>
        <w:rPr>
          <w:sz w:val="24"/>
        </w:rPr>
        <w:t xml:space="preserve">Г.12. На линиях выдачи рекомендуется предусматривать погружные насосы, жестко устанавливаемые в резервуаре на расстоянии не менее чем 0,05 м выше нижнего среза трубопровода наполнения.</w:t>
      </w:r>
    </w:p>
    <w:p>
      <w:pPr>
        <w:pStyle w:val="0"/>
        <w:spacing w:before="240" w:lineRule="auto"/>
        <w:ind w:firstLine="540"/>
        <w:jc w:val="both"/>
      </w:pPr>
      <w:r>
        <w:rPr>
          <w:sz w:val="24"/>
        </w:rPr>
        <w:t xml:space="preserve">В случае, если установка насосов линий выдачи топлива предусмотрена в технологическом отсеке ПАЗС или конструкция погружных насосов не обеспечивает прекращение поступления топлива по трубопроводу этой линии по принципу сифона, указанный трубопровод следует оснащать обратным клапаном, который должен препятствовать обратному току топлива при обесточивании насосов и открываться только при достижении разрежения или давления в этом трубопроводе, соответствующих разрежению или давлению, создаваемым насосом линии выдачи. Обратный клапан должен быть установлен либо внутри резервуара, либо в верхней точке трубопровода выдачи топлива. Над резервуаром (у места подсоединения трубопровода линии выдачи к резервуару) должна быть установлена запорная арматура.</w:t>
      </w:r>
    </w:p>
    <w:p>
      <w:pPr>
        <w:pStyle w:val="0"/>
        <w:spacing w:before="240" w:lineRule="auto"/>
        <w:ind w:firstLine="540"/>
        <w:jc w:val="both"/>
      </w:pPr>
      <w:r>
        <w:rPr>
          <w:sz w:val="24"/>
        </w:rPr>
        <w:t xml:space="preserve">Выдача топлива потребителям самотеком запрещается.</w:t>
      </w:r>
    </w:p>
    <w:p>
      <w:pPr>
        <w:pStyle w:val="0"/>
        <w:spacing w:before="240" w:lineRule="auto"/>
        <w:ind w:firstLine="540"/>
        <w:jc w:val="both"/>
      </w:pPr>
      <w:r>
        <w:rPr>
          <w:sz w:val="24"/>
        </w:rPr>
        <w:t xml:space="preserve">Г.13. Исполнение оборудования ПАЗС должно предусматривать возможность проведения периодических гидравлических или пневматических (инертным газом) испытаний резервуара и трубопроводов на герметичность в соответствии с требованиями документации на технологическую систему ПАЗС, а также возможность пожаровзрывобезопасной очистки резервуаров от остатков хранимого топлива закрытым способом, дегазации и проветривания при подготовке их к ремонту.</w:t>
      </w:r>
    </w:p>
    <w:p>
      <w:pPr>
        <w:pStyle w:val="0"/>
        <w:spacing w:before="240" w:lineRule="auto"/>
        <w:ind w:firstLine="540"/>
        <w:jc w:val="both"/>
      </w:pPr>
      <w:r>
        <w:rPr>
          <w:sz w:val="24"/>
        </w:rPr>
        <w:t xml:space="preserve">Г.14. Конструктивное исполнение ПАЗС или способ ее установки должны предотвращать возможность ее повреждения вследствие наезда на нее транспортных средств на территории площадки ПАЗС.</w:t>
      </w:r>
    </w:p>
    <w:p>
      <w:pPr>
        <w:pStyle w:val="0"/>
        <w:spacing w:before="240" w:lineRule="auto"/>
        <w:ind w:firstLine="540"/>
        <w:jc w:val="both"/>
      </w:pPr>
      <w:r>
        <w:rPr>
          <w:sz w:val="24"/>
        </w:rPr>
        <w:t xml:space="preserve">Г.15. Шасси базового автомобиля ПАЗС должно отвечать требованиям </w:t>
      </w:r>
      <w:hyperlink w:history="0" r:id="rId133" w:tooltip="&quot;ГОСТ 33666-2015. Межгосударственный стандарт. Автомобильные транспортные средства для транспортирования и заправки нефтепродуктов. Технические требования&quot; (введен в действие Приказом Росстандарта от 22.06.2016 N 657-ст) (ред. от 01.10.2024) {КонсультантПлюс}">
        <w:r>
          <w:rPr>
            <w:sz w:val="24"/>
            <w:color w:val="0000ff"/>
          </w:rPr>
          <w:t xml:space="preserve">ГОСТ 33666</w:t>
        </w:r>
      </w:hyperlink>
      <w:r>
        <w:rPr>
          <w:sz w:val="24"/>
        </w:rPr>
        <w:t xml:space="preserve">.</w:t>
      </w:r>
    </w:p>
    <w:p>
      <w:pPr>
        <w:pStyle w:val="0"/>
        <w:jc w:val="both"/>
      </w:pPr>
      <w:r>
        <w:rPr>
          <w:sz w:val="24"/>
        </w:rPr>
        <w:t xml:space="preserve">(в ред. </w:t>
      </w:r>
      <w:hyperlink w:history="0" r:id="rId13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Д</w:t>
      </w:r>
    </w:p>
    <w:p>
      <w:pPr>
        <w:pStyle w:val="0"/>
        <w:jc w:val="both"/>
      </w:pPr>
      <w:r>
        <w:rPr>
          <w:sz w:val="24"/>
        </w:rPr>
      </w:r>
    </w:p>
    <w:bookmarkStart w:id="1588" w:name="P1588"/>
    <w:bookmarkEnd w:id="1588"/>
    <w:p>
      <w:pPr>
        <w:pStyle w:val="2"/>
        <w:jc w:val="center"/>
      </w:pPr>
      <w:r>
        <w:rPr>
          <w:sz w:val="24"/>
        </w:rPr>
        <w:t xml:space="preserve">СПЕЦИФИЧЕСКИЕ ТРЕБОВАНИЯ</w:t>
      </w:r>
    </w:p>
    <w:p>
      <w:pPr>
        <w:pStyle w:val="2"/>
        <w:jc w:val="center"/>
      </w:pPr>
      <w:r>
        <w:rPr>
          <w:sz w:val="24"/>
        </w:rPr>
        <w:t xml:space="preserve">К ТОПЛИВОЗАПРАВОЧНОМУ ПУНКТУ С НАЛИЧИЕМ ГАЗОВОГО</w:t>
      </w:r>
    </w:p>
    <w:p>
      <w:pPr>
        <w:pStyle w:val="2"/>
        <w:jc w:val="center"/>
      </w:pPr>
      <w:r>
        <w:rPr>
          <w:sz w:val="24"/>
        </w:rPr>
        <w:t xml:space="preserve">МОТОРНОГО ТОПЛИВА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3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Д.1. Минимальные расстояния от сооружений многотопливной АЗС, АГНКС, а также КриоАЗС и АГЗС, отвечающих требованиям к самостоятельному участку многотопливной АЗС, до зданий, сооружений и наружных установок автотранспортного предприятия (автотранспортного участка производственного предприятия), на котором она размещается, следует принимать в соответствии с таблицей Д.1.</w:t>
      </w:r>
    </w:p>
    <w:p>
      <w:pPr>
        <w:pStyle w:val="0"/>
        <w:jc w:val="both"/>
      </w:pPr>
      <w:r>
        <w:rPr>
          <w:sz w:val="24"/>
        </w:rPr>
      </w:r>
    </w:p>
    <w:bookmarkStart w:id="1596" w:name="P1596"/>
    <w:bookmarkEnd w:id="1596"/>
    <w:p>
      <w:pPr>
        <w:pStyle w:val="2"/>
        <w:outlineLvl w:val="2"/>
        <w:jc w:val="both"/>
      </w:pPr>
      <w:r>
        <w:rPr>
          <w:sz w:val="24"/>
        </w:rPr>
        <w:t xml:space="preserve">Таблица Д.1.</w:t>
      </w:r>
    </w:p>
    <w:p>
      <w:pPr>
        <w:pStyle w:val="0"/>
        <w:jc w:val="both"/>
      </w:pPr>
      <w:r>
        <w:rPr>
          <w:sz w:val="24"/>
        </w:rPr>
      </w:r>
    </w:p>
    <w:p>
      <w:pPr>
        <w:pStyle w:val="0"/>
        <w:jc w:val="both"/>
      </w:pPr>
      <w:r>
        <w:rPr>
          <w:sz w:val="24"/>
        </w:rPr>
        <w:t xml:space="preserve">(в ред. </w:t>
      </w:r>
      <w:hyperlink w:history="0" r:id="rId13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82"/>
        <w:gridCol w:w="627"/>
        <w:gridCol w:w="627"/>
        <w:gridCol w:w="627"/>
        <w:gridCol w:w="627"/>
        <w:gridCol w:w="627"/>
        <w:gridCol w:w="627"/>
        <w:gridCol w:w="627"/>
        <w:gridCol w:w="627"/>
        <w:gridCol w:w="630"/>
        <w:gridCol w:w="1067"/>
      </w:tblGrid>
      <w:tr>
        <w:tc>
          <w:tcPr>
            <w:tcW w:w="3682" w:type="dxa"/>
            <w:vMerge w:val="restart"/>
          </w:tcPr>
          <w:p>
            <w:pPr>
              <w:pStyle w:val="0"/>
              <w:jc w:val="center"/>
            </w:pPr>
            <w:r>
              <w:rPr>
                <w:sz w:val="24"/>
              </w:rPr>
              <w:t xml:space="preserve">Наименование зданий, сооружений и наружных установок автотранспортного предприятия или автотранспортного участка производственного предприятия</w:t>
            </w:r>
          </w:p>
        </w:tc>
        <w:tc>
          <w:tcPr>
            <w:gridSpan w:val="3"/>
            <w:tcW w:w="1881" w:type="dxa"/>
          </w:tcPr>
          <w:p>
            <w:pPr>
              <w:pStyle w:val="0"/>
              <w:jc w:val="center"/>
            </w:pPr>
            <w:r>
              <w:rPr>
                <w:sz w:val="24"/>
              </w:rPr>
              <w:t xml:space="preserve">Расстояние, м, до зданий с оборудованием технологической системы АЗС с наличием</w:t>
            </w:r>
          </w:p>
        </w:tc>
        <w:tc>
          <w:tcPr>
            <w:gridSpan w:val="3"/>
            <w:tcW w:w="1881" w:type="dxa"/>
          </w:tcPr>
          <w:p>
            <w:pPr>
              <w:pStyle w:val="0"/>
              <w:jc w:val="center"/>
            </w:pPr>
            <w:r>
              <w:rPr>
                <w:sz w:val="24"/>
              </w:rPr>
              <w:t xml:space="preserve">Расстояние, м, до наружных установок технологической системы АЗС с наличием</w:t>
            </w:r>
          </w:p>
        </w:tc>
        <w:tc>
          <w:tcPr>
            <w:gridSpan w:val="3"/>
            <w:tcW w:w="1884" w:type="dxa"/>
          </w:tcPr>
          <w:p>
            <w:pPr>
              <w:pStyle w:val="0"/>
              <w:jc w:val="center"/>
            </w:pPr>
            <w:r>
              <w:rPr>
                <w:sz w:val="24"/>
              </w:rPr>
              <w:t xml:space="preserve">Расстояние м, до заправочной колонки с наличием</w:t>
            </w:r>
          </w:p>
        </w:tc>
        <w:tc>
          <w:tcPr>
            <w:tcW w:w="1067" w:type="dxa"/>
            <w:vMerge w:val="restart"/>
          </w:tcPr>
          <w:p>
            <w:pPr>
              <w:pStyle w:val="0"/>
              <w:jc w:val="center"/>
            </w:pPr>
            <w:r>
              <w:rPr>
                <w:sz w:val="24"/>
              </w:rPr>
              <w:t xml:space="preserve">Расстояние, м, до площадки для АЦ СУГ и для АЦ СПГ</w:t>
            </w:r>
          </w:p>
        </w:tc>
      </w:tr>
      <w:tr>
        <w:tc>
          <w:tcPr>
            <w:vMerge w:val="continue"/>
          </w:tcPr>
          <w:p/>
        </w:tc>
        <w:tc>
          <w:tcPr>
            <w:tcW w:w="627" w:type="dxa"/>
          </w:tcPr>
          <w:p>
            <w:pPr>
              <w:pStyle w:val="0"/>
              <w:jc w:val="center"/>
            </w:pPr>
            <w:r>
              <w:rPr>
                <w:sz w:val="24"/>
              </w:rPr>
              <w:t xml:space="preserve">СУГ</w:t>
            </w:r>
          </w:p>
        </w:tc>
        <w:tc>
          <w:tcPr>
            <w:tcW w:w="627" w:type="dxa"/>
          </w:tcPr>
          <w:p>
            <w:pPr>
              <w:pStyle w:val="0"/>
              <w:jc w:val="center"/>
            </w:pPr>
            <w:r>
              <w:rPr>
                <w:sz w:val="24"/>
              </w:rPr>
              <w:t xml:space="preserve">КПГ</w:t>
            </w:r>
          </w:p>
        </w:tc>
        <w:tc>
          <w:tcPr>
            <w:tcW w:w="627" w:type="dxa"/>
          </w:tcPr>
          <w:p>
            <w:pPr>
              <w:pStyle w:val="0"/>
              <w:jc w:val="center"/>
            </w:pPr>
            <w:r>
              <w:rPr>
                <w:sz w:val="24"/>
              </w:rPr>
              <w:t xml:space="preserve">СПГ</w:t>
            </w:r>
          </w:p>
        </w:tc>
        <w:tc>
          <w:tcPr>
            <w:tcW w:w="627" w:type="dxa"/>
          </w:tcPr>
          <w:p>
            <w:pPr>
              <w:pStyle w:val="0"/>
              <w:jc w:val="center"/>
            </w:pPr>
            <w:r>
              <w:rPr>
                <w:sz w:val="24"/>
              </w:rPr>
              <w:t xml:space="preserve">СУГ</w:t>
            </w:r>
          </w:p>
        </w:tc>
        <w:tc>
          <w:tcPr>
            <w:tcW w:w="627" w:type="dxa"/>
          </w:tcPr>
          <w:p>
            <w:pPr>
              <w:pStyle w:val="0"/>
              <w:jc w:val="center"/>
            </w:pPr>
            <w:r>
              <w:rPr>
                <w:sz w:val="24"/>
              </w:rPr>
              <w:t xml:space="preserve">КПГ</w:t>
            </w:r>
          </w:p>
        </w:tc>
        <w:tc>
          <w:tcPr>
            <w:tcW w:w="627" w:type="dxa"/>
          </w:tcPr>
          <w:p>
            <w:pPr>
              <w:pStyle w:val="0"/>
              <w:jc w:val="center"/>
            </w:pPr>
            <w:r>
              <w:rPr>
                <w:sz w:val="24"/>
              </w:rPr>
              <w:t xml:space="preserve">СПГ</w:t>
            </w:r>
          </w:p>
        </w:tc>
        <w:tc>
          <w:tcPr>
            <w:tcW w:w="627" w:type="dxa"/>
          </w:tcPr>
          <w:p>
            <w:pPr>
              <w:pStyle w:val="0"/>
              <w:jc w:val="center"/>
            </w:pPr>
            <w:r>
              <w:rPr>
                <w:sz w:val="24"/>
              </w:rPr>
              <w:t xml:space="preserve">СУГ</w:t>
            </w:r>
          </w:p>
        </w:tc>
        <w:tc>
          <w:tcPr>
            <w:tcW w:w="627" w:type="dxa"/>
          </w:tcPr>
          <w:p>
            <w:pPr>
              <w:pStyle w:val="0"/>
              <w:jc w:val="center"/>
            </w:pPr>
            <w:r>
              <w:rPr>
                <w:sz w:val="24"/>
              </w:rPr>
              <w:t xml:space="preserve">КПГ</w:t>
            </w:r>
          </w:p>
        </w:tc>
        <w:tc>
          <w:tcPr>
            <w:tcW w:w="630" w:type="dxa"/>
          </w:tcPr>
          <w:p>
            <w:pPr>
              <w:pStyle w:val="0"/>
              <w:jc w:val="center"/>
            </w:pPr>
            <w:r>
              <w:rPr>
                <w:sz w:val="24"/>
              </w:rPr>
              <w:t xml:space="preserve">СПГ</w:t>
            </w:r>
          </w:p>
        </w:tc>
        <w:tc>
          <w:tcPr>
            <w:vMerge w:val="continue"/>
          </w:tcPr>
          <w:p/>
        </w:tc>
      </w:tr>
      <w:tr>
        <w:tc>
          <w:tcPr>
            <w:tcW w:w="3682" w:type="dxa"/>
            <w:vAlign w:val="center"/>
          </w:tcPr>
          <w:p>
            <w:pPr>
              <w:pStyle w:val="0"/>
            </w:pPr>
            <w:r>
              <w:rPr>
                <w:sz w:val="24"/>
              </w:rPr>
              <w:t xml:space="preserve">1. Производственные здания и помещения категорий А, Б и Г. Наружные установки категорий АН, БН, ВН, ГН; площадки для хранения транспортных средств, предназначенных для перевозки опасных грузов классов 2 - 4, 8 и подкласса 9.1 по </w:t>
            </w:r>
            <w:hyperlink w:history="0" r:id="rId137"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627" w:type="dxa"/>
            <w:vAlign w:val="center"/>
          </w:tcPr>
          <w:p>
            <w:pPr>
              <w:pStyle w:val="0"/>
              <w:jc w:val="center"/>
            </w:pPr>
            <w:r>
              <w:rPr>
                <w:sz w:val="24"/>
              </w:rPr>
              <w:t xml:space="preserve">40</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40</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40</w:t>
            </w:r>
          </w:p>
        </w:tc>
        <w:tc>
          <w:tcPr>
            <w:tcW w:w="627" w:type="dxa"/>
            <w:vAlign w:val="center"/>
          </w:tcPr>
          <w:p>
            <w:pPr>
              <w:pStyle w:val="0"/>
              <w:jc w:val="center"/>
            </w:pPr>
            <w:r>
              <w:rPr>
                <w:sz w:val="24"/>
              </w:rPr>
              <w:t xml:space="preserve">30</w:t>
            </w:r>
          </w:p>
        </w:tc>
        <w:tc>
          <w:tcPr>
            <w:tcW w:w="630" w:type="dxa"/>
            <w:vAlign w:val="center"/>
          </w:tcPr>
          <w:p>
            <w:pPr>
              <w:pStyle w:val="0"/>
              <w:jc w:val="center"/>
            </w:pPr>
            <w:r>
              <w:rPr>
                <w:sz w:val="24"/>
              </w:rPr>
              <w:t xml:space="preserve">25</w:t>
            </w:r>
          </w:p>
        </w:tc>
        <w:tc>
          <w:tcPr>
            <w:tcW w:w="1067" w:type="dxa"/>
            <w:vAlign w:val="center"/>
          </w:tcPr>
          <w:p>
            <w:pPr>
              <w:pStyle w:val="0"/>
              <w:jc w:val="center"/>
            </w:pPr>
            <w:r>
              <w:rPr>
                <w:sz w:val="24"/>
              </w:rPr>
              <w:t xml:space="preserve">40</w:t>
            </w:r>
          </w:p>
        </w:tc>
      </w:tr>
      <w:tr>
        <w:tc>
          <w:tcPr>
            <w:tcW w:w="3682" w:type="dxa"/>
            <w:vAlign w:val="bottom"/>
          </w:tcPr>
          <w:bookmarkStart w:id="1625" w:name="P1625"/>
          <w:bookmarkEnd w:id="1625"/>
          <w:p>
            <w:pPr>
              <w:pStyle w:val="0"/>
            </w:pPr>
            <w:r>
              <w:rPr>
                <w:sz w:val="24"/>
              </w:rPr>
              <w:t xml:space="preserve">2. Производственные здания категорий В и Д, помещения категорий В1 - В4 и Д, наружные установки категории ДН:</w:t>
            </w:r>
          </w:p>
        </w:tc>
        <w:tc>
          <w:tcPr>
            <w:tcW w:w="627" w:type="dxa"/>
            <w:vAlign w:val="center"/>
            <w:vMerge w:val="restart"/>
          </w:tcPr>
          <w:p>
            <w:pPr>
              <w:pStyle w:val="0"/>
              <w:jc w:val="center"/>
            </w:pPr>
            <w:r>
              <w:rPr>
                <w:sz w:val="24"/>
              </w:rPr>
              <w:t xml:space="preserve">25</w:t>
            </w:r>
          </w:p>
        </w:tc>
        <w:tc>
          <w:tcPr>
            <w:tcW w:w="627" w:type="dxa"/>
            <w:vAlign w:val="center"/>
            <w:vMerge w:val="restart"/>
          </w:tcPr>
          <w:p>
            <w:pPr>
              <w:pStyle w:val="0"/>
              <w:jc w:val="center"/>
            </w:pPr>
            <w:r>
              <w:rPr>
                <w:sz w:val="24"/>
              </w:rPr>
              <w:t xml:space="preserve">10</w:t>
            </w:r>
          </w:p>
        </w:tc>
        <w:tc>
          <w:tcPr>
            <w:tcW w:w="627" w:type="dxa"/>
            <w:vAlign w:val="center"/>
            <w:vMerge w:val="restart"/>
          </w:tcPr>
          <w:p>
            <w:pPr>
              <w:pStyle w:val="0"/>
              <w:jc w:val="center"/>
            </w:pPr>
            <w:r>
              <w:rPr>
                <w:sz w:val="24"/>
              </w:rPr>
              <w:t xml:space="preserve">10</w:t>
            </w:r>
          </w:p>
        </w:tc>
        <w:tc>
          <w:tcPr>
            <w:tcW w:w="627" w:type="dxa"/>
            <w:vAlign w:val="center"/>
            <w:vMerge w:val="restart"/>
          </w:tcPr>
          <w:p>
            <w:pPr>
              <w:pStyle w:val="0"/>
              <w:jc w:val="center"/>
            </w:pPr>
            <w:r>
              <w:rPr>
                <w:sz w:val="24"/>
              </w:rPr>
              <w:t xml:space="preserve">25</w:t>
            </w:r>
          </w:p>
        </w:tc>
        <w:tc>
          <w:tcPr>
            <w:tcW w:w="627" w:type="dxa"/>
            <w:vAlign w:val="center"/>
            <w:vMerge w:val="restart"/>
          </w:tcPr>
          <w:p>
            <w:pPr>
              <w:pStyle w:val="0"/>
              <w:jc w:val="center"/>
            </w:pPr>
            <w:r>
              <w:rPr>
                <w:sz w:val="24"/>
              </w:rPr>
              <w:t xml:space="preserve">15</w:t>
            </w:r>
          </w:p>
        </w:tc>
        <w:tc>
          <w:tcPr>
            <w:tcW w:w="627" w:type="dxa"/>
            <w:vAlign w:val="center"/>
            <w:vMerge w:val="restart"/>
          </w:tcPr>
          <w:p>
            <w:pPr>
              <w:pStyle w:val="0"/>
              <w:jc w:val="center"/>
            </w:pPr>
            <w:r>
              <w:rPr>
                <w:sz w:val="24"/>
              </w:rPr>
              <w:t xml:space="preserve">20</w:t>
            </w:r>
          </w:p>
        </w:tc>
        <w:tc>
          <w:tcPr>
            <w:tcW w:w="627" w:type="dxa"/>
            <w:vAlign w:val="center"/>
            <w:vMerge w:val="restart"/>
          </w:tcPr>
          <w:p>
            <w:pPr>
              <w:pStyle w:val="0"/>
              <w:jc w:val="center"/>
            </w:pPr>
            <w:r>
              <w:rPr>
                <w:sz w:val="24"/>
              </w:rPr>
              <w:t xml:space="preserve">25</w:t>
            </w:r>
          </w:p>
        </w:tc>
        <w:tc>
          <w:tcPr>
            <w:tcW w:w="627" w:type="dxa"/>
            <w:vAlign w:val="center"/>
            <w:vMerge w:val="restart"/>
          </w:tcPr>
          <w:p>
            <w:pPr>
              <w:pStyle w:val="0"/>
              <w:jc w:val="center"/>
            </w:pPr>
            <w:r>
              <w:rPr>
                <w:sz w:val="24"/>
              </w:rPr>
              <w:t xml:space="preserve">15</w:t>
            </w:r>
          </w:p>
        </w:tc>
        <w:tc>
          <w:tcPr>
            <w:tcW w:w="630" w:type="dxa"/>
            <w:vAlign w:val="center"/>
            <w:vMerge w:val="restart"/>
          </w:tcPr>
          <w:p>
            <w:pPr>
              <w:pStyle w:val="0"/>
              <w:jc w:val="center"/>
            </w:pPr>
            <w:r>
              <w:rPr>
                <w:sz w:val="24"/>
              </w:rPr>
              <w:t xml:space="preserve">10</w:t>
            </w:r>
          </w:p>
        </w:tc>
        <w:tc>
          <w:tcPr>
            <w:tcW w:w="1067" w:type="dxa"/>
            <w:vAlign w:val="center"/>
            <w:vMerge w:val="restart"/>
          </w:tcPr>
          <w:p>
            <w:pPr>
              <w:pStyle w:val="0"/>
              <w:jc w:val="center"/>
            </w:pPr>
            <w:r>
              <w:rPr>
                <w:sz w:val="24"/>
              </w:rPr>
              <w:t xml:space="preserve">25</w:t>
            </w:r>
          </w:p>
        </w:tc>
      </w:tr>
      <w:tr>
        <w:tc>
          <w:tcPr>
            <w:tcW w:w="3682" w:type="dxa"/>
            <w:vAlign w:val="bottom"/>
          </w:tcPr>
          <w:p>
            <w:pPr>
              <w:pStyle w:val="0"/>
            </w:pPr>
            <w:r>
              <w:rPr>
                <w:sz w:val="24"/>
              </w:rPr>
              <w:t xml:space="preserve">здания I, II степени огнестойкости классов С0 и С1 и III степени огнестойкости класса С0;</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w="3682" w:type="dxa"/>
            <w:vAlign w:val="center"/>
          </w:tcPr>
          <w:p>
            <w:pPr>
              <w:pStyle w:val="0"/>
            </w:pPr>
            <w:r>
              <w:rPr>
                <w:sz w:val="24"/>
              </w:rPr>
              <w:t xml:space="preserve">здания III степени огнестойкости класса С1 и IV степени огнестойкости класса С0;</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25</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20</w:t>
            </w:r>
          </w:p>
        </w:tc>
        <w:tc>
          <w:tcPr>
            <w:tcW w:w="630" w:type="dxa"/>
            <w:vAlign w:val="center"/>
          </w:tcPr>
          <w:p>
            <w:pPr>
              <w:pStyle w:val="0"/>
              <w:jc w:val="center"/>
            </w:pPr>
            <w:r>
              <w:rPr>
                <w:sz w:val="24"/>
              </w:rPr>
              <w:t xml:space="preserve">15</w:t>
            </w:r>
          </w:p>
        </w:tc>
        <w:tc>
          <w:tcPr>
            <w:tcW w:w="1067" w:type="dxa"/>
            <w:vAlign w:val="center"/>
          </w:tcPr>
          <w:p>
            <w:pPr>
              <w:pStyle w:val="0"/>
              <w:jc w:val="center"/>
            </w:pPr>
            <w:r>
              <w:rPr>
                <w:sz w:val="24"/>
              </w:rPr>
              <w:t xml:space="preserve">30</w:t>
            </w:r>
          </w:p>
        </w:tc>
      </w:tr>
      <w:tr>
        <w:tc>
          <w:tcPr>
            <w:tcW w:w="3682" w:type="dxa"/>
            <w:vAlign w:val="center"/>
          </w:tcPr>
          <w:p>
            <w:pPr>
              <w:pStyle w:val="0"/>
            </w:pPr>
            <w:r>
              <w:rPr>
                <w:sz w:val="24"/>
              </w:rPr>
              <w:t xml:space="preserve">здания IV, V степени огнестойкости и наружные установки категории ДН</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25</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25</w:t>
            </w:r>
          </w:p>
        </w:tc>
        <w:tc>
          <w:tcPr>
            <w:tcW w:w="630" w:type="dxa"/>
            <w:vAlign w:val="center"/>
          </w:tcPr>
          <w:p>
            <w:pPr>
              <w:pStyle w:val="0"/>
              <w:jc w:val="center"/>
            </w:pPr>
            <w:r>
              <w:rPr>
                <w:sz w:val="24"/>
              </w:rPr>
              <w:t xml:space="preserve">20</w:t>
            </w:r>
          </w:p>
        </w:tc>
        <w:tc>
          <w:tcPr>
            <w:tcW w:w="1067" w:type="dxa"/>
            <w:vAlign w:val="center"/>
          </w:tcPr>
          <w:p>
            <w:pPr>
              <w:pStyle w:val="0"/>
              <w:jc w:val="center"/>
            </w:pPr>
            <w:r>
              <w:rPr>
                <w:sz w:val="24"/>
              </w:rPr>
              <w:t xml:space="preserve">35</w:t>
            </w:r>
          </w:p>
        </w:tc>
      </w:tr>
      <w:tr>
        <w:tc>
          <w:tcPr>
            <w:tcW w:w="3682" w:type="dxa"/>
            <w:vAlign w:val="center"/>
          </w:tcPr>
          <w:bookmarkStart w:id="1659" w:name="P1659"/>
          <w:bookmarkEnd w:id="1659"/>
          <w:p>
            <w:pPr>
              <w:pStyle w:val="0"/>
            </w:pPr>
            <w:r>
              <w:rPr>
                <w:sz w:val="24"/>
              </w:rPr>
              <w:t xml:space="preserve">3. Административные и бытовые здания</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25</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25</w:t>
            </w:r>
          </w:p>
        </w:tc>
        <w:tc>
          <w:tcPr>
            <w:tcW w:w="630" w:type="dxa"/>
            <w:vAlign w:val="center"/>
          </w:tcPr>
          <w:p>
            <w:pPr>
              <w:pStyle w:val="0"/>
              <w:jc w:val="center"/>
            </w:pPr>
            <w:r>
              <w:rPr>
                <w:sz w:val="24"/>
              </w:rPr>
              <w:t xml:space="preserve">20</w:t>
            </w:r>
          </w:p>
        </w:tc>
        <w:tc>
          <w:tcPr>
            <w:tcW w:w="1067" w:type="dxa"/>
            <w:vAlign w:val="center"/>
          </w:tcPr>
          <w:p>
            <w:pPr>
              <w:pStyle w:val="0"/>
              <w:jc w:val="center"/>
            </w:pPr>
            <w:r>
              <w:rPr>
                <w:sz w:val="24"/>
              </w:rPr>
              <w:t xml:space="preserve">35</w:t>
            </w:r>
          </w:p>
        </w:tc>
      </w:tr>
      <w:tr>
        <w:tc>
          <w:tcPr>
            <w:tcW w:w="3682" w:type="dxa"/>
            <w:vAlign w:val="center"/>
          </w:tcPr>
          <w:p>
            <w:pPr>
              <w:pStyle w:val="0"/>
            </w:pPr>
            <w:r>
              <w:rPr>
                <w:sz w:val="24"/>
              </w:rPr>
              <w:t xml:space="preserve">4. Открытые площадки и навесы для хранения транспортных средств</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10</w:t>
            </w:r>
          </w:p>
        </w:tc>
        <w:tc>
          <w:tcPr>
            <w:tcW w:w="627" w:type="dxa"/>
            <w:vAlign w:val="center"/>
          </w:tcPr>
          <w:p>
            <w:pPr>
              <w:pStyle w:val="0"/>
              <w:jc w:val="center"/>
            </w:pPr>
            <w:r>
              <w:rPr>
                <w:sz w:val="24"/>
              </w:rPr>
              <w:t xml:space="preserve">10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15</w:t>
            </w:r>
          </w:p>
        </w:tc>
        <w:tc>
          <w:tcPr>
            <w:tcW w:w="630" w:type="dxa"/>
            <w:vAlign w:val="center"/>
          </w:tcPr>
          <w:p>
            <w:pPr>
              <w:pStyle w:val="0"/>
              <w:jc w:val="center"/>
            </w:pPr>
            <w:r>
              <w:rPr>
                <w:sz w:val="24"/>
              </w:rPr>
              <w:t xml:space="preserve">10</w:t>
            </w:r>
          </w:p>
        </w:tc>
        <w:tc>
          <w:tcPr>
            <w:tcW w:w="1067" w:type="dxa"/>
            <w:vAlign w:val="center"/>
          </w:tcPr>
          <w:p>
            <w:pPr>
              <w:pStyle w:val="0"/>
              <w:jc w:val="center"/>
            </w:pPr>
            <w:r>
              <w:rPr>
                <w:sz w:val="24"/>
              </w:rPr>
              <w:t xml:space="preserve">20</w:t>
            </w:r>
          </w:p>
        </w:tc>
      </w:tr>
      <w:tr>
        <w:tc>
          <w:tcPr>
            <w:tcW w:w="3682" w:type="dxa"/>
            <w:vAlign w:val="center"/>
          </w:tcPr>
          <w:bookmarkStart w:id="1681" w:name="P1681"/>
          <w:bookmarkEnd w:id="1681"/>
          <w:p>
            <w:pPr>
              <w:pStyle w:val="0"/>
            </w:pPr>
            <w:r>
              <w:rPr>
                <w:sz w:val="24"/>
              </w:rPr>
              <w:t xml:space="preserve">5. До края проезжей части автомобильных дорог предприятия</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10</w:t>
            </w:r>
          </w:p>
        </w:tc>
        <w:tc>
          <w:tcPr>
            <w:tcW w:w="627" w:type="dxa"/>
            <w:vAlign w:val="center"/>
          </w:tcPr>
          <w:p>
            <w:pPr>
              <w:pStyle w:val="0"/>
              <w:jc w:val="center"/>
            </w:pPr>
            <w:r>
              <w:rPr>
                <w:sz w:val="24"/>
              </w:rPr>
              <w:t xml:space="preserve">10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10</w:t>
            </w:r>
          </w:p>
        </w:tc>
        <w:tc>
          <w:tcPr>
            <w:tcW w:w="630" w:type="dxa"/>
            <w:vAlign w:val="center"/>
          </w:tcPr>
          <w:p>
            <w:pPr>
              <w:pStyle w:val="0"/>
              <w:jc w:val="center"/>
            </w:pPr>
            <w:r>
              <w:rPr>
                <w:sz w:val="24"/>
              </w:rPr>
              <w:t xml:space="preserve">10</w:t>
            </w:r>
          </w:p>
        </w:tc>
        <w:tc>
          <w:tcPr>
            <w:tcW w:w="1067" w:type="dxa"/>
            <w:vAlign w:val="center"/>
          </w:tcPr>
          <w:p>
            <w:pPr>
              <w:pStyle w:val="0"/>
              <w:jc w:val="center"/>
            </w:pPr>
            <w:r>
              <w:rPr>
                <w:sz w:val="24"/>
              </w:rPr>
              <w:t xml:space="preserve">20</w:t>
            </w:r>
          </w:p>
        </w:tc>
      </w:tr>
      <w:tr>
        <w:tc>
          <w:tcPr>
            <w:tcW w:w="3682" w:type="dxa"/>
            <w:vAlign w:val="center"/>
          </w:tcPr>
          <w:p>
            <w:pPr>
              <w:pStyle w:val="0"/>
            </w:pPr>
            <w:r>
              <w:rPr>
                <w:sz w:val="24"/>
              </w:rPr>
              <w:t xml:space="preserve">6. Площадки для хранения транспортных средств, предназначенных для перевозки опасных грузов классов 1, 5 - 7 и подкласса 9.2 по </w:t>
            </w:r>
            <w:hyperlink w:history="0" r:id="rId138"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30" w:type="dxa"/>
            <w:vAlign w:val="center"/>
          </w:tcPr>
          <w:p>
            <w:pPr>
              <w:pStyle w:val="0"/>
              <w:jc w:val="center"/>
            </w:pPr>
            <w:r>
              <w:rPr>
                <w:sz w:val="24"/>
              </w:rPr>
              <w:t xml:space="preserve">100</w:t>
            </w:r>
          </w:p>
        </w:tc>
        <w:tc>
          <w:tcPr>
            <w:tcW w:w="1067" w:type="dxa"/>
            <w:vAlign w:val="center"/>
          </w:tcPr>
          <w:p>
            <w:pPr>
              <w:pStyle w:val="0"/>
              <w:jc w:val="center"/>
            </w:pPr>
            <w:r>
              <w:rPr>
                <w:sz w:val="24"/>
              </w:rPr>
              <w:t xml:space="preserve">100</w:t>
            </w:r>
          </w:p>
        </w:tc>
      </w:tr>
      <w:tr>
        <w:tc>
          <w:tcPr>
            <w:gridSpan w:val="11"/>
            <w:tcW w:w="10395" w:type="dxa"/>
          </w:tcPr>
          <w:p>
            <w:pPr>
              <w:pStyle w:val="0"/>
              <w:ind w:firstLine="283"/>
              <w:jc w:val="both"/>
            </w:pPr>
            <w:r>
              <w:rPr>
                <w:sz w:val="24"/>
              </w:rPr>
              <w:t xml:space="preserve">Примечания</w:t>
            </w:r>
          </w:p>
          <w:p>
            <w:pPr>
              <w:pStyle w:val="0"/>
              <w:ind w:firstLine="283"/>
              <w:jc w:val="both"/>
            </w:pPr>
            <w:r>
              <w:rPr>
                <w:sz w:val="24"/>
              </w:rPr>
              <w:t xml:space="preserve">1 Расстояния от оборудования для жидкого моторного топлива, входящего в технологическую систему многотопливной АЗС, до зданий, сооружений и наружных установок автотранспортного предприятия (автотранспортного участка производственного предприятия), на котором оно размещается, следует принимать в соответствии с таблицей В.1 настоящего свода правил.</w:t>
            </w:r>
          </w:p>
          <w:p>
            <w:pPr>
              <w:pStyle w:val="0"/>
              <w:ind w:firstLine="283"/>
              <w:jc w:val="both"/>
            </w:pPr>
            <w:r>
              <w:rPr>
                <w:sz w:val="24"/>
              </w:rPr>
              <w:t xml:space="preserve">2 Расстояния от технологического оборудования с наличием КПГ, указанные в </w:t>
            </w:r>
            <w:hyperlink w:history="0" w:anchor="P1625" w:tooltip="2. Производственные здания категорий В и Д, помещения категорий В1 - В4 и Д, наружные установки категории ДН:">
              <w:r>
                <w:rPr>
                  <w:sz w:val="24"/>
                  <w:color w:val="0000ff"/>
                </w:rPr>
                <w:t xml:space="preserve">строках 2</w:t>
              </w:r>
            </w:hyperlink>
            <w:r>
              <w:rPr>
                <w:sz w:val="24"/>
              </w:rPr>
              <w:t xml:space="preserve">, </w:t>
            </w:r>
            <w:hyperlink w:history="0" w:anchor="P1659" w:tooltip="3. Административные и бытовые здания">
              <w:r>
                <w:rPr>
                  <w:sz w:val="24"/>
                  <w:color w:val="0000ff"/>
                </w:rPr>
                <w:t xml:space="preserve">3</w:t>
              </w:r>
            </w:hyperlink>
            <w:r>
              <w:rPr>
                <w:sz w:val="24"/>
              </w:rPr>
              <w:t xml:space="preserve"> и </w:t>
            </w:r>
            <w:hyperlink w:history="0" w:anchor="P1681" w:tooltip="5. До края проезжей части автомобильных дорог предприятия">
              <w:r>
                <w:rPr>
                  <w:sz w:val="24"/>
                  <w:color w:val="0000ff"/>
                </w:rPr>
                <w:t xml:space="preserve">5</w:t>
              </w:r>
            </w:hyperlink>
            <w:r>
              <w:rPr>
                <w:sz w:val="24"/>
              </w:rPr>
              <w:t xml:space="preserve">, допускается уменьшать не более чем на 50% при обеспечении предотвращения выброса струи природного газа при аварийном истечении и разлета осколков при физическом разрушении этого оборудования за пределы ограждения по </w:t>
            </w:r>
            <w:hyperlink w:history="0" w:anchor="P722" w:tooltip="8.2. Территория площадки (площадок) зданий, сооружений и оборудования для приема, подготовки и хранения КПГ и/или СПГ, приема, хранения и выдачи КВ, а также территория складской площадки с резервуарами СУГ должны иметь ограждения, которые обозначают территорию, закрытую для посторонних лиц, и выполнены из негорючих материалов, не препятствующих свободному проветриванию.">
              <w:r>
                <w:rPr>
                  <w:sz w:val="24"/>
                  <w:color w:val="0000ff"/>
                </w:rPr>
                <w:t xml:space="preserve">пункту 8.2</w:t>
              </w:r>
            </w:hyperlink>
            <w:r>
              <w:rPr>
                <w:sz w:val="24"/>
              </w:rPr>
              <w:t xml:space="preserve"> настоящего свода правил, в сторону защищаемого объекта в горизонтальном направлении (подземное или заглубленное расположение, установка защитных экранов, отвечающих требованиям настоящего свода правил).</w:t>
            </w:r>
          </w:p>
          <w:p>
            <w:pPr>
              <w:pStyle w:val="0"/>
              <w:ind w:firstLine="283"/>
              <w:jc w:val="both"/>
            </w:pPr>
            <w:r>
              <w:rPr>
                <w:sz w:val="24"/>
              </w:rPr>
              <w:t xml:space="preserve">3 Расстояние от раздаточной колонки КПГ и/или СПГ до автомобильной дороги предприятия (за исключением дорог для электрифицированного транспорта с воздушными линиями токопроводов) допускается уменьшать не более чем на 50% при установке между дорогой и заправочным островком, для которого указанная колонка предназначена, защитного экрана, отвечающего требованиям настоящего свода правил.</w:t>
            </w:r>
          </w:p>
          <w:p>
            <w:pPr>
              <w:pStyle w:val="0"/>
              <w:ind w:firstLine="283"/>
              <w:jc w:val="both"/>
            </w:pPr>
            <w:r>
              <w:rPr>
                <w:sz w:val="24"/>
              </w:rPr>
              <w:t xml:space="preserve">4 Минимальное расстояние от сбросной трубы паров СУГ, паров СПГ и КПГ до зданий и сооружений предприятия определяется расчетом в соответствии с требованиями настоящего свода правил.</w:t>
            </w:r>
          </w:p>
        </w:tc>
      </w:tr>
    </w:tbl>
    <w:p>
      <w:pPr>
        <w:sectPr>
          <w:headerReference w:type="default" r:id="rId71"/>
          <w:headerReference w:type="first" r:id="rId71"/>
          <w:footerReference w:type="default" r:id="rId72"/>
          <w:footerReference w:type="first" r:id="rId72"/>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Д.2. Расстояния от многотопливной АЗС, КриоАЗС, отвечающих требованиям к самостоятельному участку многотопливной АЗС, и АГЗС (кроме АГЗС с одностенными резервуарами), эксплуатируемых в качестве топливозаправочного пункта автотранспортного участка производственного предприятия до зданий, сооружений и наружных установок этого предприятия, не относящихся к указанному автотранспортному участку, следует определять в соответствии с </w:t>
      </w:r>
      <w:hyperlink w:history="0" w:anchor="P726" w:tooltip="Таблица 5">
        <w:r>
          <w:rPr>
            <w:sz w:val="24"/>
            <w:color w:val="0000ff"/>
          </w:rPr>
          <w:t xml:space="preserve">таблицей 5</w:t>
        </w:r>
      </w:hyperlink>
      <w:r>
        <w:rPr>
          <w:sz w:val="24"/>
        </w:rPr>
        <w:t xml:space="preserve"> настоящего свода правил.</w:t>
      </w:r>
    </w:p>
    <w:p>
      <w:pPr>
        <w:pStyle w:val="0"/>
        <w:spacing w:before="240" w:lineRule="auto"/>
        <w:ind w:firstLine="540"/>
        <w:jc w:val="both"/>
      </w:pPr>
      <w:r>
        <w:rPr>
          <w:sz w:val="24"/>
        </w:rPr>
        <w:t xml:space="preserve">Д.3. Минимальные расстояния от АГЗС с подземными одностенными резервуарами до зданий и сооружений автотранспортного предприятия или автотранспортного участка производственного предприятия, на котором она эксплуатируется в качестве топливозаправочного пункта, допускается принимать в соответствии с </w:t>
      </w:r>
      <w:hyperlink w:history="0" w:anchor="P1596" w:tooltip="Таблица Д.1.">
        <w:r>
          <w:rPr>
            <w:sz w:val="24"/>
            <w:color w:val="0000ff"/>
          </w:rPr>
          <w:t xml:space="preserve">таблицей Д.1</w:t>
        </w:r>
      </w:hyperlink>
      <w:r>
        <w:rPr>
          <w:sz w:val="24"/>
        </w:rPr>
        <w:t xml:space="preserve"> при условии, если в конструкции ее технологической системы предусмотрены дистанционные (из операторной или другого безопасного места) перекрытия первой от резервуаров запорной арматуры на подводящих и отводящих к ним трубопроводах СУГ и его паров, а также аварийный сброс из надземных участков указанных трубопроводов избыточного давления паров СУГ на сбросные трубы.</w:t>
      </w:r>
    </w:p>
    <w:p>
      <w:pPr>
        <w:pStyle w:val="0"/>
        <w:spacing w:before="240" w:lineRule="auto"/>
        <w:ind w:firstLine="540"/>
        <w:jc w:val="both"/>
      </w:pPr>
      <w:r>
        <w:rPr>
          <w:sz w:val="24"/>
        </w:rPr>
        <w:t xml:space="preserve">Минимальные расстояния от других АГЗС с одностенными резервуарами до зданий, сооружений и наружных установок автотранспортного предприятия (автотранспортного участка производственного предприятия), на котором она эксплуатируется в качестве топливозаправочного пункта, следует принимать в соответствии с </w:t>
      </w:r>
      <w:hyperlink w:history="0" w:anchor="P1721" w:tooltip="СПЕЦИФИЧЕСКИЕ ТРЕБОВАНИЯ">
        <w:r>
          <w:rPr>
            <w:sz w:val="24"/>
            <w:color w:val="0000ff"/>
          </w:rPr>
          <w:t xml:space="preserve">приложением Е</w:t>
        </w:r>
      </w:hyperlink>
      <w:r>
        <w:rPr>
          <w:sz w:val="24"/>
        </w:rPr>
        <w:t xml:space="preserve"> к настоящему своду правил.</w:t>
      </w:r>
    </w:p>
    <w:p>
      <w:pPr>
        <w:pStyle w:val="0"/>
        <w:spacing w:before="240" w:lineRule="auto"/>
        <w:ind w:firstLine="540"/>
        <w:jc w:val="both"/>
      </w:pPr>
      <w:r>
        <w:rPr>
          <w:sz w:val="24"/>
        </w:rPr>
        <w:t xml:space="preserve">Д.4. Минимальные расстояния от КриоАЗС с резервуарами СПГ в кожухе до зданий и сооружений автотранспортного предприятия или автотранспортного участка производственного предприятия, на котором она эксплуатируется в качестве топливозаправочного пункта, допускается принимать в соответствии с </w:t>
      </w:r>
      <w:hyperlink w:history="0" w:anchor="P1596" w:tooltip="Таблица Д.1.">
        <w:r>
          <w:rPr>
            <w:sz w:val="24"/>
            <w:color w:val="0000ff"/>
          </w:rPr>
          <w:t xml:space="preserve">таблицей Д.1</w:t>
        </w:r>
      </w:hyperlink>
      <w:r>
        <w:rPr>
          <w:sz w:val="24"/>
        </w:rPr>
        <w:t xml:space="preserve"> при условии увеличения расстояний от указанных резервуаров и площадки для АЦ СПГ, регламентированных в </w:t>
      </w:r>
      <w:hyperlink w:history="0" w:anchor="P1596" w:tooltip="Таблица Д.1.">
        <w:r>
          <w:rPr>
            <w:sz w:val="24"/>
            <w:color w:val="0000ff"/>
          </w:rPr>
          <w:t xml:space="preserve">строках 1</w:t>
        </w:r>
      </w:hyperlink>
      <w:r>
        <w:rPr>
          <w:sz w:val="24"/>
        </w:rPr>
        <w:t xml:space="preserve"> - </w:t>
      </w:r>
      <w:hyperlink w:history="0" w:anchor="P1596" w:tooltip="Таблица Д.1.">
        <w:r>
          <w:rPr>
            <w:sz w:val="24"/>
            <w:color w:val="0000ff"/>
          </w:rPr>
          <w:t xml:space="preserve">5</w:t>
        </w:r>
      </w:hyperlink>
      <w:r>
        <w:rPr>
          <w:sz w:val="24"/>
        </w:rPr>
        <w:t xml:space="preserve"> таблицы Д.1, на 30%.</w:t>
      </w:r>
    </w:p>
    <w:p>
      <w:pPr>
        <w:pStyle w:val="0"/>
        <w:spacing w:before="240" w:lineRule="auto"/>
        <w:ind w:firstLine="540"/>
        <w:jc w:val="both"/>
      </w:pPr>
      <w:r>
        <w:rPr>
          <w:sz w:val="24"/>
        </w:rPr>
        <w:t xml:space="preserve">Минимальные расстояния от КриоАЗС с резервуарами СПГ в кожухе, эксплуатируемой в качестве топливозаправочного пункта автотранспортного участка производственного предприятия до зданий, сооружений и наружных установок этого предприятия, не относящихся к указанному автотранспортному участку, следует определять в соответствии с </w:t>
      </w:r>
      <w:hyperlink w:history="0" w:anchor="P1815" w:tooltip="СПЕЦИФИЧЕСКИЕ ТРЕБОВАНИЯ">
        <w:r>
          <w:rPr>
            <w:sz w:val="24"/>
            <w:color w:val="0000ff"/>
          </w:rPr>
          <w:t xml:space="preserve">приложением Ж</w:t>
        </w:r>
      </w:hyperlink>
      <w:r>
        <w:rPr>
          <w:sz w:val="24"/>
        </w:rPr>
        <w:t xml:space="preserve"> к настоящему своду правил.</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Е</w:t>
      </w:r>
    </w:p>
    <w:p>
      <w:pPr>
        <w:pStyle w:val="0"/>
        <w:jc w:val="both"/>
      </w:pPr>
      <w:r>
        <w:rPr>
          <w:sz w:val="24"/>
        </w:rPr>
      </w:r>
    </w:p>
    <w:bookmarkStart w:id="1721" w:name="P1721"/>
    <w:bookmarkEnd w:id="1721"/>
    <w:p>
      <w:pPr>
        <w:pStyle w:val="2"/>
        <w:jc w:val="center"/>
      </w:pPr>
      <w:r>
        <w:rPr>
          <w:sz w:val="24"/>
        </w:rPr>
        <w:t xml:space="preserve">СПЕЦИФИЧЕСКИЕ ТРЕБОВАНИЯ</w:t>
      </w:r>
    </w:p>
    <w:p>
      <w:pPr>
        <w:pStyle w:val="2"/>
        <w:jc w:val="center"/>
      </w:pPr>
      <w:r>
        <w:rPr>
          <w:sz w:val="24"/>
        </w:rPr>
        <w:t xml:space="preserve">К АГЗС С ОДНОСТЕННЫМИ РЕЗЕРВУАРАМИ ХРАНЕНИЯ СУГ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3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Е.1. На АГЗС с одностенными резервуарами не допускается размещать здания и сооружения сервисного обслуживания водителей, пассажиров и их транспортных средств, за исключением магазина сопутствующих товаров без торгового зала.</w:t>
      </w:r>
    </w:p>
    <w:p>
      <w:pPr>
        <w:pStyle w:val="0"/>
        <w:spacing w:before="240" w:lineRule="auto"/>
        <w:ind w:firstLine="540"/>
        <w:jc w:val="both"/>
      </w:pPr>
      <w:r>
        <w:rPr>
          <w:sz w:val="24"/>
        </w:rPr>
        <w:t xml:space="preserve">Нахождение лиц, не относящихся к персоналу АЗС и водителям транспортных средств, на заправочных островках на территории АЗС не допускается. Площадки высадки и посадки пассажиров, а также площадки подпора следует размещать вне территории АЗС.</w:t>
      </w:r>
    </w:p>
    <w:p>
      <w:pPr>
        <w:pStyle w:val="0"/>
        <w:spacing w:before="240" w:lineRule="auto"/>
        <w:ind w:firstLine="540"/>
        <w:jc w:val="both"/>
      </w:pPr>
      <w:r>
        <w:rPr>
          <w:sz w:val="24"/>
        </w:rPr>
        <w:t xml:space="preserve">Е.2. Здания АГЗС с одностенными резервуарами должны быть I или II степени огнестойкости класса С0 или С1.</w:t>
      </w:r>
    </w:p>
    <w:p>
      <w:pPr>
        <w:pStyle w:val="0"/>
        <w:spacing w:before="240" w:lineRule="auto"/>
        <w:ind w:firstLine="540"/>
        <w:jc w:val="both"/>
      </w:pPr>
      <w:r>
        <w:rPr>
          <w:sz w:val="24"/>
        </w:rPr>
        <w:t xml:space="preserve">Е.3. Минимальные расстояния от АГЗС с одностенными резервуарами до объектов, к ней не относящихся, а также до зданий и сооружений предприятия, на котором она эксплуатируется в качестве топливозаправочного пункта, принимаются по таблице Е.1.</w:t>
      </w:r>
    </w:p>
    <w:p>
      <w:pPr>
        <w:pStyle w:val="0"/>
        <w:jc w:val="both"/>
      </w:pPr>
      <w:r>
        <w:rPr>
          <w:sz w:val="24"/>
        </w:rPr>
      </w:r>
    </w:p>
    <w:p>
      <w:pPr>
        <w:pStyle w:val="2"/>
        <w:outlineLvl w:val="2"/>
        <w:jc w:val="both"/>
      </w:pPr>
      <w:r>
        <w:rPr>
          <w:sz w:val="24"/>
        </w:rPr>
        <w:t xml:space="preserve">Таблица Е.1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571"/>
        <w:gridCol w:w="1587"/>
        <w:gridCol w:w="1598"/>
      </w:tblGrid>
      <w:tr>
        <w:tc>
          <w:tcPr>
            <w:tcW w:w="6571" w:type="dxa"/>
            <w:vMerge w:val="restart"/>
          </w:tcPr>
          <w:p>
            <w:pPr>
              <w:pStyle w:val="0"/>
              <w:jc w:val="center"/>
            </w:pPr>
            <w:r>
              <w:rPr>
                <w:sz w:val="24"/>
              </w:rPr>
              <w:t xml:space="preserve">Наименование объекта, до которого определяется расстояние</w:t>
            </w:r>
          </w:p>
        </w:tc>
        <w:tc>
          <w:tcPr>
            <w:gridSpan w:val="2"/>
            <w:tcW w:w="3185" w:type="dxa"/>
          </w:tcPr>
          <w:p>
            <w:pPr>
              <w:pStyle w:val="0"/>
              <w:jc w:val="center"/>
            </w:pPr>
            <w:r>
              <w:rPr>
                <w:sz w:val="24"/>
              </w:rPr>
              <w:t xml:space="preserve">Расстояние от оборудования технологических систем АГЗС, зданий и сооружений с этим оборудованием, м</w:t>
            </w:r>
          </w:p>
        </w:tc>
      </w:tr>
      <w:tr>
        <w:tc>
          <w:tcPr>
            <w:vMerge w:val="continue"/>
          </w:tcPr>
          <w:p/>
        </w:tc>
        <w:tc>
          <w:tcPr>
            <w:tcW w:w="1587" w:type="dxa"/>
          </w:tcPr>
          <w:p>
            <w:pPr>
              <w:pStyle w:val="0"/>
              <w:jc w:val="center"/>
            </w:pPr>
            <w:r>
              <w:rPr>
                <w:sz w:val="24"/>
              </w:rPr>
              <w:t xml:space="preserve">с подземными резервуарами СУГ</w:t>
            </w:r>
          </w:p>
        </w:tc>
        <w:tc>
          <w:tcPr>
            <w:tcW w:w="1598" w:type="dxa"/>
          </w:tcPr>
          <w:p>
            <w:pPr>
              <w:pStyle w:val="0"/>
              <w:jc w:val="center"/>
            </w:pPr>
            <w:r>
              <w:rPr>
                <w:sz w:val="24"/>
              </w:rPr>
              <w:t xml:space="preserve">с надземными резервуарами СУГ</w:t>
            </w:r>
          </w:p>
        </w:tc>
      </w:tr>
      <w:tr>
        <w:tc>
          <w:tcPr>
            <w:tcW w:w="6571" w:type="dxa"/>
          </w:tcPr>
          <w:bookmarkStart w:id="1737" w:name="P1737"/>
          <w:bookmarkEnd w:id="1737"/>
          <w:p>
            <w:pPr>
              <w:pStyle w:val="0"/>
            </w:pPr>
            <w:r>
              <w:rPr>
                <w:sz w:val="24"/>
              </w:rPr>
              <w:t xml:space="preserve">1. Производственные и складские здания и сооружения, административно-бытовые здания и сооружения промышленных организаций (за исключением указанных в </w:t>
            </w:r>
            <w:hyperlink w:history="0" w:anchor="P1777" w:tooltip="9.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строках 9</w:t>
              </w:r>
            </w:hyperlink>
            <w:r>
              <w:rPr>
                <w:sz w:val="24"/>
              </w:rPr>
              <w:t xml:space="preserve"> и </w:t>
            </w:r>
            <w:hyperlink w:history="0" w:anchor="P1784"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w:t>
            </w:r>
          </w:p>
        </w:tc>
        <w:tc>
          <w:tcPr>
            <w:tcW w:w="1587" w:type="dxa"/>
            <w:vAlign w:val="center"/>
          </w:tcPr>
          <w:p>
            <w:pPr>
              <w:pStyle w:val="0"/>
              <w:jc w:val="center"/>
            </w:pPr>
            <w:r>
              <w:rPr>
                <w:sz w:val="24"/>
              </w:rPr>
              <w:t xml:space="preserve">80</w:t>
            </w:r>
          </w:p>
        </w:tc>
        <w:tc>
          <w:tcPr>
            <w:tcW w:w="1598" w:type="dxa"/>
            <w:vAlign w:val="center"/>
          </w:tcPr>
          <w:p>
            <w:pPr>
              <w:pStyle w:val="0"/>
              <w:jc w:val="center"/>
            </w:pPr>
            <w:r>
              <w:rPr>
                <w:sz w:val="24"/>
              </w:rPr>
              <w:t xml:space="preserve">100</w:t>
            </w:r>
          </w:p>
        </w:tc>
      </w:tr>
      <w:tr>
        <w:tblPrEx>
          <w:tblBorders>
            <w:insideH w:val="nil"/>
          </w:tblBorders>
        </w:tblPrEx>
        <w:tc>
          <w:tcPr>
            <w:tcW w:w="6571" w:type="dxa"/>
            <w:tcBorders>
              <w:bottom w:val="nil"/>
            </w:tcBorders>
          </w:tcPr>
          <w:p>
            <w:pPr>
              <w:pStyle w:val="0"/>
            </w:pPr>
            <w:r>
              <w:rPr>
                <w:sz w:val="24"/>
              </w:rPr>
              <w:t xml:space="preserve">2. Лесничества с лесными насаждениями:</w:t>
            </w:r>
          </w:p>
        </w:tc>
        <w:tc>
          <w:tcPr>
            <w:tcW w:w="1587" w:type="dxa"/>
            <w:vAlign w:val="center"/>
            <w:tcBorders>
              <w:bottom w:val="nil"/>
            </w:tcBorders>
          </w:tcPr>
          <w:p>
            <w:pPr>
              <w:pStyle w:val="0"/>
            </w:pPr>
            <w:r>
              <w:rPr>
                <w:sz w:val="24"/>
              </w:rPr>
            </w:r>
          </w:p>
        </w:tc>
        <w:tc>
          <w:tcPr>
            <w:tcW w:w="1598" w:type="dxa"/>
            <w:vAlign w:val="center"/>
            <w:tcBorders>
              <w:bottom w:val="nil"/>
            </w:tcBorders>
          </w:tcPr>
          <w:p>
            <w:pPr>
              <w:pStyle w:val="0"/>
            </w:pPr>
            <w:r>
              <w:rPr>
                <w:sz w:val="24"/>
              </w:rPr>
            </w:r>
          </w:p>
        </w:tc>
      </w:tr>
      <w:tr>
        <w:tblPrEx>
          <w:tblBorders>
            <w:insideH w:val="nil"/>
          </w:tblBorders>
        </w:tblPrEx>
        <w:tc>
          <w:tcPr>
            <w:gridSpan w:val="3"/>
            <w:tcW w:w="9756" w:type="dxa"/>
            <w:tcBorders>
              <w:top w:val="nil"/>
              <w:bottom w:val="nil"/>
            </w:tcBorders>
          </w:tcPr>
          <w:p>
            <w:pPr>
              <w:pStyle w:val="0"/>
              <w:jc w:val="both"/>
            </w:pPr>
            <w:r>
              <w:rPr>
                <w:sz w:val="24"/>
              </w:rPr>
              <w:t xml:space="preserve">(в ред. </w:t>
            </w:r>
            <w:hyperlink w:history="0" r:id="rId14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blPrEx>
          <w:tblBorders>
            <w:insideH w:val="nil"/>
          </w:tblBorders>
        </w:tblPrEx>
        <w:tc>
          <w:tcPr>
            <w:tcW w:w="6571" w:type="dxa"/>
            <w:tcBorders>
              <w:top w:val="nil"/>
              <w:bottom w:val="nil"/>
            </w:tcBorders>
          </w:tcPr>
          <w:p>
            <w:pPr>
              <w:pStyle w:val="0"/>
            </w:pPr>
            <w:r>
              <w:rPr>
                <w:sz w:val="24"/>
              </w:rPr>
              <w:t xml:space="preserve">хвойных и смешанных пород</w:t>
            </w:r>
          </w:p>
        </w:tc>
        <w:tc>
          <w:tcPr>
            <w:tcW w:w="1587" w:type="dxa"/>
            <w:vAlign w:val="center"/>
            <w:tcBorders>
              <w:top w:val="nil"/>
              <w:bottom w:val="nil"/>
            </w:tcBorders>
          </w:tcPr>
          <w:p>
            <w:pPr>
              <w:pStyle w:val="0"/>
              <w:jc w:val="center"/>
            </w:pPr>
            <w:r>
              <w:rPr>
                <w:sz w:val="24"/>
              </w:rPr>
              <w:t xml:space="preserve">60</w:t>
            </w:r>
          </w:p>
        </w:tc>
        <w:tc>
          <w:tcPr>
            <w:tcW w:w="1598" w:type="dxa"/>
            <w:vAlign w:val="center"/>
            <w:tcBorders>
              <w:top w:val="nil"/>
              <w:bottom w:val="nil"/>
            </w:tcBorders>
          </w:tcPr>
          <w:p>
            <w:pPr>
              <w:pStyle w:val="0"/>
              <w:jc w:val="center"/>
            </w:pPr>
            <w:r>
              <w:rPr>
                <w:sz w:val="24"/>
              </w:rPr>
              <w:t xml:space="preserve">100</w:t>
            </w:r>
          </w:p>
        </w:tc>
      </w:tr>
      <w:tr>
        <w:tblPrEx>
          <w:tblBorders>
            <w:insideH w:val="nil"/>
          </w:tblBorders>
        </w:tblPrEx>
        <w:tc>
          <w:tcPr>
            <w:tcW w:w="6571" w:type="dxa"/>
            <w:tcBorders>
              <w:top w:val="nil"/>
            </w:tcBorders>
          </w:tcPr>
          <w:p>
            <w:pPr>
              <w:pStyle w:val="0"/>
            </w:pPr>
            <w:r>
              <w:rPr>
                <w:sz w:val="24"/>
              </w:rPr>
              <w:t xml:space="preserve">лиственных пород</w:t>
            </w:r>
          </w:p>
        </w:tc>
        <w:tc>
          <w:tcPr>
            <w:tcW w:w="1587" w:type="dxa"/>
            <w:vAlign w:val="center"/>
            <w:tcBorders>
              <w:top w:val="nil"/>
            </w:tcBorders>
          </w:tcPr>
          <w:p>
            <w:pPr>
              <w:pStyle w:val="0"/>
              <w:jc w:val="center"/>
            </w:pPr>
            <w:r>
              <w:rPr>
                <w:sz w:val="24"/>
              </w:rPr>
              <w:t xml:space="preserve">40</w:t>
            </w:r>
          </w:p>
        </w:tc>
        <w:tc>
          <w:tcPr>
            <w:tcW w:w="1598" w:type="dxa"/>
            <w:vAlign w:val="center"/>
            <w:tcBorders>
              <w:top w:val="nil"/>
            </w:tcBorders>
          </w:tcPr>
          <w:p>
            <w:pPr>
              <w:pStyle w:val="0"/>
              <w:jc w:val="center"/>
            </w:pPr>
            <w:r>
              <w:rPr>
                <w:sz w:val="24"/>
              </w:rPr>
              <w:t xml:space="preserve">60</w:t>
            </w:r>
          </w:p>
        </w:tc>
      </w:tr>
      <w:tr>
        <w:tc>
          <w:tcPr>
            <w:tcW w:w="6571" w:type="dxa"/>
          </w:tcPr>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1737" w:tooltip="1. Производственные и складские здания и сооружения, административно-бытовые здания и сооружения промышленных организаций (за исключением указанных в строках 9 и 11)">
              <w:r>
                <w:rPr>
                  <w:sz w:val="24"/>
                  <w:color w:val="0000ff"/>
                </w:rPr>
                <w:t xml:space="preserve">строке 1</w:t>
              </w:r>
            </w:hyperlink>
            <w:r>
              <w:rPr>
                <w:sz w:val="24"/>
              </w:rPr>
              <w:t xml:space="preserve">)</w:t>
            </w:r>
          </w:p>
        </w:tc>
        <w:tc>
          <w:tcPr>
            <w:tcW w:w="1587" w:type="dxa"/>
            <w:vAlign w:val="center"/>
          </w:tcPr>
          <w:p>
            <w:pPr>
              <w:pStyle w:val="0"/>
              <w:jc w:val="center"/>
            </w:pPr>
            <w:r>
              <w:rPr>
                <w:sz w:val="24"/>
              </w:rPr>
              <w:t xml:space="preserve">100</w:t>
            </w:r>
          </w:p>
        </w:tc>
        <w:tc>
          <w:tcPr>
            <w:tcW w:w="1598" w:type="dxa"/>
            <w:vAlign w:val="center"/>
          </w:tcPr>
          <w:p>
            <w:pPr>
              <w:pStyle w:val="0"/>
              <w:jc w:val="center"/>
            </w:pPr>
            <w:r>
              <w:rPr>
                <w:sz w:val="24"/>
              </w:rPr>
              <w:t xml:space="preserve">300</w:t>
            </w:r>
          </w:p>
        </w:tc>
      </w:tr>
      <w:tr>
        <w:tc>
          <w:tcPr>
            <w:tcW w:w="6571" w:type="dxa"/>
          </w:tcPr>
          <w:p>
            <w:pPr>
              <w:pStyle w:val="0"/>
            </w:pPr>
            <w:r>
              <w:rPr>
                <w:sz w:val="24"/>
              </w:rPr>
              <w:t xml:space="preserve">4. Места массового пребывания людей</w:t>
            </w:r>
          </w:p>
        </w:tc>
        <w:tc>
          <w:tcPr>
            <w:tcW w:w="1587" w:type="dxa"/>
            <w:vAlign w:val="center"/>
          </w:tcPr>
          <w:p>
            <w:pPr>
              <w:pStyle w:val="0"/>
              <w:jc w:val="center"/>
            </w:pPr>
            <w:r>
              <w:rPr>
                <w:sz w:val="24"/>
              </w:rPr>
              <w:t xml:space="preserve">100</w:t>
            </w:r>
          </w:p>
        </w:tc>
        <w:tc>
          <w:tcPr>
            <w:tcW w:w="1598" w:type="dxa"/>
            <w:vAlign w:val="center"/>
          </w:tcPr>
          <w:p>
            <w:pPr>
              <w:pStyle w:val="0"/>
              <w:jc w:val="center"/>
            </w:pPr>
            <w:r>
              <w:rPr>
                <w:sz w:val="24"/>
              </w:rPr>
              <w:t xml:space="preserve">300</w:t>
            </w:r>
          </w:p>
        </w:tc>
      </w:tr>
      <w:tr>
        <w:tc>
          <w:tcPr>
            <w:tcW w:w="6571" w:type="dxa"/>
          </w:tcPr>
          <w:p>
            <w:pPr>
              <w:pStyle w:val="0"/>
            </w:pPr>
            <w:r>
              <w:rPr>
                <w:sz w:val="24"/>
              </w:rPr>
              <w:t xml:space="preserve">5. Индивидуальные гаражи и открытые стоянки для автомобилей</w:t>
            </w:r>
          </w:p>
        </w:tc>
        <w:tc>
          <w:tcPr>
            <w:tcW w:w="1587" w:type="dxa"/>
            <w:vAlign w:val="center"/>
          </w:tcPr>
          <w:p>
            <w:pPr>
              <w:pStyle w:val="0"/>
              <w:jc w:val="center"/>
            </w:pPr>
            <w:r>
              <w:rPr>
                <w:sz w:val="24"/>
              </w:rPr>
              <w:t xml:space="preserve">50</w:t>
            </w:r>
          </w:p>
        </w:tc>
        <w:tc>
          <w:tcPr>
            <w:tcW w:w="1598" w:type="dxa"/>
            <w:vAlign w:val="center"/>
          </w:tcPr>
          <w:p>
            <w:pPr>
              <w:pStyle w:val="0"/>
              <w:jc w:val="center"/>
            </w:pPr>
            <w:r>
              <w:rPr>
                <w:sz w:val="24"/>
              </w:rPr>
              <w:t xml:space="preserve">100</w:t>
            </w:r>
          </w:p>
        </w:tc>
      </w:tr>
      <w:tr>
        <w:tblPrEx>
          <w:tblBorders>
            <w:insideH w:val="nil"/>
          </w:tblBorders>
        </w:tblPrEx>
        <w:tc>
          <w:tcPr>
            <w:tcW w:w="6571" w:type="dxa"/>
            <w:tcBorders>
              <w:bottom w:val="nil"/>
            </w:tcBorders>
          </w:tcPr>
          <w:p>
            <w:pPr>
              <w:pStyle w:val="0"/>
            </w:pPr>
            <w:r>
              <w:rPr>
                <w:sz w:val="24"/>
              </w:rPr>
              <w:t xml:space="preserve">6. Автомобильные дороги общей сети (край проезжей части):</w:t>
            </w:r>
          </w:p>
        </w:tc>
        <w:tc>
          <w:tcPr>
            <w:tcW w:w="1587" w:type="dxa"/>
            <w:vAlign w:val="center"/>
            <w:tcBorders>
              <w:bottom w:val="nil"/>
            </w:tcBorders>
          </w:tcPr>
          <w:p>
            <w:pPr>
              <w:pStyle w:val="0"/>
            </w:pPr>
            <w:r>
              <w:rPr>
                <w:sz w:val="24"/>
              </w:rPr>
            </w:r>
          </w:p>
        </w:tc>
        <w:tc>
          <w:tcPr>
            <w:tcW w:w="1598" w:type="dxa"/>
            <w:vAlign w:val="center"/>
            <w:tcBorders>
              <w:bottom w:val="nil"/>
            </w:tcBorders>
          </w:tcPr>
          <w:p>
            <w:pPr>
              <w:pStyle w:val="0"/>
            </w:pPr>
            <w:r>
              <w:rPr>
                <w:sz w:val="24"/>
              </w:rPr>
            </w:r>
          </w:p>
        </w:tc>
      </w:tr>
      <w:tr>
        <w:tblPrEx>
          <w:tblBorders>
            <w:insideH w:val="nil"/>
          </w:tblBorders>
        </w:tblPrEx>
        <w:tc>
          <w:tcPr>
            <w:tcW w:w="6571" w:type="dxa"/>
            <w:tcBorders>
              <w:top w:val="nil"/>
              <w:bottom w:val="nil"/>
            </w:tcBorders>
          </w:tcPr>
          <w:p>
            <w:pPr>
              <w:pStyle w:val="0"/>
            </w:pPr>
            <w:r>
              <w:rPr>
                <w:sz w:val="24"/>
              </w:rPr>
              <w:t xml:space="preserve">I, II и III категории</w:t>
            </w:r>
          </w:p>
        </w:tc>
        <w:tc>
          <w:tcPr>
            <w:tcW w:w="1587" w:type="dxa"/>
            <w:vAlign w:val="center"/>
            <w:tcBorders>
              <w:top w:val="nil"/>
              <w:bottom w:val="nil"/>
            </w:tcBorders>
          </w:tcPr>
          <w:p>
            <w:pPr>
              <w:pStyle w:val="0"/>
              <w:jc w:val="center"/>
            </w:pPr>
            <w:r>
              <w:rPr>
                <w:sz w:val="24"/>
              </w:rPr>
              <w:t xml:space="preserve">50</w:t>
            </w:r>
          </w:p>
        </w:tc>
        <w:tc>
          <w:tcPr>
            <w:tcW w:w="1598" w:type="dxa"/>
            <w:vAlign w:val="center"/>
            <w:tcBorders>
              <w:top w:val="nil"/>
              <w:bottom w:val="nil"/>
            </w:tcBorders>
          </w:tcPr>
          <w:p>
            <w:pPr>
              <w:pStyle w:val="0"/>
              <w:jc w:val="center"/>
            </w:pPr>
            <w:r>
              <w:rPr>
                <w:sz w:val="24"/>
              </w:rPr>
              <w:t xml:space="preserve">100</w:t>
            </w:r>
          </w:p>
        </w:tc>
      </w:tr>
      <w:tr>
        <w:tblPrEx>
          <w:tblBorders>
            <w:insideH w:val="nil"/>
          </w:tblBorders>
        </w:tblPrEx>
        <w:tc>
          <w:tcPr>
            <w:tcW w:w="6571" w:type="dxa"/>
            <w:tcBorders>
              <w:top w:val="nil"/>
              <w:bottom w:val="nil"/>
            </w:tcBorders>
          </w:tcPr>
          <w:p>
            <w:pPr>
              <w:pStyle w:val="0"/>
            </w:pPr>
            <w:r>
              <w:rPr>
                <w:sz w:val="24"/>
              </w:rPr>
              <w:t xml:space="preserve">IV и V категории</w:t>
            </w:r>
          </w:p>
        </w:tc>
        <w:tc>
          <w:tcPr>
            <w:tcW w:w="1587" w:type="dxa"/>
            <w:vAlign w:val="center"/>
            <w:tcBorders>
              <w:top w:val="nil"/>
              <w:bottom w:val="nil"/>
            </w:tcBorders>
          </w:tcPr>
          <w:p>
            <w:pPr>
              <w:pStyle w:val="0"/>
              <w:jc w:val="center"/>
            </w:pPr>
            <w:r>
              <w:rPr>
                <w:sz w:val="24"/>
              </w:rPr>
              <w:t xml:space="preserve">30</w:t>
            </w:r>
          </w:p>
        </w:tc>
        <w:tc>
          <w:tcPr>
            <w:tcW w:w="1598" w:type="dxa"/>
            <w:vAlign w:val="center"/>
            <w:tcBorders>
              <w:top w:val="nil"/>
              <w:bottom w:val="nil"/>
            </w:tcBorders>
          </w:tcPr>
          <w:p>
            <w:pPr>
              <w:pStyle w:val="0"/>
              <w:jc w:val="center"/>
            </w:pPr>
            <w:r>
              <w:rPr>
                <w:sz w:val="24"/>
              </w:rPr>
              <w:t xml:space="preserve">60</w:t>
            </w:r>
          </w:p>
        </w:tc>
      </w:tr>
      <w:tr>
        <w:tblPrEx>
          <w:tblBorders>
            <w:insideH w:val="nil"/>
          </w:tblBorders>
        </w:tblPrEx>
        <w:tc>
          <w:tcPr>
            <w:tcW w:w="6571" w:type="dxa"/>
            <w:tcBorders>
              <w:top w:val="nil"/>
            </w:tcBorders>
          </w:tcPr>
          <w:p>
            <w:pPr>
              <w:pStyle w:val="0"/>
            </w:pPr>
            <w:r>
              <w:rPr>
                <w:sz w:val="24"/>
              </w:rPr>
              <w:t xml:space="preserve">Маршруты электрифицированного городского транспорта (до контактной сети)</w:t>
            </w:r>
          </w:p>
        </w:tc>
        <w:tc>
          <w:tcPr>
            <w:tcW w:w="1587" w:type="dxa"/>
            <w:vAlign w:val="center"/>
            <w:tcBorders>
              <w:top w:val="nil"/>
            </w:tcBorders>
          </w:tcPr>
          <w:p>
            <w:pPr>
              <w:pStyle w:val="0"/>
              <w:jc w:val="center"/>
            </w:pPr>
            <w:r>
              <w:rPr>
                <w:sz w:val="24"/>
              </w:rPr>
              <w:t xml:space="preserve">50</w:t>
            </w:r>
          </w:p>
        </w:tc>
        <w:tc>
          <w:tcPr>
            <w:tcW w:w="1598" w:type="dxa"/>
            <w:vAlign w:val="center"/>
            <w:tcBorders>
              <w:top w:val="nil"/>
            </w:tcBorders>
          </w:tcPr>
          <w:p>
            <w:pPr>
              <w:pStyle w:val="0"/>
              <w:jc w:val="center"/>
            </w:pPr>
            <w:r>
              <w:rPr>
                <w:sz w:val="24"/>
              </w:rPr>
              <w:t xml:space="preserve">100</w:t>
            </w:r>
          </w:p>
        </w:tc>
      </w:tr>
      <w:tr>
        <w:tc>
          <w:tcPr>
            <w:tcW w:w="6571" w:type="dxa"/>
          </w:tcPr>
          <w:p>
            <w:pPr>
              <w:pStyle w:val="0"/>
            </w:pPr>
            <w:r>
              <w:rPr>
                <w:sz w:val="24"/>
              </w:rPr>
              <w:t xml:space="preserve">7. Железные дороги общей сети (до подошвы насыпи или бровки выемки)</w:t>
            </w:r>
          </w:p>
        </w:tc>
        <w:tc>
          <w:tcPr>
            <w:tcW w:w="1587" w:type="dxa"/>
            <w:vAlign w:val="center"/>
          </w:tcPr>
          <w:p>
            <w:pPr>
              <w:pStyle w:val="0"/>
              <w:jc w:val="center"/>
            </w:pPr>
            <w:r>
              <w:rPr>
                <w:sz w:val="24"/>
              </w:rPr>
              <w:t xml:space="preserve">80</w:t>
            </w:r>
          </w:p>
        </w:tc>
        <w:tc>
          <w:tcPr>
            <w:tcW w:w="1598" w:type="dxa"/>
            <w:vAlign w:val="center"/>
          </w:tcPr>
          <w:p>
            <w:pPr>
              <w:pStyle w:val="0"/>
              <w:jc w:val="center"/>
            </w:pPr>
            <w:r>
              <w:rPr>
                <w:sz w:val="24"/>
              </w:rPr>
              <w:t xml:space="preserve">100</w:t>
            </w:r>
          </w:p>
        </w:tc>
      </w:tr>
      <w:tr>
        <w:tc>
          <w:tcPr>
            <w:tcW w:w="6571" w:type="dxa"/>
          </w:tcPr>
          <w:p>
            <w:pPr>
              <w:pStyle w:val="0"/>
            </w:pPr>
            <w:r>
              <w:rPr>
                <w:sz w:val="24"/>
              </w:rPr>
              <w:t xml:space="preserve">8. Очистные канализационные сооружения и насосные станции, не относящиеся к АЗС</w:t>
            </w:r>
          </w:p>
        </w:tc>
        <w:tc>
          <w:tcPr>
            <w:tcW w:w="1587" w:type="dxa"/>
            <w:vAlign w:val="center"/>
          </w:tcPr>
          <w:p>
            <w:pPr>
              <w:pStyle w:val="0"/>
              <w:jc w:val="center"/>
            </w:pPr>
            <w:r>
              <w:rPr>
                <w:sz w:val="24"/>
              </w:rPr>
              <w:t xml:space="preserve">100</w:t>
            </w:r>
          </w:p>
        </w:tc>
        <w:tc>
          <w:tcPr>
            <w:tcW w:w="1598" w:type="dxa"/>
            <w:vAlign w:val="center"/>
          </w:tcPr>
          <w:p>
            <w:pPr>
              <w:pStyle w:val="0"/>
              <w:jc w:val="center"/>
            </w:pPr>
            <w:r>
              <w:rPr>
                <w:sz w:val="24"/>
              </w:rPr>
              <w:t xml:space="preserve">100</w:t>
            </w:r>
          </w:p>
        </w:tc>
      </w:tr>
      <w:tr>
        <w:tblPrEx>
          <w:tblBorders>
            <w:insideH w:val="nil"/>
          </w:tblBorders>
        </w:tblPrEx>
        <w:tc>
          <w:tcPr>
            <w:tcW w:w="6571" w:type="dxa"/>
            <w:tcBorders>
              <w:bottom w:val="nil"/>
            </w:tcBorders>
          </w:tcPr>
          <w:bookmarkStart w:id="1777" w:name="P1777"/>
          <w:bookmarkEnd w:id="1777"/>
          <w:p>
            <w:pPr>
              <w:pStyle w:val="0"/>
            </w:pPr>
            <w:r>
              <w:rPr>
                <w:sz w:val="24"/>
              </w:rPr>
              <w:t xml:space="preserve">9. Наружные установки категорий АН, БН, ГН, здания и сооружения с наличием радиоактивных, а также вредных веществ I и II классов опасности по </w:t>
            </w:r>
            <w:hyperlink w:history="0" r:id="rId141"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1587" w:type="dxa"/>
            <w:vAlign w:val="center"/>
            <w:tcBorders>
              <w:bottom w:val="nil"/>
            </w:tcBorders>
          </w:tcPr>
          <w:p>
            <w:pPr>
              <w:pStyle w:val="0"/>
              <w:jc w:val="center"/>
            </w:pPr>
            <w:r>
              <w:rPr>
                <w:sz w:val="24"/>
              </w:rPr>
              <w:t xml:space="preserve">100</w:t>
            </w:r>
          </w:p>
        </w:tc>
        <w:tc>
          <w:tcPr>
            <w:tcW w:w="1598" w:type="dxa"/>
            <w:vAlign w:val="center"/>
            <w:tcBorders>
              <w:bottom w:val="nil"/>
            </w:tcBorders>
          </w:tcPr>
          <w:p>
            <w:pPr>
              <w:pStyle w:val="0"/>
              <w:jc w:val="center"/>
            </w:pPr>
            <w:r>
              <w:rPr>
                <w:sz w:val="24"/>
              </w:rPr>
              <w:t xml:space="preserve">100</w:t>
            </w:r>
          </w:p>
        </w:tc>
      </w:tr>
      <w:tr>
        <w:tblPrEx>
          <w:tblBorders>
            <w:insideH w:val="nil"/>
          </w:tblBorders>
        </w:tblPrEx>
        <w:tc>
          <w:tcPr>
            <w:gridSpan w:val="3"/>
            <w:tcW w:w="9756" w:type="dxa"/>
            <w:tcBorders>
              <w:top w:val="nil"/>
            </w:tcBorders>
          </w:tcPr>
          <w:p>
            <w:pPr>
              <w:pStyle w:val="0"/>
              <w:jc w:val="both"/>
            </w:pPr>
            <w:r>
              <w:rPr>
                <w:sz w:val="24"/>
              </w:rPr>
              <w:t xml:space="preserve">(в ред. </w:t>
            </w:r>
            <w:hyperlink w:history="0" r:id="rId14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c>
          <w:tcPr>
            <w:tcW w:w="6571" w:type="dxa"/>
          </w:tcPr>
          <w:p>
            <w:pPr>
              <w:pStyle w:val="0"/>
            </w:pPr>
            <w:r>
              <w:rPr>
                <w:sz w:val="24"/>
              </w:rPr>
              <w:t xml:space="preserve">10. Линии электропередач, электроподстанции (в том числе трансформаторные подстанции)</w:t>
            </w:r>
          </w:p>
        </w:tc>
        <w:tc>
          <w:tcPr>
            <w:tcW w:w="1587" w:type="dxa"/>
            <w:vAlign w:val="center"/>
          </w:tcPr>
          <w:p>
            <w:pPr>
              <w:pStyle w:val="0"/>
              <w:jc w:val="center"/>
            </w:pPr>
            <w:r>
              <w:rPr>
                <w:sz w:val="24"/>
              </w:rPr>
              <w:t xml:space="preserve">В соответствии с </w:t>
            </w:r>
            <w:hyperlink w:history="0" w:anchor="P2089" w:tooltip="БИБЛИОГРАФИЯ">
              <w:r>
                <w:rPr>
                  <w:sz w:val="24"/>
                  <w:color w:val="0000ff"/>
                </w:rPr>
                <w:t xml:space="preserve">[3]</w:t>
              </w:r>
            </w:hyperlink>
          </w:p>
        </w:tc>
        <w:tc>
          <w:tcPr>
            <w:tcW w:w="1598" w:type="dxa"/>
            <w:vAlign w:val="center"/>
          </w:tcPr>
          <w:p>
            <w:pPr>
              <w:pStyle w:val="0"/>
              <w:jc w:val="center"/>
            </w:pPr>
            <w:r>
              <w:rPr>
                <w:sz w:val="24"/>
              </w:rPr>
              <w:t xml:space="preserve">В соответствии с </w:t>
            </w:r>
            <w:hyperlink w:history="0" w:anchor="P2089" w:tooltip="БИБЛИОГРАФИЯ">
              <w:r>
                <w:rPr>
                  <w:sz w:val="24"/>
                  <w:color w:val="0000ff"/>
                </w:rPr>
                <w:t xml:space="preserve">[3]</w:t>
              </w:r>
            </w:hyperlink>
          </w:p>
        </w:tc>
      </w:tr>
      <w:tr>
        <w:tc>
          <w:tcPr>
            <w:tcW w:w="6571" w:type="dxa"/>
          </w:tcPr>
          <w:bookmarkStart w:id="1784" w:name="P1784"/>
          <w:bookmarkEnd w:id="1784"/>
          <w:p>
            <w:pPr>
              <w:pStyle w:val="0"/>
            </w:pPr>
            <w:r>
              <w:rPr>
                <w:sz w:val="24"/>
              </w:rPr>
              <w:t xml:space="preserve">11. Склады (вне зданий) лесных материалов, торфа, волокнистых горючих веществ, сена, соломы, а также участки открытого залегания торфа</w:t>
            </w:r>
          </w:p>
        </w:tc>
        <w:tc>
          <w:tcPr>
            <w:tcW w:w="1587" w:type="dxa"/>
            <w:vAlign w:val="center"/>
          </w:tcPr>
          <w:p>
            <w:pPr>
              <w:pStyle w:val="0"/>
              <w:jc w:val="center"/>
            </w:pPr>
            <w:r>
              <w:rPr>
                <w:sz w:val="24"/>
              </w:rPr>
              <w:t xml:space="preserve">50</w:t>
            </w:r>
          </w:p>
        </w:tc>
        <w:tc>
          <w:tcPr>
            <w:tcW w:w="1598" w:type="dxa"/>
            <w:vAlign w:val="center"/>
          </w:tcPr>
          <w:p>
            <w:pPr>
              <w:pStyle w:val="0"/>
              <w:jc w:val="center"/>
            </w:pPr>
            <w:r>
              <w:rPr>
                <w:sz w:val="24"/>
              </w:rPr>
              <w:t xml:space="preserve">100</w:t>
            </w:r>
          </w:p>
        </w:tc>
      </w:tr>
    </w:tbl>
    <w:p>
      <w:pPr>
        <w:pStyle w:val="0"/>
        <w:jc w:val="both"/>
      </w:pPr>
      <w:r>
        <w:rPr>
          <w:sz w:val="24"/>
        </w:rPr>
      </w:r>
    </w:p>
    <w:p>
      <w:pPr>
        <w:pStyle w:val="0"/>
        <w:ind w:firstLine="540"/>
        <w:jc w:val="both"/>
      </w:pPr>
      <w:r>
        <w:rPr>
          <w:sz w:val="24"/>
        </w:rPr>
        <w:t xml:space="preserve">Е.4. Минимальные расстояния между зданиями и сооружениями АГЗС с одностенными подземными резервуарами следует принимать по </w:t>
      </w:r>
      <w:hyperlink w:history="0" w:anchor="P818" w:tooltip="Таблица 6">
        <w:r>
          <w:rPr>
            <w:sz w:val="24"/>
            <w:color w:val="0000ff"/>
          </w:rPr>
          <w:t xml:space="preserve">таблице 6</w:t>
        </w:r>
      </w:hyperlink>
      <w:r>
        <w:rPr>
          <w:sz w:val="24"/>
        </w:rPr>
        <w:t xml:space="preserve"> настоящего свода правил. Минимальные расстояния до надземных резервуаров хранения СУГ следует увеличивать на 50% по сравнению с расстояниями, указанными в </w:t>
      </w:r>
      <w:hyperlink w:history="0" w:anchor="P818" w:tooltip="Таблица 6">
        <w:r>
          <w:rPr>
            <w:sz w:val="24"/>
            <w:color w:val="0000ff"/>
          </w:rPr>
          <w:t xml:space="preserve">таблице 6</w:t>
        </w:r>
      </w:hyperlink>
      <w:r>
        <w:rPr>
          <w:sz w:val="24"/>
        </w:rPr>
        <w:t xml:space="preserve"> настоящего свода правил. При этом расстояния между надземными резервуарами должны быть не менее 20 м.</w:t>
      </w:r>
    </w:p>
    <w:p>
      <w:pPr>
        <w:pStyle w:val="0"/>
        <w:spacing w:before="240" w:lineRule="auto"/>
        <w:ind w:firstLine="540"/>
        <w:jc w:val="both"/>
      </w:pPr>
      <w:r>
        <w:rPr>
          <w:sz w:val="24"/>
        </w:rPr>
        <w:t xml:space="preserve">Е.5. Ввод трубопроводов, штуцеров и патрубков в резервуары для хранения СУГ должен осуществляться в местах, расположенных выше номинального уровня их заполнения.</w:t>
      </w:r>
    </w:p>
    <w:p>
      <w:pPr>
        <w:pStyle w:val="0"/>
        <w:spacing w:before="240" w:lineRule="auto"/>
        <w:ind w:firstLine="540"/>
        <w:jc w:val="both"/>
      </w:pPr>
      <w:r>
        <w:rPr>
          <w:sz w:val="24"/>
        </w:rPr>
        <w:t xml:space="preserve">Допускается предусматривать ввод трубопроводов ниже номинального уровня заполнения резервуаров при условии оборудования указанных вводов устройствами:</w:t>
      </w:r>
    </w:p>
    <w:p>
      <w:pPr>
        <w:pStyle w:val="0"/>
        <w:spacing w:before="240" w:lineRule="auto"/>
        <w:ind w:firstLine="540"/>
        <w:jc w:val="both"/>
      </w:pPr>
      <w:r>
        <w:rPr>
          <w:sz w:val="24"/>
        </w:rPr>
        <w:t xml:space="preserve">автоматически предотвращающими выход СУГ из резервуара при аварийных расходах газа по указанным трубопроводам;</w:t>
      </w:r>
    </w:p>
    <w:p>
      <w:pPr>
        <w:pStyle w:val="0"/>
        <w:spacing w:before="240" w:lineRule="auto"/>
        <w:ind w:firstLine="540"/>
        <w:jc w:val="both"/>
      </w:pPr>
      <w:r>
        <w:rPr>
          <w:sz w:val="24"/>
        </w:rPr>
        <w:t xml:space="preserve">обеспечивающими безопасное перекрытие трубопроводов;</w:t>
      </w:r>
    </w:p>
    <w:p>
      <w:pPr>
        <w:pStyle w:val="0"/>
        <w:spacing w:before="240" w:lineRule="auto"/>
        <w:ind w:firstLine="540"/>
        <w:jc w:val="both"/>
      </w:pPr>
      <w:r>
        <w:rPr>
          <w:sz w:val="24"/>
        </w:rPr>
        <w:t xml:space="preserve">защищенными от механических повреждений и воздействия пламени, способных привести к их отказу;</w:t>
      </w:r>
    </w:p>
    <w:p>
      <w:pPr>
        <w:pStyle w:val="0"/>
        <w:spacing w:before="240" w:lineRule="auto"/>
        <w:ind w:firstLine="540"/>
        <w:jc w:val="both"/>
      </w:pPr>
      <w:r>
        <w:rPr>
          <w:sz w:val="24"/>
        </w:rPr>
        <w:t xml:space="preserve">отвечающими требованиям </w:t>
      </w:r>
      <w:hyperlink w:history="0" w:anchor="P1199" w:tooltip="8.24. Запорная трубопроводная арматура с ручным и дистанционным приводом (включая электромагнитный), применяемая на технологическом оборудовании, в котором обращается СУГ, КПГ или СПГ, должна соответствовать классу А или В герметичности затворов по ГОСТ 9544.">
        <w:r>
          <w:rPr>
            <w:sz w:val="24"/>
            <w:color w:val="0000ff"/>
          </w:rPr>
          <w:t xml:space="preserve">пункта 8.24</w:t>
        </w:r>
      </w:hyperlink>
      <w:r>
        <w:rPr>
          <w:sz w:val="24"/>
        </w:rPr>
        <w:t xml:space="preserve"> настоящего свода правил.</w:t>
      </w:r>
    </w:p>
    <w:p>
      <w:pPr>
        <w:pStyle w:val="0"/>
        <w:spacing w:before="240" w:lineRule="auto"/>
        <w:ind w:firstLine="540"/>
        <w:jc w:val="both"/>
      </w:pPr>
      <w:r>
        <w:rPr>
          <w:sz w:val="24"/>
        </w:rPr>
        <w:t xml:space="preserve">Е.6. Трубопроводы с СУГ и его парами, проходящие по территории АГЗС, на которой предусматривается присутствие водителей, допускается размещать выше уровня планировочной площадки и выполнять одностенными при защите указанных трубопроводов теплоизоляцией, отвечающей требованиям </w:t>
      </w:r>
      <w:hyperlink w:history="0" w:anchor="P203"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
        <w:r>
          <w:rPr>
            <w:sz w:val="24"/>
            <w:color w:val="0000ff"/>
          </w:rPr>
          <w:t xml:space="preserve">пункта 6.6</w:t>
        </w:r>
      </w:hyperlink>
      <w:r>
        <w:rPr>
          <w:sz w:val="24"/>
        </w:rPr>
        <w:t xml:space="preserve"> настоящего свода правил, обеспечения условий проветривания теплоизолированных трубопроводов и исключения возможности их повреждения транспортными средствами.</w:t>
      </w:r>
    </w:p>
    <w:p>
      <w:pPr>
        <w:pStyle w:val="0"/>
        <w:spacing w:before="240" w:lineRule="auto"/>
        <w:ind w:firstLine="540"/>
        <w:jc w:val="both"/>
      </w:pPr>
      <w:r>
        <w:rPr>
          <w:sz w:val="24"/>
        </w:rPr>
        <w:t xml:space="preserve">Е.7. Общая вместимость резервуаров хранения СУГ не должна превышать 20 м3, единичная - 10 м3.</w:t>
      </w:r>
    </w:p>
    <w:p>
      <w:pPr>
        <w:pStyle w:val="0"/>
        <w:spacing w:before="240" w:lineRule="auto"/>
        <w:ind w:firstLine="540"/>
        <w:jc w:val="both"/>
      </w:pPr>
      <w:r>
        <w:rPr>
          <w:sz w:val="24"/>
        </w:rPr>
        <w:t xml:space="preserve">Общую и единичную вместимость резервуаров хранения СУГ на АГЗС, независимо от места ее размещения, допускается увеличивать не более чем в 2 раза при оснащении АГЗС наружным противопожарным водопроводом, обеспечивающим подачу воды на наружное пожаротушение и орошение с требуемым настоящим сводом правил расходом в течение времени полного выгорания СУГ из наибольшего резервуара (в том числе АЦ), применяемого на этой АГЗС.</w:t>
      </w:r>
    </w:p>
    <w:p>
      <w:pPr>
        <w:pStyle w:val="0"/>
        <w:spacing w:before="240" w:lineRule="auto"/>
        <w:ind w:firstLine="540"/>
        <w:jc w:val="both"/>
      </w:pPr>
      <w:r>
        <w:rPr>
          <w:sz w:val="24"/>
        </w:rPr>
        <w:t xml:space="preserve">Общую и единичную вместимость подземных резервуаров хранения СУГ на АГЗС, размещаемых вне территории населенных пунктов, допускается увеличивать не более чем в 2 раза.</w:t>
      </w:r>
    </w:p>
    <w:p>
      <w:pPr>
        <w:pStyle w:val="0"/>
        <w:spacing w:before="240" w:lineRule="auto"/>
        <w:ind w:firstLine="540"/>
        <w:jc w:val="both"/>
      </w:pPr>
      <w:r>
        <w:rPr>
          <w:sz w:val="24"/>
        </w:rPr>
        <w:t xml:space="preserve">Е.8. На АГЗС допускается не предусматривать:</w:t>
      </w:r>
    </w:p>
    <w:p>
      <w:pPr>
        <w:pStyle w:val="0"/>
        <w:spacing w:before="240" w:lineRule="auto"/>
        <w:ind w:firstLine="540"/>
        <w:jc w:val="both"/>
      </w:pPr>
      <w:r>
        <w:rPr>
          <w:sz w:val="24"/>
        </w:rPr>
        <w:t xml:space="preserve">выполнение требований по </w:t>
      </w:r>
      <w:hyperlink w:history="0" w:anchor="P1182" w:tooltip="8.18. Следует обеспечить предотвращение растекания пролива жидкой фазы СУГ и СПГ за границы площадки АЦ и образования взрывоопасных смесей за пределами АЗС за счет испарения СУГ и СПГ с поверхности указанного пролива.">
        <w:r>
          <w:rPr>
            <w:sz w:val="24"/>
            <w:color w:val="0000ff"/>
          </w:rPr>
          <w:t xml:space="preserve">пунктам 8.18</w:t>
        </w:r>
      </w:hyperlink>
      <w:r>
        <w:rPr>
          <w:sz w:val="24"/>
        </w:rPr>
        <w:t xml:space="preserve">, </w:t>
      </w:r>
      <w:hyperlink w:history="0" w:anchor="P1228" w:tooltip="8.32. Технологическая система должна обеспечивать возможность безопасного перекрытия утечки СПГ из резервуаров для хранения СПГ, а также СУГ и его паров из резервуаров для хранения СУГ, предотвращающего выход за территорию АЗС газопаровоздушных смесей с концентрацией указанных паров более 20% от НКПР с частотой выше одной миллионной в год.">
        <w:r>
          <w:rPr>
            <w:sz w:val="24"/>
            <w:color w:val="0000ff"/>
          </w:rPr>
          <w:t xml:space="preserve">8.32</w:t>
        </w:r>
      </w:hyperlink>
      <w:r>
        <w:rPr>
          <w:sz w:val="24"/>
        </w:rPr>
        <w:t xml:space="preserve"> и </w:t>
      </w:r>
      <w:hyperlink w:history="0" w:anchor="P1233" w:tooltip="8.33. Трубопроводы СУГ и его паров, проходящие в зоне возможного присутствия водителей и пассажиров, должны быть размещены подземно.">
        <w:r>
          <w:rPr>
            <w:sz w:val="24"/>
            <w:color w:val="0000ff"/>
          </w:rPr>
          <w:t xml:space="preserve">8.33</w:t>
        </w:r>
      </w:hyperlink>
      <w:r>
        <w:rPr>
          <w:sz w:val="24"/>
        </w:rPr>
        <w:t xml:space="preserve"> настоящего свода правил;</w:t>
      </w:r>
    </w:p>
    <w:p>
      <w:pPr>
        <w:pStyle w:val="0"/>
        <w:spacing w:before="240" w:lineRule="auto"/>
        <w:ind w:firstLine="540"/>
        <w:jc w:val="both"/>
      </w:pPr>
      <w:r>
        <w:rPr>
          <w:sz w:val="24"/>
        </w:rPr>
        <w:t xml:space="preserve">автоматическое предотвращение возможности наполнения резервуаров топливом по </w:t>
      </w:r>
      <w:hyperlink w:history="0" w:anchor="P1197" w:tooltip="8.22. При наполнении одного из резервуаров топливом (за исключением сосудов КПГ) должны быть обеспечены в автоматическом режиме предотвращение возможности наполнения остальных резервуаров, отключение компрессорного оборудования, не используемого в наполнении резервуара, и всех раздаточных колонок АЗС.">
        <w:r>
          <w:rPr>
            <w:sz w:val="24"/>
            <w:color w:val="0000ff"/>
          </w:rPr>
          <w:t xml:space="preserve">пункту 8.22</w:t>
        </w:r>
      </w:hyperlink>
      <w:r>
        <w:rPr>
          <w:sz w:val="24"/>
        </w:rPr>
        <w:t xml:space="preserve"> настоящего свода правил;</w:t>
      </w:r>
    </w:p>
    <w:p>
      <w:pPr>
        <w:pStyle w:val="0"/>
        <w:spacing w:before="240" w:lineRule="auto"/>
        <w:ind w:firstLine="540"/>
        <w:jc w:val="both"/>
      </w:pPr>
      <w:r>
        <w:rPr>
          <w:sz w:val="24"/>
        </w:rPr>
        <w:t xml:space="preserve">дистанционное и автоматическое опорожнение отсеченных с обеих сторон надземных трубопроводов от СУГ по </w:t>
      </w:r>
      <w:hyperlink w:history="0" w:anchor="P1207" w:tooltip="8.26. Конструкция технологических систем должна предусматривать возможность дистанционного (из операторной АЗС) и автоматического (при срабатывании систем противоаварийной защиты) управления процессом сброса КПГ, КВ, опорожнения (путем сброса паров) оборудования от СПГ (в том числе мерных емкостей) и опорожнения (путем сброса паров) отсеченных с обеих сторон надземных или расположенных в помещениях трубопроводов и оборудования от СПГ и СУГ на сбросные трубы технологической системы АЗС вертикально вверх.">
        <w:r>
          <w:rPr>
            <w:sz w:val="24"/>
            <w:color w:val="0000ff"/>
          </w:rPr>
          <w:t xml:space="preserve">пункту 8.26</w:t>
        </w:r>
      </w:hyperlink>
      <w:r>
        <w:rPr>
          <w:sz w:val="24"/>
        </w:rPr>
        <w:t xml:space="preserve"> настоящего свода правил;</w:t>
      </w:r>
    </w:p>
    <w:p>
      <w:pPr>
        <w:pStyle w:val="0"/>
        <w:spacing w:before="240" w:lineRule="auto"/>
        <w:ind w:firstLine="540"/>
        <w:jc w:val="both"/>
      </w:pPr>
      <w:r>
        <w:rPr>
          <w:sz w:val="24"/>
        </w:rPr>
        <w:t xml:space="preserve">датчики довзрывоопасных концентраций на площадке для АЦ и заправочных островках по </w:t>
      </w:r>
      <w:hyperlink w:history="0" w:anchor="P1268" w:tooltip="8.40. Технологические колодцы с оборудованием СУГ и СПГ, шахты (с наличием свободного пространства) резервуаров СУГ, приямки с оборудованием с КПГ и/или СПГ, площадки для АЦ СУГ и АЦ СПГ, заправочные островки, на которых транспортные средства могут заправляться СУГ или СПГ, а также сооружения, в которых обращаются КВ, КПГ, СПГ и СУГ, имеющие вертикальные ограждающие конструкции с отношением площади отверстий к полной площади преграды более 50%, должны быть оборудованы сигнализаторами довзрывоопасных конц...">
        <w:r>
          <w:rPr>
            <w:sz w:val="24"/>
            <w:color w:val="0000ff"/>
          </w:rPr>
          <w:t xml:space="preserve">пункту 8.40</w:t>
        </w:r>
      </w:hyperlink>
      <w:r>
        <w:rPr>
          <w:sz w:val="24"/>
        </w:rPr>
        <w:t xml:space="preserve"> настоящего свода правил;</w:t>
      </w:r>
    </w:p>
    <w:p>
      <w:pPr>
        <w:pStyle w:val="0"/>
        <w:spacing w:before="240" w:lineRule="auto"/>
        <w:ind w:firstLine="540"/>
        <w:jc w:val="both"/>
      </w:pPr>
      <w:r>
        <w:rPr>
          <w:sz w:val="24"/>
        </w:rPr>
        <w:t xml:space="preserve">защиту сбросной трубы паров СУГ от воздействия пожара по </w:t>
      </w:r>
      <w:hyperlink w:history="0" w:anchor="P1279" w:tooltip="8.42. Сбросные трубы паров СУГ и СПГ должны быть защищены от воздействия пожара (теплоизоляция, водяное орошение и т.п.) таким образом, чтобы обеспечить их функционирование в течение времени, необходимого для прибытия и развертывания передвижной пожарной техники, или времени сброса СУГ и СПГ через сбросные трубы.">
        <w:r>
          <w:rPr>
            <w:sz w:val="24"/>
            <w:color w:val="0000ff"/>
          </w:rPr>
          <w:t xml:space="preserve">пункту 8.42</w:t>
        </w:r>
      </w:hyperlink>
      <w:r>
        <w:rPr>
          <w:sz w:val="24"/>
        </w:rPr>
        <w:t xml:space="preserve">;</w:t>
      </w:r>
    </w:p>
    <w:p>
      <w:pPr>
        <w:pStyle w:val="0"/>
        <w:spacing w:before="240" w:lineRule="auto"/>
        <w:ind w:firstLine="540"/>
        <w:jc w:val="both"/>
      </w:pPr>
      <w:r>
        <w:rPr>
          <w:sz w:val="24"/>
        </w:rPr>
        <w:t xml:space="preserve">стационарные системы водяного орошения технологического оборудования с СУГ по </w:t>
      </w:r>
      <w:hyperlink w:history="0" w:anchor="P1305" w:tooltip="8.50. Для обеспечения охлаждения надземного (наземного) оборудования с СУГ на складской площадке, а также резервуаров хранения СПГ, транспортных емкостей (сосудов) АЦ СУГ и АЦ СПГ, которые не отвечают требованиям пункта 6.6 настоящего свода правил, следует предусматривать устройство стационарных систем водяного орошения, обеспечивающих подачу воды на поверхности указанного оборудования в случае пожара.">
        <w:r>
          <w:rPr>
            <w:sz w:val="24"/>
            <w:color w:val="0000ff"/>
          </w:rPr>
          <w:t xml:space="preserve">пункту 8.50</w:t>
        </w:r>
      </w:hyperlink>
      <w:r>
        <w:rPr>
          <w:sz w:val="24"/>
        </w:rPr>
        <w:t xml:space="preserve"> настоящего свода правил;</w:t>
      </w:r>
    </w:p>
    <w:p>
      <w:pPr>
        <w:pStyle w:val="0"/>
        <w:spacing w:before="240" w:lineRule="auto"/>
        <w:ind w:firstLine="540"/>
        <w:jc w:val="both"/>
      </w:pPr>
      <w:r>
        <w:rPr>
          <w:sz w:val="24"/>
        </w:rPr>
        <w:t xml:space="preserve">противопожарный водопровод высокого давления.</w:t>
      </w:r>
    </w:p>
    <w:p>
      <w:pPr>
        <w:pStyle w:val="0"/>
        <w:spacing w:before="240" w:lineRule="auto"/>
        <w:ind w:firstLine="540"/>
        <w:jc w:val="both"/>
      </w:pPr>
      <w:r>
        <w:rPr>
          <w:sz w:val="24"/>
        </w:rPr>
        <w:t xml:space="preserve">Е.9. Подачу воды на наружное пожаротушение и охлаждение допускается осуществлять передвижной пожарной техникой от противопожарных водоемов или резервуаров вместимостью, определяемой расчетом, исходя из интенсивностей и времени тушения и охлаждения по </w:t>
      </w:r>
      <w:hyperlink w:history="0" w:anchor="P1308" w:tooltip="8.52. Расход воды на наружное пожаротушение многотопливной АЗС, АГЗС и КриоАЗС определяется расчетом как суммарный расход воды, включающий в себя максимальное из значений расхода на пожаротушение зданий и общий расход воды на охлаждение наземно (надземно) расположенного оборудования с СУГ, СПГ и КПГ (за исключением двустенных резервуаров СУГ и двухоболочечных резервуаров СПГ, включая транспортные емкости АЦ, отвечающих требованиям пункта 6.6 настоящего свода правил). При определении общего расхода воды н...">
        <w:r>
          <w:rPr>
            <w:sz w:val="24"/>
            <w:color w:val="0000ff"/>
          </w:rPr>
          <w:t xml:space="preserve">пункту 8.52</w:t>
        </w:r>
      </w:hyperlink>
      <w:r>
        <w:rPr>
          <w:sz w:val="24"/>
        </w:rPr>
        <w:t xml:space="preserve"> настоящего свода правил, но не менее 200 м3, расположенных от АГЗС на расстоянии не более 200 м.</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Ж</w:t>
      </w:r>
    </w:p>
    <w:p>
      <w:pPr>
        <w:pStyle w:val="0"/>
        <w:jc w:val="both"/>
      </w:pPr>
      <w:r>
        <w:rPr>
          <w:sz w:val="24"/>
        </w:rPr>
      </w:r>
    </w:p>
    <w:bookmarkStart w:id="1815" w:name="P1815"/>
    <w:bookmarkEnd w:id="1815"/>
    <w:p>
      <w:pPr>
        <w:pStyle w:val="2"/>
        <w:jc w:val="center"/>
      </w:pPr>
      <w:r>
        <w:rPr>
          <w:sz w:val="24"/>
        </w:rPr>
        <w:t xml:space="preserve">СПЕЦИФИЧЕСКИЕ ТРЕБОВАНИЯ</w:t>
      </w:r>
    </w:p>
    <w:p>
      <w:pPr>
        <w:pStyle w:val="2"/>
        <w:jc w:val="center"/>
      </w:pPr>
      <w:r>
        <w:rPr>
          <w:sz w:val="24"/>
        </w:rPr>
        <w:t xml:space="preserve">К КРИОАЗС С РЕЗЕРВУАРАМИ СПГ В КОЖУХЕ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4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Ж.1. На АЗС не допускается размещать здания и сооружения сервисного обслуживания водителей, пассажиров и их транспортных средств, за исключением магазина сопутствующих товаров без торгового зала.</w:t>
      </w:r>
    </w:p>
    <w:p>
      <w:pPr>
        <w:pStyle w:val="0"/>
        <w:spacing w:before="240" w:lineRule="auto"/>
        <w:ind w:firstLine="540"/>
        <w:jc w:val="both"/>
      </w:pPr>
      <w:r>
        <w:rPr>
          <w:sz w:val="24"/>
        </w:rPr>
        <w:t xml:space="preserve">Нахождение лиц, не относящихся к персоналу АЗС и водителям транспортных средств, на заправочных островках на территории АЗС не допускается.</w:t>
      </w:r>
    </w:p>
    <w:p>
      <w:pPr>
        <w:pStyle w:val="0"/>
        <w:spacing w:before="240" w:lineRule="auto"/>
        <w:ind w:firstLine="540"/>
        <w:jc w:val="both"/>
      </w:pPr>
      <w:r>
        <w:rPr>
          <w:sz w:val="24"/>
        </w:rPr>
        <w:t xml:space="preserve">Ж.2. Здания АЗС должны быть I или II степени огнестойкости класса С0 или С1.</w:t>
      </w:r>
    </w:p>
    <w:p>
      <w:pPr>
        <w:pStyle w:val="0"/>
        <w:spacing w:before="240" w:lineRule="auto"/>
        <w:ind w:firstLine="540"/>
        <w:jc w:val="both"/>
      </w:pPr>
      <w:r>
        <w:rPr>
          <w:sz w:val="24"/>
        </w:rPr>
        <w:t xml:space="preserve">Ж.3. Минимальные расстояния от КриоАЗС с резервуарами СПГ в кожухе до объектов, к ней не относящихся, а также до зданий и сооружений предприятия, не относящихся к автотранспортному участку, на котором указанная АЗС эксплуатируется в качестве топливозаправочного пункта, принимаются по таблице Ж.1.</w:t>
      </w:r>
    </w:p>
    <w:p>
      <w:pPr>
        <w:pStyle w:val="0"/>
        <w:jc w:val="both"/>
      </w:pPr>
      <w:r>
        <w:rPr>
          <w:sz w:val="24"/>
        </w:rPr>
      </w:r>
    </w:p>
    <w:p>
      <w:pPr>
        <w:pStyle w:val="2"/>
        <w:outlineLvl w:val="2"/>
      </w:pPr>
      <w:r>
        <w:rPr>
          <w:sz w:val="24"/>
        </w:rPr>
        <w:t xml:space="preserve">Таблица Ж.1</w:t>
      </w:r>
    </w:p>
    <w:p>
      <w:pPr>
        <w:pStyle w:val="0"/>
        <w:jc w:val="both"/>
      </w:pPr>
      <w:r>
        <w:rPr>
          <w:sz w:val="24"/>
        </w:rPr>
      </w:r>
    </w:p>
    <w:p>
      <w:pPr>
        <w:pStyle w:val="0"/>
        <w:jc w:val="both"/>
      </w:pPr>
      <w:r>
        <w:rPr>
          <w:sz w:val="24"/>
        </w:rPr>
        <w:t xml:space="preserve">(в ред. </w:t>
      </w:r>
      <w:hyperlink w:history="0" r:id="rId14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930"/>
        <w:gridCol w:w="2134"/>
      </w:tblGrid>
      <w:tr>
        <w:tc>
          <w:tcPr>
            <w:tcW w:w="6930" w:type="dxa"/>
          </w:tcPr>
          <w:p>
            <w:pPr>
              <w:pStyle w:val="0"/>
              <w:jc w:val="center"/>
            </w:pPr>
            <w:r>
              <w:rPr>
                <w:sz w:val="24"/>
              </w:rPr>
              <w:t xml:space="preserve">Наименование объекта, до которого определяется расстояние</w:t>
            </w:r>
          </w:p>
        </w:tc>
        <w:tc>
          <w:tcPr>
            <w:tcW w:w="2134" w:type="dxa"/>
          </w:tcPr>
          <w:p>
            <w:pPr>
              <w:pStyle w:val="0"/>
              <w:jc w:val="center"/>
            </w:pPr>
            <w:r>
              <w:rPr>
                <w:sz w:val="24"/>
              </w:rPr>
              <w:t xml:space="preserve">Расстояние от резервуаров хранения СПГ и площадки для АЦ СПГ КриоАЗС, м</w:t>
            </w:r>
          </w:p>
        </w:tc>
      </w:tr>
      <w:tr>
        <w:tc>
          <w:tcPr>
            <w:tcW w:w="6930" w:type="dxa"/>
          </w:tcPr>
          <w:bookmarkStart w:id="1831" w:name="P1831"/>
          <w:bookmarkEnd w:id="1831"/>
          <w:p>
            <w:pPr>
              <w:pStyle w:val="0"/>
            </w:pPr>
            <w:r>
              <w:rPr>
                <w:sz w:val="24"/>
              </w:rPr>
              <w:t xml:space="preserve">1 Производственные и складские здания и сооружения, административно-бытовые здания и сооружения промышленных предприятий (за исключением указанных в </w:t>
            </w:r>
            <w:hyperlink w:history="0" w:anchor="P1857" w:tooltip="9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строках 9</w:t>
              </w:r>
            </w:hyperlink>
            <w:r>
              <w:rPr>
                <w:sz w:val="24"/>
              </w:rPr>
              <w:t xml:space="preserve"> и </w:t>
            </w:r>
            <w:hyperlink w:history="0" w:anchor="P1861"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w:t>
            </w:r>
          </w:p>
        </w:tc>
        <w:tc>
          <w:tcPr>
            <w:tcW w:w="2134" w:type="dxa"/>
          </w:tcPr>
          <w:p>
            <w:pPr>
              <w:pStyle w:val="0"/>
              <w:jc w:val="center"/>
            </w:pPr>
            <w:r>
              <w:rPr>
                <w:sz w:val="24"/>
              </w:rPr>
              <w:t xml:space="preserve">45</w:t>
            </w:r>
          </w:p>
        </w:tc>
      </w:tr>
      <w:tr>
        <w:tblPrEx>
          <w:tblBorders>
            <w:insideH w:val="nil"/>
          </w:tblBorders>
        </w:tblPrEx>
        <w:tc>
          <w:tcPr>
            <w:tcW w:w="6930" w:type="dxa"/>
            <w:tcBorders>
              <w:bottom w:val="nil"/>
            </w:tcBorders>
          </w:tcPr>
          <w:p>
            <w:pPr>
              <w:pStyle w:val="0"/>
            </w:pPr>
            <w:r>
              <w:rPr>
                <w:sz w:val="24"/>
              </w:rPr>
              <w:t xml:space="preserve">2 Лесничества с лесными насаждениями:</w:t>
            </w:r>
          </w:p>
        </w:tc>
        <w:tc>
          <w:tcPr>
            <w:tcW w:w="2134" w:type="dxa"/>
            <w:tcBorders>
              <w:bottom w:val="nil"/>
            </w:tcBorders>
          </w:tcPr>
          <w:p>
            <w:pPr>
              <w:pStyle w:val="0"/>
            </w:pPr>
            <w:r>
              <w:rPr>
                <w:sz w:val="24"/>
              </w:rPr>
            </w:r>
          </w:p>
        </w:tc>
      </w:tr>
      <w:tr>
        <w:tblPrEx>
          <w:tblBorders>
            <w:insideH w:val="nil"/>
          </w:tblBorders>
        </w:tblPrEx>
        <w:tc>
          <w:tcPr>
            <w:tcW w:w="6930" w:type="dxa"/>
            <w:tcBorders>
              <w:top w:val="nil"/>
              <w:bottom w:val="nil"/>
            </w:tcBorders>
          </w:tcPr>
          <w:p>
            <w:pPr>
              <w:pStyle w:val="0"/>
            </w:pPr>
            <w:r>
              <w:rPr>
                <w:sz w:val="24"/>
              </w:rPr>
              <w:t xml:space="preserve">хвойных и смешанных пород</w:t>
            </w:r>
          </w:p>
        </w:tc>
        <w:tc>
          <w:tcPr>
            <w:tcW w:w="2134" w:type="dxa"/>
            <w:vAlign w:val="center"/>
            <w:tcBorders>
              <w:top w:val="nil"/>
              <w:bottom w:val="nil"/>
            </w:tcBorders>
          </w:tcPr>
          <w:p>
            <w:pPr>
              <w:pStyle w:val="0"/>
              <w:jc w:val="center"/>
            </w:pPr>
            <w:r>
              <w:rPr>
                <w:sz w:val="24"/>
              </w:rPr>
              <w:t xml:space="preserve">55</w:t>
            </w:r>
          </w:p>
        </w:tc>
      </w:tr>
      <w:tr>
        <w:tblPrEx>
          <w:tblBorders>
            <w:insideH w:val="nil"/>
          </w:tblBorders>
        </w:tblPrEx>
        <w:tc>
          <w:tcPr>
            <w:tcW w:w="6930" w:type="dxa"/>
            <w:tcBorders>
              <w:top w:val="nil"/>
            </w:tcBorders>
          </w:tcPr>
          <w:p>
            <w:pPr>
              <w:pStyle w:val="0"/>
            </w:pPr>
            <w:r>
              <w:rPr>
                <w:sz w:val="24"/>
              </w:rPr>
              <w:t xml:space="preserve">лиственных пород</w:t>
            </w:r>
          </w:p>
        </w:tc>
        <w:tc>
          <w:tcPr>
            <w:tcW w:w="2134" w:type="dxa"/>
            <w:vAlign w:val="center"/>
            <w:tcBorders>
              <w:top w:val="nil"/>
            </w:tcBorders>
          </w:tcPr>
          <w:p>
            <w:pPr>
              <w:pStyle w:val="0"/>
              <w:jc w:val="center"/>
            </w:pPr>
            <w:r>
              <w:rPr>
                <w:sz w:val="24"/>
              </w:rPr>
              <w:t xml:space="preserve">35</w:t>
            </w:r>
          </w:p>
        </w:tc>
      </w:tr>
      <w:tr>
        <w:tc>
          <w:tcPr>
            <w:tcW w:w="6930" w:type="dxa"/>
          </w:tcPr>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1831" w:tooltip="1 Производственные и складские здания и сооружения, административно-бытовые здания и сооружения промышленных предприятий (за исключением указанных в строках 9 и 11)">
              <w:r>
                <w:rPr>
                  <w:sz w:val="24"/>
                  <w:color w:val="0000ff"/>
                </w:rPr>
                <w:t xml:space="preserve">строке 1</w:t>
              </w:r>
            </w:hyperlink>
            <w:r>
              <w:rPr>
                <w:sz w:val="24"/>
              </w:rPr>
              <w:t xml:space="preserve">)</w:t>
            </w:r>
          </w:p>
        </w:tc>
        <w:tc>
          <w:tcPr>
            <w:tcW w:w="2134" w:type="dxa"/>
            <w:vAlign w:val="center"/>
          </w:tcPr>
          <w:p>
            <w:pPr>
              <w:pStyle w:val="0"/>
              <w:jc w:val="center"/>
            </w:pPr>
            <w:r>
              <w:rPr>
                <w:sz w:val="24"/>
              </w:rPr>
              <w:t xml:space="preserve">75</w:t>
            </w:r>
          </w:p>
        </w:tc>
      </w:tr>
      <w:tr>
        <w:tc>
          <w:tcPr>
            <w:tcW w:w="6930" w:type="dxa"/>
          </w:tcPr>
          <w:p>
            <w:pPr>
              <w:pStyle w:val="0"/>
            </w:pPr>
            <w:r>
              <w:rPr>
                <w:sz w:val="24"/>
              </w:rPr>
              <w:t xml:space="preserve">4 Места массового пребывания людей</w:t>
            </w:r>
          </w:p>
        </w:tc>
        <w:tc>
          <w:tcPr>
            <w:tcW w:w="2134" w:type="dxa"/>
            <w:vAlign w:val="center"/>
          </w:tcPr>
          <w:p>
            <w:pPr>
              <w:pStyle w:val="0"/>
              <w:jc w:val="center"/>
            </w:pPr>
            <w:r>
              <w:rPr>
                <w:sz w:val="24"/>
              </w:rPr>
              <w:t xml:space="preserve">75</w:t>
            </w:r>
          </w:p>
        </w:tc>
      </w:tr>
      <w:tr>
        <w:tc>
          <w:tcPr>
            <w:tcW w:w="6930" w:type="dxa"/>
          </w:tcPr>
          <w:p>
            <w:pPr>
              <w:pStyle w:val="0"/>
            </w:pPr>
            <w:r>
              <w:rPr>
                <w:sz w:val="24"/>
              </w:rPr>
              <w:t xml:space="preserve">5 Индивидуальные гаражи и открытые стоянки для автомобилей</w:t>
            </w:r>
          </w:p>
        </w:tc>
        <w:tc>
          <w:tcPr>
            <w:tcW w:w="2134" w:type="dxa"/>
            <w:vAlign w:val="center"/>
          </w:tcPr>
          <w:p>
            <w:pPr>
              <w:pStyle w:val="0"/>
              <w:jc w:val="center"/>
            </w:pPr>
            <w:r>
              <w:rPr>
                <w:sz w:val="24"/>
              </w:rPr>
              <w:t xml:space="preserve">45</w:t>
            </w:r>
          </w:p>
        </w:tc>
      </w:tr>
      <w:tr>
        <w:tc>
          <w:tcPr>
            <w:tcW w:w="6930" w:type="dxa"/>
          </w:tcPr>
          <w:p>
            <w:pPr>
              <w:pStyle w:val="0"/>
            </w:pPr>
            <w:r>
              <w:rPr>
                <w:sz w:val="24"/>
              </w:rPr>
              <w:t xml:space="preserve">6 Автомобильные дороги общей сети (край проезжей части):</w:t>
            </w:r>
          </w:p>
        </w:tc>
        <w:tc>
          <w:tcPr>
            <w:tcW w:w="2134" w:type="dxa"/>
            <w:vAlign w:val="center"/>
          </w:tcPr>
          <w:p>
            <w:pPr>
              <w:pStyle w:val="0"/>
            </w:pPr>
            <w:r>
              <w:rPr>
                <w:sz w:val="24"/>
              </w:rPr>
            </w:r>
          </w:p>
        </w:tc>
      </w:tr>
      <w:tr>
        <w:tblPrEx>
          <w:tblBorders>
            <w:insideH w:val="nil"/>
          </w:tblBorders>
        </w:tblPrEx>
        <w:tc>
          <w:tcPr>
            <w:tcW w:w="6930" w:type="dxa"/>
            <w:tcBorders>
              <w:bottom w:val="nil"/>
            </w:tcBorders>
          </w:tcPr>
          <w:p>
            <w:pPr>
              <w:pStyle w:val="0"/>
            </w:pPr>
            <w:r>
              <w:rPr>
                <w:sz w:val="24"/>
              </w:rPr>
              <w:t xml:space="preserve">I, II и III категорий</w:t>
            </w:r>
          </w:p>
        </w:tc>
        <w:tc>
          <w:tcPr>
            <w:tcW w:w="2134" w:type="dxa"/>
            <w:vAlign w:val="center"/>
            <w:tcBorders>
              <w:bottom w:val="nil"/>
            </w:tcBorders>
          </w:tcPr>
          <w:p>
            <w:pPr>
              <w:pStyle w:val="0"/>
              <w:jc w:val="center"/>
            </w:pPr>
            <w:r>
              <w:rPr>
                <w:sz w:val="24"/>
              </w:rPr>
              <w:t xml:space="preserve">45</w:t>
            </w:r>
          </w:p>
        </w:tc>
      </w:tr>
      <w:tr>
        <w:tblPrEx>
          <w:tblBorders>
            <w:insideH w:val="nil"/>
          </w:tblBorders>
        </w:tblPrEx>
        <w:tc>
          <w:tcPr>
            <w:tcW w:w="6930" w:type="dxa"/>
            <w:tcBorders>
              <w:top w:val="nil"/>
              <w:bottom w:val="nil"/>
            </w:tcBorders>
          </w:tcPr>
          <w:p>
            <w:pPr>
              <w:pStyle w:val="0"/>
            </w:pPr>
            <w:r>
              <w:rPr>
                <w:sz w:val="24"/>
              </w:rPr>
              <w:t xml:space="preserve">IV и V категорий</w:t>
            </w:r>
          </w:p>
        </w:tc>
        <w:tc>
          <w:tcPr>
            <w:tcW w:w="2134" w:type="dxa"/>
            <w:vAlign w:val="center"/>
            <w:tcBorders>
              <w:top w:val="nil"/>
              <w:bottom w:val="nil"/>
            </w:tcBorders>
          </w:tcPr>
          <w:p>
            <w:pPr>
              <w:pStyle w:val="0"/>
              <w:jc w:val="center"/>
            </w:pPr>
            <w:r>
              <w:rPr>
                <w:sz w:val="24"/>
              </w:rPr>
              <w:t xml:space="preserve">25</w:t>
            </w:r>
          </w:p>
        </w:tc>
      </w:tr>
      <w:tr>
        <w:tblPrEx>
          <w:tblBorders>
            <w:insideH w:val="nil"/>
          </w:tblBorders>
        </w:tblPrEx>
        <w:tc>
          <w:tcPr>
            <w:tcW w:w="6930" w:type="dxa"/>
            <w:tcBorders>
              <w:top w:val="nil"/>
            </w:tcBorders>
          </w:tcPr>
          <w:p>
            <w:pPr>
              <w:pStyle w:val="0"/>
            </w:pPr>
            <w:r>
              <w:rPr>
                <w:sz w:val="24"/>
              </w:rPr>
              <w:t xml:space="preserve">Маршруты электрифицированного городского транспорта (до контактной сети)</w:t>
            </w:r>
          </w:p>
        </w:tc>
        <w:tc>
          <w:tcPr>
            <w:tcW w:w="2134" w:type="dxa"/>
            <w:vAlign w:val="center"/>
            <w:tcBorders>
              <w:top w:val="nil"/>
            </w:tcBorders>
          </w:tcPr>
          <w:p>
            <w:pPr>
              <w:pStyle w:val="0"/>
              <w:jc w:val="center"/>
            </w:pPr>
            <w:r>
              <w:rPr>
                <w:sz w:val="24"/>
              </w:rPr>
              <w:t xml:space="preserve">45</w:t>
            </w:r>
          </w:p>
        </w:tc>
      </w:tr>
      <w:tr>
        <w:tc>
          <w:tcPr>
            <w:tcW w:w="6930" w:type="dxa"/>
          </w:tcPr>
          <w:p>
            <w:pPr>
              <w:pStyle w:val="0"/>
            </w:pPr>
            <w:r>
              <w:rPr>
                <w:sz w:val="24"/>
              </w:rPr>
              <w:t xml:space="preserve">7 Железные дороги общей сети (до подошвы насыпи или бровки выемки)</w:t>
            </w:r>
          </w:p>
        </w:tc>
        <w:tc>
          <w:tcPr>
            <w:tcW w:w="2134" w:type="dxa"/>
            <w:vAlign w:val="center"/>
          </w:tcPr>
          <w:p>
            <w:pPr>
              <w:pStyle w:val="0"/>
              <w:jc w:val="center"/>
            </w:pPr>
            <w:r>
              <w:rPr>
                <w:sz w:val="24"/>
              </w:rPr>
              <w:t xml:space="preserve">45</w:t>
            </w:r>
          </w:p>
        </w:tc>
      </w:tr>
      <w:tr>
        <w:tc>
          <w:tcPr>
            <w:tcW w:w="6930" w:type="dxa"/>
          </w:tcPr>
          <w:p>
            <w:pPr>
              <w:pStyle w:val="0"/>
            </w:pPr>
            <w:r>
              <w:rPr>
                <w:sz w:val="24"/>
              </w:rPr>
              <w:t xml:space="preserve">8 Очистные канализационные сооружения и насосные станции, не относящиеся к АЗС</w:t>
            </w:r>
          </w:p>
        </w:tc>
        <w:tc>
          <w:tcPr>
            <w:tcW w:w="2134" w:type="dxa"/>
            <w:vAlign w:val="center"/>
          </w:tcPr>
          <w:p>
            <w:pPr>
              <w:pStyle w:val="0"/>
              <w:jc w:val="center"/>
            </w:pPr>
            <w:r>
              <w:rPr>
                <w:sz w:val="24"/>
              </w:rPr>
              <w:t xml:space="preserve">75</w:t>
            </w:r>
          </w:p>
        </w:tc>
      </w:tr>
      <w:tr>
        <w:tc>
          <w:tcPr>
            <w:tcW w:w="6930" w:type="dxa"/>
          </w:tcPr>
          <w:bookmarkStart w:id="1857" w:name="P1857"/>
          <w:bookmarkEnd w:id="1857"/>
          <w:p>
            <w:pPr>
              <w:pStyle w:val="0"/>
            </w:pPr>
            <w:r>
              <w:rPr>
                <w:sz w:val="24"/>
              </w:rPr>
              <w:t xml:space="preserve">9 Наружные установки категорий АН, БН, ГН, здания и сооружения с наличием радиоактивных, а также вредных веществ I и II классов опасности по </w:t>
            </w:r>
            <w:hyperlink w:history="0" r:id="rId145"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2134" w:type="dxa"/>
            <w:vAlign w:val="center"/>
          </w:tcPr>
          <w:p>
            <w:pPr>
              <w:pStyle w:val="0"/>
              <w:jc w:val="center"/>
            </w:pPr>
            <w:r>
              <w:rPr>
                <w:sz w:val="24"/>
              </w:rPr>
              <w:t xml:space="preserve">100</w:t>
            </w:r>
          </w:p>
        </w:tc>
      </w:tr>
      <w:tr>
        <w:tc>
          <w:tcPr>
            <w:tcW w:w="6930" w:type="dxa"/>
          </w:tcPr>
          <w:p>
            <w:pPr>
              <w:pStyle w:val="0"/>
            </w:pPr>
            <w:r>
              <w:rPr>
                <w:sz w:val="24"/>
              </w:rPr>
              <w:t xml:space="preserve">10 Линии электропередачи, электроподстанции (в том числе трансформаторные подстанции)</w:t>
            </w:r>
          </w:p>
        </w:tc>
        <w:tc>
          <w:tcPr>
            <w:tcW w:w="2134" w:type="dxa"/>
            <w:vAlign w:val="center"/>
          </w:tcPr>
          <w:p>
            <w:pPr>
              <w:pStyle w:val="0"/>
              <w:jc w:val="center"/>
            </w:pPr>
            <w:r>
              <w:rPr>
                <w:sz w:val="24"/>
              </w:rPr>
              <w:t xml:space="preserve">В соответствии с </w:t>
            </w:r>
            <w:hyperlink w:history="0" w:anchor="P2099" w:tooltip="[3]">
              <w:r>
                <w:rPr>
                  <w:sz w:val="24"/>
                  <w:color w:val="0000ff"/>
                </w:rPr>
                <w:t xml:space="preserve">[3]</w:t>
              </w:r>
            </w:hyperlink>
          </w:p>
        </w:tc>
      </w:tr>
      <w:tr>
        <w:tc>
          <w:tcPr>
            <w:tcW w:w="6930" w:type="dxa"/>
          </w:tcPr>
          <w:bookmarkStart w:id="1861" w:name="P1861"/>
          <w:bookmarkEnd w:id="1861"/>
          <w:p>
            <w:pPr>
              <w:pStyle w:val="0"/>
            </w:pPr>
            <w:r>
              <w:rPr>
                <w:sz w:val="24"/>
              </w:rPr>
              <w:t xml:space="preserve">11 Склады (вне зданий) лесных материалов, торфа, волокнистых горючих веществ, сена, соломы, а также участки открытого залегания торфа</w:t>
            </w:r>
          </w:p>
        </w:tc>
        <w:tc>
          <w:tcPr>
            <w:tcW w:w="2134" w:type="dxa"/>
            <w:vAlign w:val="center"/>
          </w:tcPr>
          <w:p>
            <w:pPr>
              <w:pStyle w:val="0"/>
              <w:jc w:val="center"/>
            </w:pPr>
            <w:r>
              <w:rPr>
                <w:sz w:val="24"/>
              </w:rPr>
              <w:t xml:space="preserve">50</w:t>
            </w:r>
          </w:p>
        </w:tc>
      </w:tr>
    </w:tbl>
    <w:p>
      <w:pPr>
        <w:pStyle w:val="0"/>
        <w:jc w:val="both"/>
      </w:pPr>
      <w:r>
        <w:rPr>
          <w:sz w:val="24"/>
        </w:rPr>
      </w:r>
    </w:p>
    <w:p>
      <w:pPr>
        <w:pStyle w:val="0"/>
        <w:ind w:firstLine="540"/>
        <w:jc w:val="both"/>
      </w:pPr>
      <w:r>
        <w:rPr>
          <w:sz w:val="24"/>
        </w:rPr>
        <w:t xml:space="preserve">Ж.4. Минимальные расстояния между зданиями и сооружениями КриоАЗС с резервуарами СПГ в кожухе следует принимать по </w:t>
      </w:r>
      <w:hyperlink w:history="0" w:anchor="P818" w:tooltip="Таблица 6">
        <w:r>
          <w:rPr>
            <w:sz w:val="24"/>
            <w:color w:val="0000ff"/>
          </w:rPr>
          <w:t xml:space="preserve">таблице 6</w:t>
        </w:r>
      </w:hyperlink>
      <w:r>
        <w:rPr>
          <w:sz w:val="24"/>
        </w:rPr>
        <w:t xml:space="preserve"> настоящего свода правил. При этом минимальные расстояния до резервуаров хранения СПГ следует увеличивать на 50% по сравнению с расстояниями, указанными в </w:t>
      </w:r>
      <w:hyperlink w:history="0" w:anchor="P818" w:tooltip="Таблица 6">
        <w:r>
          <w:rPr>
            <w:sz w:val="24"/>
            <w:color w:val="0000ff"/>
          </w:rPr>
          <w:t xml:space="preserve">таблице 6</w:t>
        </w:r>
      </w:hyperlink>
      <w:r>
        <w:rPr>
          <w:sz w:val="24"/>
        </w:rPr>
        <w:t xml:space="preserve"> настоящего свода правил, и определять от ограждения указанных резервуаров. Расстояния между резервуарами СПГ в кожухе должны быть не менее двух диаметров наибольшего (в диаметре) резервуара.</w:t>
      </w:r>
    </w:p>
    <w:p>
      <w:pPr>
        <w:pStyle w:val="0"/>
        <w:spacing w:before="240" w:lineRule="auto"/>
        <w:ind w:firstLine="540"/>
        <w:jc w:val="both"/>
      </w:pPr>
      <w:r>
        <w:rPr>
          <w:sz w:val="24"/>
        </w:rPr>
        <w:t xml:space="preserve">Ж.5. Каждый резервуар СПГ в кожухе должен устанавливаться в замкнутом ограждении, отвечающем требованиям нормативных документов к ограждениям наземных (надземных) резервуаров для хранения СУГ. При этом следует обеспечить:</w:t>
      </w:r>
    </w:p>
    <w:p>
      <w:pPr>
        <w:pStyle w:val="0"/>
        <w:spacing w:before="240" w:lineRule="auto"/>
        <w:ind w:firstLine="540"/>
        <w:jc w:val="both"/>
      </w:pPr>
      <w:r>
        <w:rPr>
          <w:sz w:val="24"/>
        </w:rPr>
        <w:t xml:space="preserve">применение материалов, сохраняющих функциональное назначение замкнутого ограждения в условиях воздействия на них СПГ;</w:t>
      </w:r>
    </w:p>
    <w:p>
      <w:pPr>
        <w:pStyle w:val="0"/>
        <w:spacing w:before="240" w:lineRule="auto"/>
        <w:ind w:firstLine="540"/>
        <w:jc w:val="both"/>
      </w:pPr>
      <w:r>
        <w:rPr>
          <w:sz w:val="24"/>
        </w:rPr>
        <w:t xml:space="preserve">недопущение устройства дренажа атмосферных осадков из объема замкнутого ограждения посредством самотека;</w:t>
      </w:r>
    </w:p>
    <w:p>
      <w:pPr>
        <w:pStyle w:val="0"/>
        <w:spacing w:before="240" w:lineRule="auto"/>
        <w:ind w:firstLine="540"/>
        <w:jc w:val="both"/>
      </w:pPr>
      <w:r>
        <w:rPr>
          <w:sz w:val="24"/>
        </w:rPr>
        <w:t xml:space="preserve">недопущение установки оборудования, не относящегося к резервуару СПГ внутри замкнутого ограждения, за исключением насосного оборудования и испарителей подъема давления в резервуаре;</w:t>
      </w:r>
    </w:p>
    <w:p>
      <w:pPr>
        <w:pStyle w:val="0"/>
        <w:jc w:val="both"/>
      </w:pPr>
      <w:r>
        <w:rPr>
          <w:sz w:val="24"/>
        </w:rPr>
        <w:t xml:space="preserve">(в ред. </w:t>
      </w:r>
      <w:hyperlink w:history="0" r:id="rId14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обеспечение дистанционного (из операторной или другого безопасного места) перекрытия первой от резервуара запорной арматуры на подводящих и отводящих к нему трубопроводов СПГ и его паров посредством запорной арматуры, расположенной в пределах замкнутого ограждения резервуара;</w:t>
      </w:r>
    </w:p>
    <w:p>
      <w:pPr>
        <w:pStyle w:val="0"/>
        <w:spacing w:before="240" w:lineRule="auto"/>
        <w:ind w:firstLine="540"/>
        <w:jc w:val="both"/>
      </w:pPr>
      <w:r>
        <w:rPr>
          <w:sz w:val="24"/>
        </w:rPr>
        <w:t xml:space="preserve">установку внутри замкнутого ограждения сигнализаторов довзрывоопасных концентраций в соответствии с требованиями </w:t>
      </w:r>
      <w:hyperlink w:history="0" w:anchor="P1268" w:tooltip="8.40. Технологические колодцы с оборудованием СУГ и СПГ, шахты (с наличием свободного пространства) резервуаров СУГ, приямки с оборудованием с КПГ и/или СПГ, площадки для АЦ СУГ и АЦ СПГ, заправочные островки, на которых транспортные средства могут заправляться СУГ или СПГ, а также сооружения, в которых обращаются КВ, КПГ, СПГ и СУГ, имеющие вертикальные ограждающие конструкции с отношением площади отверстий к полной площади преграды более 50%, должны быть оборудованы сигнализаторами довзрывоопасных конц...">
        <w:r>
          <w:rPr>
            <w:sz w:val="24"/>
            <w:color w:val="0000ff"/>
          </w:rPr>
          <w:t xml:space="preserve">пункта 8.40</w:t>
        </w:r>
      </w:hyperlink>
      <w:r>
        <w:rPr>
          <w:sz w:val="24"/>
        </w:rPr>
        <w:t xml:space="preserve"> настоящего свода правил, при срабатывании которых должны быть обеспечены автоматическая подача сигнала в операторную АЗС и автоматическое прекращение операции наполнения резервуара СПГ;</w:t>
      </w:r>
    </w:p>
    <w:p>
      <w:pPr>
        <w:pStyle w:val="0"/>
        <w:spacing w:before="240" w:lineRule="auto"/>
        <w:ind w:firstLine="540"/>
        <w:jc w:val="both"/>
      </w:pPr>
      <w:r>
        <w:rPr>
          <w:sz w:val="24"/>
        </w:rPr>
        <w:t xml:space="preserve">обеспечение визуального контроля (допускается посредством видеонаблюдения) за проведением операций хранения и наполнения резервуара СПГ из операторной АЗС.</w:t>
      </w:r>
    </w:p>
    <w:p>
      <w:pPr>
        <w:pStyle w:val="0"/>
        <w:spacing w:before="240" w:lineRule="auto"/>
        <w:ind w:firstLine="540"/>
        <w:jc w:val="both"/>
      </w:pPr>
      <w:r>
        <w:rPr>
          <w:sz w:val="24"/>
        </w:rPr>
        <w:t xml:space="preserve">Допускается разделение замкнутого ограждения на отдельные секции, при этом система контроля и обнаружения утечки должна обнаруживать утечки в любой из секций.</w:t>
      </w:r>
    </w:p>
    <w:p>
      <w:pPr>
        <w:pStyle w:val="0"/>
        <w:jc w:val="both"/>
      </w:pPr>
      <w:r>
        <w:rPr>
          <w:sz w:val="24"/>
        </w:rPr>
        <w:t xml:space="preserve">(абзац введен </w:t>
      </w:r>
      <w:hyperlink w:history="0" r:id="rId14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Ж.6. Прокладка трубопроводов с СПГ и его парами по территории КриоАЗС, на которой предусматривается присутствие водителей, допускается только для подключения топливораздаточных колонок. При этом указанные трубопроводы должны прокладываться только в зоне заправочных островков</w:t>
      </w:r>
    </w:p>
    <w:p>
      <w:pPr>
        <w:pStyle w:val="0"/>
        <w:jc w:val="both"/>
      </w:pPr>
      <w:r>
        <w:rPr>
          <w:sz w:val="24"/>
        </w:rPr>
        <w:t xml:space="preserve">(п. Ж.6 в ред. </w:t>
      </w:r>
      <w:hyperlink w:history="0" r:id="rId14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Ж.7. На КриоАЗС с резервуарами СПГ в кожухе допускается не предусматривать:</w:t>
      </w:r>
    </w:p>
    <w:p>
      <w:pPr>
        <w:pStyle w:val="0"/>
        <w:spacing w:before="240" w:lineRule="auto"/>
        <w:ind w:firstLine="540"/>
        <w:jc w:val="both"/>
      </w:pPr>
      <w:r>
        <w:rPr>
          <w:sz w:val="24"/>
        </w:rPr>
        <w:t xml:space="preserve">выполнение требований по </w:t>
      </w:r>
      <w:hyperlink w:history="0" w:anchor="P1228" w:tooltip="8.32. Технологическая система должна обеспечивать возможность безопасного перекрытия утечки СПГ из резервуаров для хранения СПГ, а также СУГ и его паров из резервуаров для хранения СУГ, предотвращающего выход за территорию АЗС газопаровоздушных смесей с концентрацией указанных паров более 20% от НКПР с частотой выше одной миллионной в год.">
        <w:r>
          <w:rPr>
            <w:sz w:val="24"/>
            <w:color w:val="0000ff"/>
          </w:rPr>
          <w:t xml:space="preserve">пункту 8.32</w:t>
        </w:r>
      </w:hyperlink>
      <w:r>
        <w:rPr>
          <w:sz w:val="24"/>
        </w:rPr>
        <w:t xml:space="preserve"> настоящего свода правил;</w:t>
      </w:r>
    </w:p>
    <w:p>
      <w:pPr>
        <w:pStyle w:val="0"/>
        <w:spacing w:before="240" w:lineRule="auto"/>
        <w:ind w:firstLine="540"/>
        <w:jc w:val="both"/>
      </w:pPr>
      <w:r>
        <w:rPr>
          <w:sz w:val="24"/>
        </w:rPr>
        <w:t xml:space="preserve">защиту сбросной трубы паров СПГ от воздействия пожара по </w:t>
      </w:r>
      <w:hyperlink w:history="0" w:anchor="P1279" w:tooltip="8.42. Сбросные трубы паров СУГ и СПГ должны быть защищены от воздействия пожара (теплоизоляция, водяное орошение и т.п.) таким образом, чтобы обеспечить их функционирование в течение времени, необходимого для прибытия и развертывания передвижной пожарной техники, или времени сброса СУГ и СПГ через сбросные трубы.">
        <w:r>
          <w:rPr>
            <w:sz w:val="24"/>
            <w:color w:val="0000ff"/>
          </w:rPr>
          <w:t xml:space="preserve">пункту 8.42</w:t>
        </w:r>
      </w:hyperlink>
      <w:r>
        <w:rPr>
          <w:sz w:val="24"/>
        </w:rPr>
        <w:t xml:space="preserve"> настоящего свода правил;</w:t>
      </w:r>
    </w:p>
    <w:p>
      <w:pPr>
        <w:pStyle w:val="0"/>
        <w:spacing w:before="240" w:lineRule="auto"/>
        <w:ind w:firstLine="540"/>
        <w:jc w:val="both"/>
      </w:pPr>
      <w:r>
        <w:rPr>
          <w:sz w:val="24"/>
        </w:rPr>
        <w:t xml:space="preserve">стационарные системы водяного орошения технологического оборудования СПГ по </w:t>
      </w:r>
      <w:hyperlink w:history="0" w:anchor="P1305" w:tooltip="8.50. Для обеспечения охлаждения надземного (наземного) оборудования с СУГ на складской площадке, а также резервуаров хранения СПГ, транспортных емкостей (сосудов) АЦ СУГ и АЦ СПГ, которые не отвечают требованиям пункта 6.6 настоящего свода правил, следует предусматривать устройство стационарных систем водяного орошения, обеспечивающих подачу воды на поверхности указанного оборудования в случае пожара.">
        <w:r>
          <w:rPr>
            <w:sz w:val="24"/>
            <w:color w:val="0000ff"/>
          </w:rPr>
          <w:t xml:space="preserve">пункту 8.50</w:t>
        </w:r>
      </w:hyperlink>
      <w:r>
        <w:rPr>
          <w:sz w:val="24"/>
        </w:rPr>
        <w:t xml:space="preserve"> настоящего свода правил (за исключением резервуаров хранения СПГ, которые не отвечают требованиям </w:t>
      </w:r>
      <w:hyperlink w:history="0" w:anchor="P203"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
        <w:r>
          <w:rPr>
            <w:sz w:val="24"/>
            <w:color w:val="0000ff"/>
          </w:rPr>
          <w:t xml:space="preserve">пункта 6.6</w:t>
        </w:r>
      </w:hyperlink>
      <w:r>
        <w:rPr>
          <w:sz w:val="24"/>
        </w:rPr>
        <w:t xml:space="preserve"> настоящего свода правил);</w:t>
      </w:r>
    </w:p>
    <w:p>
      <w:pPr>
        <w:pStyle w:val="0"/>
        <w:spacing w:before="240" w:lineRule="auto"/>
        <w:ind w:firstLine="540"/>
        <w:jc w:val="both"/>
      </w:pPr>
      <w:r>
        <w:rPr>
          <w:sz w:val="24"/>
        </w:rPr>
        <w:t xml:space="preserve">противопожарный водопровод высокого давления (за исключением КриоАЗС с резервуарами хранения СПГ, которые не отвечают требованиям </w:t>
      </w:r>
      <w:hyperlink w:history="0" w:anchor="P203"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
        <w:r>
          <w:rPr>
            <w:sz w:val="24"/>
            <w:color w:val="0000ff"/>
          </w:rPr>
          <w:t xml:space="preserve">пункта 6.6</w:t>
        </w:r>
      </w:hyperlink>
      <w:r>
        <w:rPr>
          <w:sz w:val="24"/>
        </w:rPr>
        <w:t xml:space="preserve"> настоящего свода правил).</w:t>
      </w:r>
    </w:p>
    <w:p>
      <w:pPr>
        <w:pStyle w:val="0"/>
        <w:spacing w:before="240" w:lineRule="auto"/>
        <w:ind w:firstLine="540"/>
        <w:jc w:val="both"/>
      </w:pPr>
      <w:r>
        <w:rPr>
          <w:sz w:val="24"/>
        </w:rPr>
        <w:t xml:space="preserve">Ж.8. Подачу воды на наружное пожаротушение и охлаждение допускается осуществлять передвижной пожарной техникой от противопожарных водоемов или резервуаров вместимостью, определяемой расчетом, исходя из интенсивностей, времени тушения и охлаждения по </w:t>
      </w:r>
      <w:hyperlink w:history="0" w:anchor="P1308" w:tooltip="8.52. Расход воды на наружное пожаротушение многотопливной АЗС, АГЗС и КриоАЗС определяется расчетом как суммарный расход воды, включающий в себя максимальное из значений расхода на пожаротушение зданий и общий расход воды на охлаждение наземно (надземно) расположенного оборудования с СУГ, СПГ и КПГ (за исключением двустенных резервуаров СУГ и двухоболочечных резервуаров СПГ, включая транспортные емкости АЦ, отвечающих требованиям пункта 6.6 настоящего свода правил). При определении общего расхода воды н...">
        <w:r>
          <w:rPr>
            <w:sz w:val="24"/>
            <w:color w:val="0000ff"/>
          </w:rPr>
          <w:t xml:space="preserve">пункту 8.52</w:t>
        </w:r>
      </w:hyperlink>
      <w:r>
        <w:rPr>
          <w:sz w:val="24"/>
        </w:rPr>
        <w:t xml:space="preserve"> настоящего свода правил, но не менее 200 м3.</w:t>
      </w:r>
    </w:p>
    <w:p>
      <w:pPr>
        <w:pStyle w:val="0"/>
        <w:spacing w:before="240" w:lineRule="auto"/>
        <w:ind w:firstLine="540"/>
        <w:jc w:val="both"/>
      </w:pPr>
      <w:r>
        <w:rPr>
          <w:sz w:val="24"/>
        </w:rPr>
        <w:t xml:space="preserve">Противопожарные водоемы или резервуары должны располагаться на расстоянии не более 200 м от АЗС.</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З</w:t>
      </w:r>
    </w:p>
    <w:p>
      <w:pPr>
        <w:pStyle w:val="0"/>
        <w:jc w:val="both"/>
      </w:pPr>
      <w:r>
        <w:rPr>
          <w:sz w:val="24"/>
        </w:rPr>
      </w:r>
    </w:p>
    <w:bookmarkStart w:id="1891" w:name="P1891"/>
    <w:bookmarkEnd w:id="1891"/>
    <w:p>
      <w:pPr>
        <w:pStyle w:val="2"/>
        <w:jc w:val="center"/>
      </w:pPr>
      <w:r>
        <w:rPr>
          <w:sz w:val="24"/>
        </w:rPr>
        <w:t xml:space="preserve">СПЕЦИФИЧЕСКИЕ ТРЕБОВАНИЯ</w:t>
      </w:r>
    </w:p>
    <w:p>
      <w:pPr>
        <w:pStyle w:val="2"/>
        <w:jc w:val="center"/>
      </w:pPr>
      <w:r>
        <w:rPr>
          <w:sz w:val="24"/>
        </w:rPr>
        <w:t xml:space="preserve">К ПЕРЕДВИЖНЫМ АВТОМОБИЛЬНЫМ КРИОАЗС, ГАЗОНАПОЛНИТЕЛЬНЫМ</w:t>
      </w:r>
    </w:p>
    <w:p>
      <w:pPr>
        <w:pStyle w:val="2"/>
        <w:jc w:val="center"/>
      </w:pPr>
      <w:r>
        <w:rPr>
          <w:sz w:val="24"/>
        </w:rPr>
        <w:t xml:space="preserve">И ГАЗОЗАПРАВОЧНЫМ СТАНЦИЯМ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4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З.1. Размещение и оснащение площадок передвижных автомобильных КриоАЗС, газонаполнительных и газозаправочных станций должно отвечать требованиям, предъявляемым к размещению и оснащению площадок стационарных автомобильных КриоАЗС, газонаполнительных компрессорных и газозаправочных станций соответственно.</w:t>
      </w:r>
    </w:p>
    <w:p>
      <w:pPr>
        <w:pStyle w:val="0"/>
        <w:spacing w:before="240" w:lineRule="auto"/>
        <w:ind w:firstLine="540"/>
        <w:jc w:val="both"/>
      </w:pPr>
      <w:r>
        <w:rPr>
          <w:sz w:val="24"/>
        </w:rPr>
        <w:t xml:space="preserve">З.2. Расстояние от сосудов передвижной автомобильной газонаполнительной станции, резервуара передвижной автомобильной КриоАЗС или газозаправочной станции до раздаточных колонок не нормируется в случае, если ее технологическая система отвечает следующим требованиям:</w:t>
      </w:r>
    </w:p>
    <w:p>
      <w:pPr>
        <w:pStyle w:val="0"/>
        <w:spacing w:before="240" w:lineRule="auto"/>
        <w:ind w:firstLine="540"/>
        <w:jc w:val="both"/>
      </w:pPr>
      <w:r>
        <w:rPr>
          <w:sz w:val="24"/>
        </w:rPr>
        <w:t xml:space="preserve">резервуар (сосуды) хранения газового топлива должен быть защищен от разгерметизации вследствие воздействия на него опасных факторов пожара транспортного средства с учетом возможного разрушения баллонов (сосудов) его топливной системы;</w:t>
      </w:r>
    </w:p>
    <w:p>
      <w:pPr>
        <w:pStyle w:val="0"/>
        <w:spacing w:before="240" w:lineRule="auto"/>
        <w:ind w:firstLine="540"/>
        <w:jc w:val="both"/>
      </w:pPr>
      <w:r>
        <w:rPr>
          <w:sz w:val="24"/>
        </w:rPr>
        <w:t xml:space="preserve">резервуар СПГ передвижной автомобильной КриоАЗС должен отвечать требованиям к двухоболочечному резервуару СПГ;</w:t>
      </w:r>
    </w:p>
    <w:p>
      <w:pPr>
        <w:pStyle w:val="0"/>
        <w:spacing w:before="240" w:lineRule="auto"/>
        <w:ind w:firstLine="540"/>
        <w:jc w:val="both"/>
      </w:pPr>
      <w:r>
        <w:rPr>
          <w:sz w:val="24"/>
        </w:rPr>
        <w:t xml:space="preserve">уплотнения в разъемных соединениях, расположенных между резервуаром передвижной автомобильной газозаправочной станции и первой запорной арматурой, обеспечивающей перекрытие места выхода СУГ и его паров из указанного резервуара в окружающее пространство, должны быть дублированы. Эти соединения должны быть оснащены системой постоянного автоматического контроля герметичности пространства между дублирующими друг друга уплотнениями, обеспечивающей при его разгерметизации автоматические сигнализацию персоналу АГЗС, перекрытие отходящих от резервуара трубопроводов, отключение насосов СУГ и раздаточных колонок;</w:t>
      </w:r>
    </w:p>
    <w:p>
      <w:pPr>
        <w:pStyle w:val="0"/>
        <w:spacing w:before="240" w:lineRule="auto"/>
        <w:ind w:firstLine="540"/>
        <w:jc w:val="both"/>
      </w:pPr>
      <w:r>
        <w:rPr>
          <w:sz w:val="24"/>
        </w:rPr>
        <w:t xml:space="preserve">резервуар передвижной автомобильной газозаправочной станции или КриоАЗС должен быть оснащен устройствами, автоматически предотвращающими выход из него сжиженного газа и его паров через трубопроводы выдачи и возврата паровой фазы при аварийных расходах газа по указанным трубопроводам;</w:t>
      </w:r>
    </w:p>
    <w:p>
      <w:pPr>
        <w:pStyle w:val="0"/>
        <w:spacing w:before="240" w:lineRule="auto"/>
        <w:ind w:firstLine="540"/>
        <w:jc w:val="both"/>
      </w:pPr>
      <w:r>
        <w:rPr>
          <w:sz w:val="24"/>
        </w:rPr>
        <w:t xml:space="preserve">резервуар передвижной автомобильной газозаправочной станции или КриоАЗС, технологическая система которой выполнена на базе автомобиля-цистерны, должен быть оснащен устройствами, обеспечивающими при включении двигателя автомобиля-тягача автоматическое прекращение поступления сжиженного газа из резервуара и возврата газа в резервуар с перекрытием соответствующих отходящих водящих и подводящих к резервуару трубопроводов;</w:t>
      </w:r>
    </w:p>
    <w:p>
      <w:pPr>
        <w:pStyle w:val="0"/>
        <w:spacing w:before="240" w:lineRule="auto"/>
        <w:ind w:firstLine="540"/>
        <w:jc w:val="both"/>
      </w:pPr>
      <w:r>
        <w:rPr>
          <w:sz w:val="24"/>
        </w:rPr>
        <w:t xml:space="preserve">технологическая система передвижной газонаполнительной станции или КриоАЗС должна обеспечивать возможность дистанционного (из безопасного места) отключения раздаточных колонок и насосов перекачивания, перекрытия отходящих от резервуара трубопроводов СУГ, СПГ и их паров, сброса избыточного давления природного газа из отключенного от резервуара СПГ и сосудов КПГ оборудования технологической системы на сбросные трубы.</w:t>
      </w:r>
    </w:p>
    <w:p>
      <w:pPr>
        <w:pStyle w:val="0"/>
        <w:spacing w:before="240" w:lineRule="auto"/>
        <w:ind w:firstLine="540"/>
        <w:jc w:val="both"/>
      </w:pPr>
      <w:r>
        <w:rPr>
          <w:sz w:val="24"/>
        </w:rPr>
        <w:t xml:space="preserve">При этом конструкции передвижных автомобильных КриоАЗС, газонаполнительных и газозаправочных станций или способ их установки на площадках должны исключать возможность наезда транспортных средств на технологические системы указанных АЗС.</w:t>
      </w:r>
    </w:p>
    <w:p>
      <w:pPr>
        <w:pStyle w:val="0"/>
        <w:spacing w:before="240" w:lineRule="auto"/>
        <w:ind w:firstLine="540"/>
        <w:jc w:val="both"/>
      </w:pPr>
      <w:r>
        <w:rPr>
          <w:sz w:val="24"/>
        </w:rPr>
        <w:t xml:space="preserve">З.3. Установка защитного экрана у резервуара СУГ или СПГ допускается не более чем с одной стороны. При этом между экраном и резервуаром на высоте от 50 до 100 мм от поверхности площадки передвижной АЗС следует устанавливать датчики сигнализаторов довзрывоопасных концентраций, обеспечивающие при достижении концентрации паров газового топлива величины, превышающей 20% от НКПР, автоматические сигнализацию персоналу станции, перекрытие отходящих от резервуара трубопроводов, отключение насосов сжиженного газа и раздаточных колонок. Защитный экран следует располагать параллельно преобладающему направлению ветров (по годовой "розе ветров").</w:t>
      </w:r>
    </w:p>
    <w:p>
      <w:pPr>
        <w:pStyle w:val="0"/>
        <w:spacing w:before="240" w:lineRule="auto"/>
        <w:ind w:firstLine="540"/>
        <w:jc w:val="both"/>
      </w:pPr>
      <w:r>
        <w:rPr>
          <w:sz w:val="24"/>
        </w:rPr>
        <w:t xml:space="preserve">З.4. Транспортные средства передвижных автомобильных КриоАЗС, газонаполнительных и газозаправочных станций должны отвечать требованиям </w:t>
      </w:r>
      <w:hyperlink w:history="0" w:anchor="P2096" w:tooltip="[2]">
        <w:r>
          <w:rPr>
            <w:sz w:val="24"/>
            <w:color w:val="0000ff"/>
          </w:rPr>
          <w:t xml:space="preserve">[2]</w:t>
        </w:r>
      </w:hyperlink>
      <w:r>
        <w:rPr>
          <w:sz w:val="24"/>
        </w:rPr>
        <w:t xml:space="preserve">.</w:t>
      </w:r>
    </w:p>
    <w:p>
      <w:pPr>
        <w:pStyle w:val="0"/>
        <w:jc w:val="both"/>
      </w:pPr>
      <w:r>
        <w:rPr>
          <w:sz w:val="24"/>
        </w:rPr>
        <w:t xml:space="preserve">(п. З.4 в ред. </w:t>
      </w:r>
      <w:hyperlink w:history="0" r:id="rId15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З.5. Наполнение топливом резервуаров (сосудов) блоков хранения топлива технологической системы передвижной АЗС непосредственно на территории этой АЗС не допускается.</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И</w:t>
      </w:r>
    </w:p>
    <w:p>
      <w:pPr>
        <w:pStyle w:val="0"/>
        <w:jc w:val="center"/>
      </w:pPr>
      <w:r>
        <w:rPr>
          <w:sz w:val="24"/>
        </w:rPr>
      </w:r>
    </w:p>
    <w:bookmarkStart w:id="1917" w:name="P1917"/>
    <w:bookmarkEnd w:id="1917"/>
    <w:p>
      <w:pPr>
        <w:pStyle w:val="2"/>
        <w:jc w:val="center"/>
      </w:pPr>
      <w:r>
        <w:rPr>
          <w:sz w:val="24"/>
        </w:rPr>
        <w:t xml:space="preserve">СПЕЦИФИЧЕСКИЕ ТРЕБОВАНИЯ</w:t>
      </w:r>
    </w:p>
    <w:p>
      <w:pPr>
        <w:pStyle w:val="2"/>
        <w:jc w:val="center"/>
      </w:pPr>
      <w:r>
        <w:rPr>
          <w:sz w:val="24"/>
        </w:rPr>
        <w:t xml:space="preserve">К ПЕРЕДВИЖНЫМ АВТОМОБИЛЬНЫМ ГАЗОНАПОЛНИТЕЛЬНЫМ</w:t>
      </w:r>
    </w:p>
    <w:p>
      <w:pPr>
        <w:pStyle w:val="2"/>
        <w:jc w:val="center"/>
      </w:pPr>
      <w:r>
        <w:rPr>
          <w:sz w:val="24"/>
        </w:rPr>
        <w:t xml:space="preserve">СТАНЦИЯМ ВОДОРОДА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151"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w:t>
              </w:r>
            </w:hyperlink>
            <w:r>
              <w:rPr>
                <w:sz w:val="24"/>
                <w:color w:val="392c69"/>
              </w:rPr>
              <w:t xml:space="preserve"> N 2, утв. Приказом МЧС России от 21.06.2024 N 505)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И.1 Общая вместимость пожарных резервуаров и/или водоемов для передвижных АГНСВ должна определяться расчетом, но составлять не менее 100 м</w:t>
      </w:r>
      <w:r>
        <w:rPr>
          <w:sz w:val="24"/>
          <w:vertAlign w:val="superscript"/>
        </w:rPr>
        <w:t xml:space="preserve">3</w:t>
      </w:r>
      <w:r>
        <w:rPr>
          <w:sz w:val="24"/>
        </w:rPr>
        <w:t xml:space="preserve">.</w:t>
      </w:r>
    </w:p>
    <w:p>
      <w:pPr>
        <w:pStyle w:val="0"/>
        <w:spacing w:before="240" w:lineRule="auto"/>
        <w:ind w:firstLine="540"/>
        <w:jc w:val="both"/>
      </w:pPr>
      <w:r>
        <w:rPr>
          <w:sz w:val="24"/>
        </w:rPr>
        <w:t xml:space="preserve">Расход воды на наружное пожаротушение определяется расчетом как суммарный расход воды, включающий в себя максимальное из значений расхода воды на пожаротушение зданий и общий расход воды на охлаждение сосудов АГНСВ.</w:t>
      </w:r>
    </w:p>
    <w:p>
      <w:pPr>
        <w:pStyle w:val="0"/>
        <w:spacing w:before="240" w:lineRule="auto"/>
        <w:ind w:firstLine="540"/>
        <w:jc w:val="both"/>
      </w:pPr>
      <w:r>
        <w:rPr>
          <w:sz w:val="24"/>
        </w:rPr>
        <w:t xml:space="preserve">Расход воды на пожаротушение зданий для персонала АЗС определяется как для общественных зданий.</w:t>
      </w:r>
    </w:p>
    <w:p>
      <w:pPr>
        <w:pStyle w:val="0"/>
        <w:spacing w:before="240" w:lineRule="auto"/>
        <w:ind w:firstLine="540"/>
        <w:jc w:val="both"/>
      </w:pPr>
      <w:r>
        <w:rPr>
          <w:sz w:val="24"/>
        </w:rPr>
        <w:t xml:space="preserve">Общий расход воды на охлаждение надземных сосудов следует принимать не менее 15 л/с.</w:t>
      </w:r>
    </w:p>
    <w:p>
      <w:pPr>
        <w:pStyle w:val="0"/>
        <w:spacing w:before="240" w:lineRule="auto"/>
        <w:ind w:firstLine="540"/>
        <w:jc w:val="both"/>
      </w:pPr>
      <w:r>
        <w:rPr>
          <w:sz w:val="24"/>
        </w:rPr>
        <w:t xml:space="preserve">Продолжительность работы установки охлаждения надземных сосудов принять не менее продолжительности тушения зданий для персонала АЗС.</w:t>
      </w:r>
    </w:p>
    <w:bookmarkStart w:id="1928" w:name="P1928"/>
    <w:bookmarkEnd w:id="1928"/>
    <w:p>
      <w:pPr>
        <w:pStyle w:val="0"/>
        <w:spacing w:before="240" w:lineRule="auto"/>
        <w:ind w:firstLine="540"/>
        <w:jc w:val="both"/>
      </w:pPr>
      <w:r>
        <w:rPr>
          <w:sz w:val="24"/>
        </w:rPr>
        <w:t xml:space="preserve">И.2 Наружное противопожарное водоснабжение АГНСВ, размещенных вне населенных пунктов, допускается предусматривать от пожарных водоемов (резервуаров) общей вместимостью не менее 3 м</w:t>
      </w:r>
      <w:r>
        <w:rPr>
          <w:sz w:val="24"/>
          <w:vertAlign w:val="superscript"/>
        </w:rPr>
        <w:t xml:space="preserve">3</w:t>
      </w:r>
      <w:r>
        <w:rPr>
          <w:sz w:val="24"/>
        </w:rPr>
        <w:t xml:space="preserve"> в случае, если пожарные водоемы (резервуары) расположены на расстоянии не более 200 м от АЗС.</w:t>
      </w:r>
    </w:p>
    <w:p>
      <w:pPr>
        <w:pStyle w:val="0"/>
        <w:spacing w:before="240" w:lineRule="auto"/>
        <w:ind w:firstLine="540"/>
        <w:jc w:val="both"/>
      </w:pPr>
      <w:r>
        <w:rPr>
          <w:sz w:val="24"/>
        </w:rPr>
        <w:t xml:space="preserve">На таких АЗС необходимо предусматривать огнетушители, покрывала для изоляции очага возгорания, тип (размер) и количество которых определяются в соответствии с [4], предъявляемыми к АЗС с заправочными островками для грузовых транспортных средств, а также площадки высадки (посадки) пассажиров за территорией АЗС (присутствие пассажиров на территории таких АЗС не допускается).</w:t>
      </w:r>
    </w:p>
    <w:p>
      <w:pPr>
        <w:pStyle w:val="0"/>
        <w:spacing w:before="240" w:lineRule="auto"/>
        <w:ind w:firstLine="540"/>
        <w:jc w:val="both"/>
      </w:pPr>
      <w:r>
        <w:rPr>
          <w:sz w:val="24"/>
        </w:rPr>
        <w:t xml:space="preserve">И.3 Территория площадки зданий, сооружений и оборудования для хранения и выдачи КВ должны иметь ограждения, которые обозначают территорию, закрытую для посторонних лиц, и выполнены из негорючих материалов, не препятствующих свободному проветриванию.</w:t>
      </w:r>
    </w:p>
    <w:bookmarkStart w:id="1931" w:name="P1931"/>
    <w:bookmarkEnd w:id="1931"/>
    <w:p>
      <w:pPr>
        <w:pStyle w:val="0"/>
        <w:spacing w:before="240" w:lineRule="auto"/>
        <w:ind w:firstLine="540"/>
        <w:jc w:val="both"/>
      </w:pPr>
      <w:r>
        <w:rPr>
          <w:sz w:val="24"/>
        </w:rPr>
        <w:t xml:space="preserve">И.4 Нахождение лиц, не относящихся к персоналу АГНСВ и водителям транспортных средств, на заправочных островках на территории АЗС не допускается. Площадки высадки и посадки пассажиров, а также площадки подпора следует размещать вне территории АЗС.</w:t>
      </w:r>
    </w:p>
    <w:p>
      <w:pPr>
        <w:pStyle w:val="0"/>
        <w:spacing w:before="240" w:lineRule="auto"/>
        <w:ind w:firstLine="540"/>
        <w:jc w:val="both"/>
      </w:pPr>
      <w:r>
        <w:rPr>
          <w:sz w:val="24"/>
        </w:rPr>
        <w:t xml:space="preserve">Перемещение пассажиров от площадки высадки к площадке посадки через территорию АЗС не допускается.</w:t>
      </w:r>
    </w:p>
    <w:bookmarkStart w:id="1933" w:name="P1933"/>
    <w:bookmarkEnd w:id="1933"/>
    <w:p>
      <w:pPr>
        <w:pStyle w:val="0"/>
        <w:spacing w:before="240" w:lineRule="auto"/>
        <w:ind w:firstLine="540"/>
        <w:jc w:val="both"/>
      </w:pPr>
      <w:r>
        <w:rPr>
          <w:sz w:val="24"/>
        </w:rPr>
        <w:t xml:space="preserve">И.5 Минимальные расстояния от АГНСВ до объектов, к ним не относящихся, принимаются в соответствии с таблицей И.1.</w:t>
      </w:r>
    </w:p>
    <w:p>
      <w:pPr>
        <w:pStyle w:val="0"/>
        <w:ind w:firstLine="540"/>
        <w:jc w:val="both"/>
      </w:pPr>
      <w:r>
        <w:rPr>
          <w:sz w:val="24"/>
        </w:rPr>
      </w:r>
    </w:p>
    <w:bookmarkStart w:id="1935" w:name="P1935"/>
    <w:bookmarkEnd w:id="1935"/>
    <w:p>
      <w:pPr>
        <w:pStyle w:val="2"/>
        <w:outlineLvl w:val="2"/>
        <w:jc w:val="both"/>
      </w:pPr>
      <w:r>
        <w:rPr>
          <w:sz w:val="24"/>
        </w:rPr>
        <w:t xml:space="preserve">Таблица И.1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0"/>
        <w:gridCol w:w="2822"/>
      </w:tblGrid>
      <w:tr>
        <w:tc>
          <w:tcPr>
            <w:tcW w:w="6240" w:type="dxa"/>
          </w:tcPr>
          <w:p>
            <w:pPr>
              <w:pStyle w:val="0"/>
              <w:jc w:val="center"/>
            </w:pPr>
            <w:r>
              <w:rPr>
                <w:sz w:val="24"/>
              </w:rPr>
              <w:t xml:space="preserve">Наименование объекта, до которого определяется расстояние</w:t>
            </w:r>
          </w:p>
        </w:tc>
        <w:tc>
          <w:tcPr>
            <w:tcW w:w="2822" w:type="dxa"/>
          </w:tcPr>
          <w:p>
            <w:pPr>
              <w:pStyle w:val="0"/>
              <w:jc w:val="center"/>
            </w:pPr>
            <w:r>
              <w:rPr>
                <w:sz w:val="24"/>
              </w:rPr>
              <w:t xml:space="preserve">Расстояние от оборудования технологической системы АГНСВ, в котором обращается водород, м</w:t>
            </w:r>
          </w:p>
        </w:tc>
      </w:tr>
      <w:tr>
        <w:tc>
          <w:tcPr>
            <w:tcW w:w="6240" w:type="dxa"/>
            <w:vAlign w:val="bottom"/>
          </w:tcPr>
          <w:bookmarkStart w:id="1939" w:name="P1939"/>
          <w:bookmarkEnd w:id="1939"/>
          <w:p>
            <w:pPr>
              <w:pStyle w:val="0"/>
              <w:jc w:val="both"/>
            </w:pPr>
            <w:r>
              <w:rPr>
                <w:sz w:val="24"/>
              </w:rPr>
              <w:t xml:space="preserve">1 Производственные и складские здания и сооружения промышленных предприятий (за исключением указанных в </w:t>
            </w:r>
            <w:hyperlink w:history="0" w:anchor="P1965" w:tooltip="9 Наружные установки категорий АН, БН, ГН, здания и сооружения с наличием радиоактивных и вредных веществ I и II классов опасности по ГОСТ 12.1.007">
              <w:r>
                <w:rPr>
                  <w:sz w:val="24"/>
                  <w:color w:val="0000ff"/>
                </w:rPr>
                <w:t xml:space="preserve">строках 9</w:t>
              </w:r>
            </w:hyperlink>
            <w:r>
              <w:rPr>
                <w:sz w:val="24"/>
              </w:rPr>
              <w:t xml:space="preserve"> и </w:t>
            </w:r>
            <w:hyperlink w:history="0" w:anchor="P1969"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административно-бытовые здания и сооружения промышленных предприятий</w:t>
            </w:r>
          </w:p>
        </w:tc>
        <w:tc>
          <w:tcPr>
            <w:tcW w:w="2822" w:type="dxa"/>
          </w:tcPr>
          <w:p>
            <w:pPr>
              <w:pStyle w:val="0"/>
              <w:jc w:val="center"/>
            </w:pPr>
            <w:r>
              <w:rPr>
                <w:sz w:val="24"/>
              </w:rPr>
              <w:t xml:space="preserve">30</w:t>
            </w:r>
          </w:p>
        </w:tc>
      </w:tr>
      <w:tr>
        <w:tblPrEx>
          <w:tblBorders>
            <w:insideH w:val="nil"/>
          </w:tblBorders>
        </w:tblPrEx>
        <w:tc>
          <w:tcPr>
            <w:tcW w:w="6240" w:type="dxa"/>
            <w:vAlign w:val="center"/>
            <w:tcBorders>
              <w:bottom w:val="nil"/>
            </w:tcBorders>
          </w:tcPr>
          <w:p>
            <w:pPr>
              <w:pStyle w:val="0"/>
              <w:jc w:val="both"/>
            </w:pPr>
            <w:r>
              <w:rPr>
                <w:sz w:val="24"/>
              </w:rPr>
              <w:t xml:space="preserve">2 Лесные массивы:</w:t>
            </w:r>
          </w:p>
        </w:tc>
        <w:tc>
          <w:tcPr>
            <w:tcW w:w="2822" w:type="dxa"/>
            <w:tcBorders>
              <w:bottom w:val="nil"/>
            </w:tcBorders>
          </w:tcPr>
          <w:p>
            <w:pPr>
              <w:pStyle w:val="0"/>
            </w:pPr>
            <w:r>
              <w:rPr>
                <w:sz w:val="24"/>
              </w:rPr>
            </w:r>
          </w:p>
        </w:tc>
      </w:tr>
      <w:tr>
        <w:tblPrEx>
          <w:tblBorders>
            <w:insideH w:val="nil"/>
          </w:tblBorders>
        </w:tblPrEx>
        <w:tc>
          <w:tcPr>
            <w:tcW w:w="6240" w:type="dxa"/>
            <w:vAlign w:val="center"/>
            <w:tcBorders>
              <w:top w:val="nil"/>
              <w:bottom w:val="nil"/>
            </w:tcBorders>
          </w:tcPr>
          <w:p>
            <w:pPr>
              <w:pStyle w:val="0"/>
              <w:jc w:val="both"/>
            </w:pPr>
            <w:r>
              <w:rPr>
                <w:sz w:val="24"/>
              </w:rPr>
              <w:t xml:space="preserve">хвойных и смешанных пород</w:t>
            </w:r>
          </w:p>
        </w:tc>
        <w:tc>
          <w:tcPr>
            <w:tcW w:w="2822" w:type="dxa"/>
            <w:tcBorders>
              <w:top w:val="nil"/>
              <w:bottom w:val="nil"/>
            </w:tcBorders>
          </w:tcPr>
          <w:p>
            <w:pPr>
              <w:pStyle w:val="0"/>
              <w:jc w:val="center"/>
            </w:pPr>
            <w:r>
              <w:rPr>
                <w:sz w:val="24"/>
              </w:rPr>
              <w:t xml:space="preserve">35</w:t>
            </w:r>
          </w:p>
        </w:tc>
      </w:tr>
      <w:tr>
        <w:tblPrEx>
          <w:tblBorders>
            <w:insideH w:val="nil"/>
          </w:tblBorders>
        </w:tblPrEx>
        <w:tc>
          <w:tcPr>
            <w:tcW w:w="6240" w:type="dxa"/>
            <w:vAlign w:val="center"/>
            <w:tcBorders>
              <w:top w:val="nil"/>
            </w:tcBorders>
          </w:tcPr>
          <w:p>
            <w:pPr>
              <w:pStyle w:val="0"/>
              <w:jc w:val="both"/>
            </w:pPr>
            <w:r>
              <w:rPr>
                <w:sz w:val="24"/>
              </w:rPr>
              <w:t xml:space="preserve">лиственных пород</w:t>
            </w:r>
          </w:p>
        </w:tc>
        <w:tc>
          <w:tcPr>
            <w:tcW w:w="2822" w:type="dxa"/>
            <w:tcBorders>
              <w:top w:val="nil"/>
            </w:tcBorders>
          </w:tcPr>
          <w:p>
            <w:pPr>
              <w:pStyle w:val="0"/>
              <w:jc w:val="center"/>
            </w:pPr>
            <w:r>
              <w:rPr>
                <w:sz w:val="24"/>
              </w:rPr>
              <w:t xml:space="preserve">20</w:t>
            </w:r>
          </w:p>
        </w:tc>
      </w:tr>
      <w:tr>
        <w:tc>
          <w:tcPr>
            <w:tcW w:w="6240" w:type="dxa"/>
            <w:vAlign w:val="bottom"/>
          </w:tcPr>
          <w:bookmarkStart w:id="1947" w:name="P1947"/>
          <w:bookmarkEnd w:id="1947"/>
          <w:p>
            <w:pPr>
              <w:pStyle w:val="0"/>
              <w:jc w:val="both"/>
            </w:pPr>
            <w:r>
              <w:rPr>
                <w:sz w:val="24"/>
              </w:rPr>
              <w:t xml:space="preserve">3 Здания и сооружения классов функциональной пожарной опасности Ф1 - Ф4 (за исключением указанных в </w:t>
            </w:r>
            <w:hyperlink w:history="0" w:anchor="P1939"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строке 1</w:t>
              </w:r>
            </w:hyperlink>
            <w:r>
              <w:rPr>
                <w:sz w:val="24"/>
              </w:rPr>
              <w:t xml:space="preserve">)</w:t>
            </w:r>
          </w:p>
        </w:tc>
        <w:tc>
          <w:tcPr>
            <w:tcW w:w="2822" w:type="dxa"/>
          </w:tcPr>
          <w:p>
            <w:pPr>
              <w:pStyle w:val="0"/>
              <w:jc w:val="center"/>
            </w:pPr>
            <w:r>
              <w:rPr>
                <w:sz w:val="24"/>
              </w:rPr>
              <w:t xml:space="preserve">45</w:t>
            </w:r>
          </w:p>
        </w:tc>
      </w:tr>
      <w:tr>
        <w:tc>
          <w:tcPr>
            <w:tcW w:w="6240" w:type="dxa"/>
            <w:vAlign w:val="bottom"/>
          </w:tcPr>
          <w:bookmarkStart w:id="1949" w:name="P1949"/>
          <w:bookmarkEnd w:id="1949"/>
          <w:p>
            <w:pPr>
              <w:pStyle w:val="0"/>
              <w:jc w:val="both"/>
            </w:pPr>
            <w:r>
              <w:rPr>
                <w:sz w:val="24"/>
              </w:rPr>
              <w:t xml:space="preserve">4 Места массового пребывания людей</w:t>
            </w:r>
          </w:p>
        </w:tc>
        <w:tc>
          <w:tcPr>
            <w:tcW w:w="2822" w:type="dxa"/>
          </w:tcPr>
          <w:p>
            <w:pPr>
              <w:pStyle w:val="0"/>
              <w:jc w:val="center"/>
            </w:pPr>
            <w:r>
              <w:rPr>
                <w:sz w:val="24"/>
              </w:rPr>
              <w:t xml:space="preserve">45</w:t>
            </w:r>
          </w:p>
        </w:tc>
      </w:tr>
      <w:tr>
        <w:tc>
          <w:tcPr>
            <w:tcW w:w="6240" w:type="dxa"/>
            <w:vAlign w:val="bottom"/>
          </w:tcPr>
          <w:bookmarkStart w:id="1951" w:name="P1951"/>
          <w:bookmarkEnd w:id="1951"/>
          <w:p>
            <w:pPr>
              <w:pStyle w:val="0"/>
              <w:jc w:val="both"/>
            </w:pPr>
            <w:r>
              <w:rPr>
                <w:sz w:val="24"/>
              </w:rPr>
              <w:t xml:space="preserve">5 Индивидуальные гаражи и открытые стоянки для автомобилей</w:t>
            </w:r>
          </w:p>
        </w:tc>
        <w:tc>
          <w:tcPr>
            <w:tcW w:w="2822" w:type="dxa"/>
          </w:tcPr>
          <w:p>
            <w:pPr>
              <w:pStyle w:val="0"/>
              <w:jc w:val="center"/>
            </w:pPr>
            <w:r>
              <w:rPr>
                <w:sz w:val="24"/>
              </w:rPr>
              <w:t xml:space="preserve">35</w:t>
            </w:r>
          </w:p>
        </w:tc>
      </w:tr>
      <w:tr>
        <w:tc>
          <w:tcPr>
            <w:tcW w:w="6240" w:type="dxa"/>
            <w:vAlign w:val="bottom"/>
          </w:tcPr>
          <w:bookmarkStart w:id="1953" w:name="P1953"/>
          <w:bookmarkEnd w:id="1953"/>
          <w:p>
            <w:pPr>
              <w:pStyle w:val="0"/>
              <w:jc w:val="both"/>
            </w:pPr>
            <w:r>
              <w:rPr>
                <w:sz w:val="24"/>
              </w:rPr>
              <w:t xml:space="preserve">6 Автомобильные дороги общего пользования (край проезжей части):</w:t>
            </w:r>
          </w:p>
        </w:tc>
        <w:tc>
          <w:tcPr>
            <w:tcW w:w="2822" w:type="dxa"/>
          </w:tcPr>
          <w:p>
            <w:pPr>
              <w:pStyle w:val="0"/>
            </w:pPr>
            <w:r>
              <w:rPr>
                <w:sz w:val="24"/>
              </w:rPr>
            </w:r>
          </w:p>
        </w:tc>
      </w:tr>
      <w:tr>
        <w:tc>
          <w:tcPr>
            <w:tcW w:w="6240" w:type="dxa"/>
            <w:vAlign w:val="center"/>
          </w:tcPr>
          <w:p>
            <w:pPr>
              <w:pStyle w:val="0"/>
              <w:jc w:val="both"/>
            </w:pPr>
            <w:r>
              <w:rPr>
                <w:sz w:val="24"/>
              </w:rPr>
              <w:t xml:space="preserve">I, II и III категорий</w:t>
            </w:r>
          </w:p>
        </w:tc>
        <w:tc>
          <w:tcPr>
            <w:tcW w:w="2822" w:type="dxa"/>
          </w:tcPr>
          <w:p>
            <w:pPr>
              <w:pStyle w:val="0"/>
              <w:jc w:val="center"/>
            </w:pPr>
            <w:r>
              <w:rPr>
                <w:sz w:val="24"/>
              </w:rPr>
              <w:t xml:space="preserve">20</w:t>
            </w:r>
          </w:p>
        </w:tc>
      </w:tr>
      <w:tr>
        <w:tc>
          <w:tcPr>
            <w:tcW w:w="6240" w:type="dxa"/>
            <w:vAlign w:val="bottom"/>
          </w:tcPr>
          <w:p>
            <w:pPr>
              <w:pStyle w:val="0"/>
              <w:jc w:val="both"/>
            </w:pPr>
            <w:r>
              <w:rPr>
                <w:sz w:val="24"/>
              </w:rPr>
              <w:t xml:space="preserve">IV и V категорий</w:t>
            </w:r>
          </w:p>
        </w:tc>
        <w:tc>
          <w:tcPr>
            <w:tcW w:w="2822" w:type="dxa"/>
          </w:tcPr>
          <w:p>
            <w:pPr>
              <w:pStyle w:val="0"/>
              <w:jc w:val="center"/>
            </w:pPr>
            <w:r>
              <w:rPr>
                <w:sz w:val="24"/>
              </w:rPr>
              <w:t xml:space="preserve">15</w:t>
            </w:r>
          </w:p>
        </w:tc>
      </w:tr>
      <w:tr>
        <w:tc>
          <w:tcPr>
            <w:tcW w:w="6240" w:type="dxa"/>
            <w:vAlign w:val="center"/>
          </w:tcPr>
          <w:p>
            <w:pPr>
              <w:pStyle w:val="0"/>
              <w:jc w:val="both"/>
            </w:pPr>
            <w:r>
              <w:rPr>
                <w:sz w:val="24"/>
              </w:rPr>
              <w:t xml:space="preserve">Маршруты электрифицированного городского транспорта (до контактной сети)</w:t>
            </w:r>
          </w:p>
        </w:tc>
        <w:tc>
          <w:tcPr>
            <w:tcW w:w="2822" w:type="dxa"/>
          </w:tcPr>
          <w:p>
            <w:pPr>
              <w:pStyle w:val="0"/>
              <w:jc w:val="center"/>
            </w:pPr>
            <w:r>
              <w:rPr>
                <w:sz w:val="24"/>
              </w:rPr>
              <w:t xml:space="preserve">20</w:t>
            </w:r>
          </w:p>
        </w:tc>
      </w:tr>
      <w:tr>
        <w:tc>
          <w:tcPr>
            <w:tcW w:w="6240" w:type="dxa"/>
            <w:vAlign w:val="bottom"/>
          </w:tcPr>
          <w:p>
            <w:pPr>
              <w:pStyle w:val="0"/>
              <w:jc w:val="both"/>
            </w:pPr>
            <w:r>
              <w:rPr>
                <w:sz w:val="24"/>
              </w:rPr>
              <w:t xml:space="preserve">7 Железные дороги общей сети (до подошвы насыпи или бровки выемки)</w:t>
            </w:r>
          </w:p>
        </w:tc>
        <w:tc>
          <w:tcPr>
            <w:tcW w:w="2822" w:type="dxa"/>
          </w:tcPr>
          <w:p>
            <w:pPr>
              <w:pStyle w:val="0"/>
              <w:jc w:val="center"/>
            </w:pPr>
            <w:r>
              <w:rPr>
                <w:sz w:val="24"/>
              </w:rPr>
              <w:t xml:space="preserve">35</w:t>
            </w:r>
          </w:p>
        </w:tc>
      </w:tr>
      <w:tr>
        <w:tc>
          <w:tcPr>
            <w:tcW w:w="6240" w:type="dxa"/>
            <w:vAlign w:val="center"/>
          </w:tcPr>
          <w:p>
            <w:pPr>
              <w:pStyle w:val="0"/>
              <w:jc w:val="both"/>
            </w:pPr>
            <w:r>
              <w:rPr>
                <w:sz w:val="24"/>
              </w:rPr>
              <w:t xml:space="preserve">8 Очистные канализационные сооружения и насосные станции, не относящиеся к АЗС</w:t>
            </w:r>
          </w:p>
        </w:tc>
        <w:tc>
          <w:tcPr>
            <w:tcW w:w="2822" w:type="dxa"/>
          </w:tcPr>
          <w:p>
            <w:pPr>
              <w:pStyle w:val="0"/>
              <w:jc w:val="center"/>
            </w:pPr>
            <w:r>
              <w:rPr>
                <w:sz w:val="24"/>
              </w:rPr>
              <w:t xml:space="preserve">20</w:t>
            </w:r>
          </w:p>
        </w:tc>
      </w:tr>
      <w:tr>
        <w:tc>
          <w:tcPr>
            <w:tcW w:w="6240" w:type="dxa"/>
            <w:vAlign w:val="center"/>
          </w:tcPr>
          <w:bookmarkStart w:id="1965" w:name="P1965"/>
          <w:bookmarkEnd w:id="1965"/>
          <w:p>
            <w:pPr>
              <w:pStyle w:val="0"/>
              <w:jc w:val="both"/>
            </w:pPr>
            <w:r>
              <w:rPr>
                <w:sz w:val="24"/>
              </w:rPr>
              <w:t xml:space="preserve">9 Наружные установки категорий АН, БН, ГН, здания и сооружения с наличием радиоактивных и вредных веществ I и II классов опасности по </w:t>
            </w:r>
            <w:hyperlink w:history="0" r:id="rId152"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2822" w:type="dxa"/>
          </w:tcPr>
          <w:p>
            <w:pPr>
              <w:pStyle w:val="0"/>
              <w:jc w:val="center"/>
            </w:pPr>
            <w:r>
              <w:rPr>
                <w:sz w:val="24"/>
              </w:rPr>
              <w:t xml:space="preserve">100</w:t>
            </w:r>
          </w:p>
        </w:tc>
      </w:tr>
      <w:tr>
        <w:tc>
          <w:tcPr>
            <w:tcW w:w="6240" w:type="dxa"/>
            <w:vAlign w:val="bottom"/>
          </w:tcPr>
          <w:p>
            <w:pPr>
              <w:pStyle w:val="0"/>
              <w:jc w:val="both"/>
            </w:pPr>
            <w:r>
              <w:rPr>
                <w:sz w:val="24"/>
              </w:rPr>
              <w:t xml:space="preserve">10 Линии электропередачи, электроподстанции (в том числе трансформаторные подстанции)</w:t>
            </w:r>
          </w:p>
        </w:tc>
        <w:tc>
          <w:tcPr>
            <w:tcW w:w="2822" w:type="dxa"/>
          </w:tcPr>
          <w:p>
            <w:pPr>
              <w:pStyle w:val="0"/>
              <w:jc w:val="center"/>
            </w:pPr>
            <w:r>
              <w:rPr>
                <w:sz w:val="24"/>
              </w:rPr>
              <w:t xml:space="preserve">В соответствии с </w:t>
            </w:r>
            <w:hyperlink w:history="0" w:anchor="P2099" w:tooltip="[3]">
              <w:r>
                <w:rPr>
                  <w:sz w:val="24"/>
                  <w:color w:val="0000ff"/>
                </w:rPr>
                <w:t xml:space="preserve">[3]</w:t>
              </w:r>
            </w:hyperlink>
          </w:p>
        </w:tc>
      </w:tr>
      <w:tr>
        <w:tc>
          <w:tcPr>
            <w:tcW w:w="6240" w:type="dxa"/>
            <w:vAlign w:val="bottom"/>
          </w:tcPr>
          <w:bookmarkStart w:id="1969" w:name="P1969"/>
          <w:bookmarkEnd w:id="1969"/>
          <w:p>
            <w:pPr>
              <w:pStyle w:val="0"/>
              <w:jc w:val="both"/>
            </w:pPr>
            <w:r>
              <w:rPr>
                <w:sz w:val="24"/>
              </w:rPr>
              <w:t xml:space="preserve">11 Склады (вне зданий) лесных материалов, торфа, волокнистых горючих веществ, сена, соломы, а также участки открытого залегания торфа</w:t>
            </w:r>
          </w:p>
        </w:tc>
        <w:tc>
          <w:tcPr>
            <w:tcW w:w="2822" w:type="dxa"/>
          </w:tcPr>
          <w:p>
            <w:pPr>
              <w:pStyle w:val="0"/>
              <w:jc w:val="center"/>
            </w:pPr>
            <w:r>
              <w:rPr>
                <w:sz w:val="24"/>
              </w:rPr>
              <w:t xml:space="preserve">35</w:t>
            </w:r>
          </w:p>
        </w:tc>
      </w:tr>
      <w:tr>
        <w:tc>
          <w:tcPr>
            <w:gridSpan w:val="2"/>
            <w:tcW w:w="9062" w:type="dxa"/>
            <w:vAlign w:val="bottom"/>
          </w:tcPr>
          <w:p>
            <w:pPr>
              <w:pStyle w:val="0"/>
              <w:ind w:firstLine="283"/>
              <w:jc w:val="both"/>
            </w:pPr>
            <w:r>
              <w:rPr>
                <w:sz w:val="24"/>
              </w:rPr>
              <w:t xml:space="preserve">Примечания</w:t>
            </w:r>
          </w:p>
          <w:p>
            <w:pPr>
              <w:pStyle w:val="0"/>
              <w:ind w:firstLine="283"/>
              <w:jc w:val="both"/>
            </w:pPr>
            <w:r>
              <w:rPr>
                <w:sz w:val="24"/>
              </w:rPr>
              <w:t xml:space="preserve">1 Расстояния от технологического оборудования с наличием КВ, указанные в </w:t>
            </w:r>
            <w:hyperlink w:history="0" w:anchor="P1939"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строках 1</w:t>
              </w:r>
            </w:hyperlink>
            <w:r>
              <w:rPr>
                <w:sz w:val="24"/>
              </w:rPr>
              <w:t xml:space="preserve">, </w:t>
            </w:r>
            <w:hyperlink w:history="0" w:anchor="P1947" w:tooltip="3 Здания и сооружения классов функциональной пожарной опасности Ф1 - Ф4 (за исключением указанных в строке 1)">
              <w:r>
                <w:rPr>
                  <w:sz w:val="24"/>
                  <w:color w:val="0000ff"/>
                </w:rPr>
                <w:t xml:space="preserve">3</w:t>
              </w:r>
            </w:hyperlink>
            <w:r>
              <w:rPr>
                <w:sz w:val="24"/>
              </w:rPr>
              <w:t xml:space="preserve"> - </w:t>
            </w:r>
            <w:hyperlink w:history="0" w:anchor="P1951" w:tooltip="5 Индивидуальные гаражи и открытые стоянки для автомобилей">
              <w:r>
                <w:rPr>
                  <w:sz w:val="24"/>
                  <w:color w:val="0000ff"/>
                </w:rPr>
                <w:t xml:space="preserve">5</w:t>
              </w:r>
            </w:hyperlink>
            <w:r>
              <w:rPr>
                <w:sz w:val="24"/>
              </w:rPr>
              <w:t xml:space="preserve"> и </w:t>
            </w:r>
            <w:hyperlink w:history="0" w:anchor="P1969"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допускается уменьшать не более чем на 50% при обеспечении предотвращения выброса струи водорода при аварийном истечении и разлета осколков при физическом разрушении этого оборудования за пределы ограждения, по </w:t>
            </w:r>
            <w:hyperlink w:history="0" w:anchor="P1931" w:tooltip="И.4 Нахождение лиц, не относящихся к персоналу АГНСВ и водителям транспортных средств, на заправочных островках на территории АЗС не допускается. Площадки высадки и посадки пассажиров, а также площадки подпора следует размещать вне территории АЗС.">
              <w:r>
                <w:rPr>
                  <w:sz w:val="24"/>
                  <w:color w:val="0000ff"/>
                </w:rPr>
                <w:t xml:space="preserve">пункту И.4</w:t>
              </w:r>
            </w:hyperlink>
            <w:r>
              <w:rPr>
                <w:sz w:val="24"/>
              </w:rPr>
              <w:t xml:space="preserve"> настоящего свода правил, в сторону защищаемого объекта в горизонтальном направлении (установка защитных экранов, отвечающих требованиям настоящего свода правил).</w:t>
            </w:r>
          </w:p>
          <w:p>
            <w:pPr>
              <w:pStyle w:val="0"/>
              <w:ind w:firstLine="283"/>
              <w:jc w:val="both"/>
            </w:pPr>
            <w:r>
              <w:rPr>
                <w:sz w:val="24"/>
              </w:rPr>
              <w:t xml:space="preserve">2 Расстояние от раздаточной колонки КВ до объектов, указанных в </w:t>
            </w:r>
            <w:hyperlink w:history="0" w:anchor="P1939"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строках 1</w:t>
              </w:r>
            </w:hyperlink>
            <w:r>
              <w:rPr>
                <w:sz w:val="24"/>
              </w:rPr>
              <w:t xml:space="preserve">, </w:t>
            </w:r>
            <w:hyperlink w:history="0" w:anchor="P1951" w:tooltip="5 Индивидуальные гаражи и открытые стоянки для автомобилей">
              <w:r>
                <w:rPr>
                  <w:sz w:val="24"/>
                  <w:color w:val="0000ff"/>
                </w:rPr>
                <w:t xml:space="preserve">5</w:t>
              </w:r>
            </w:hyperlink>
            <w:r>
              <w:rPr>
                <w:sz w:val="24"/>
              </w:rPr>
              <w:t xml:space="preserve">, </w:t>
            </w:r>
            <w:hyperlink w:history="0" w:anchor="P1953" w:tooltip="6 Автомобильные дороги общего пользования (край проезжей части):">
              <w:r>
                <w:rPr>
                  <w:sz w:val="24"/>
                  <w:color w:val="0000ff"/>
                </w:rPr>
                <w:t xml:space="preserve">6</w:t>
              </w:r>
            </w:hyperlink>
            <w:r>
              <w:rPr>
                <w:sz w:val="24"/>
              </w:rPr>
              <w:t xml:space="preserve"> (за исключением маршрута электрифицированного городского транспорта) и </w:t>
            </w:r>
            <w:hyperlink w:history="0" w:anchor="P1969"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а также в </w:t>
            </w:r>
            <w:hyperlink w:history="0" w:anchor="P1947" w:tooltip="3 Здания и сооружения классов функциональной пожарной опасности Ф1 - Ф4 (за исключением указанных в строке 1)">
              <w:r>
                <w:rPr>
                  <w:sz w:val="24"/>
                  <w:color w:val="0000ff"/>
                </w:rPr>
                <w:t xml:space="preserve">строках 3</w:t>
              </w:r>
            </w:hyperlink>
            <w:r>
              <w:rPr>
                <w:sz w:val="24"/>
              </w:rPr>
              <w:t xml:space="preserve"> и </w:t>
            </w:r>
            <w:hyperlink w:history="0" w:anchor="P1949" w:tooltip="4 Места массового пребывания людей">
              <w:r>
                <w:rPr>
                  <w:sz w:val="24"/>
                  <w:color w:val="0000ff"/>
                </w:rPr>
                <w:t xml:space="preserve">4</w:t>
              </w:r>
            </w:hyperlink>
            <w:r>
              <w:rPr>
                <w:sz w:val="24"/>
              </w:rPr>
              <w:t xml:space="preserve">, допускается уменьшать не более чем на 50% при установке между заправочным островком, для которого эта колонка предназначена, и указанными объектами защитного экрана, отвечающего требованиям настоящего свода правил.</w:t>
            </w:r>
          </w:p>
        </w:tc>
      </w:tr>
    </w:tbl>
    <w:p>
      <w:pPr>
        <w:pStyle w:val="0"/>
        <w:ind w:firstLine="540"/>
        <w:jc w:val="both"/>
      </w:pPr>
      <w:r>
        <w:rPr>
          <w:sz w:val="24"/>
        </w:rPr>
      </w:r>
    </w:p>
    <w:bookmarkStart w:id="1975" w:name="P1975"/>
    <w:bookmarkEnd w:id="1975"/>
    <w:p>
      <w:pPr>
        <w:pStyle w:val="0"/>
        <w:ind w:firstLine="540"/>
        <w:jc w:val="both"/>
      </w:pPr>
      <w:r>
        <w:rPr>
          <w:sz w:val="24"/>
        </w:rPr>
        <w:t xml:space="preserve">И.6 Минимальные расстояния между зданиями и сооружениями АГНСВ следует принимать по таблице И.2 настоящего свода правил.</w:t>
      </w:r>
    </w:p>
    <w:p>
      <w:pPr>
        <w:pStyle w:val="0"/>
        <w:ind w:firstLine="540"/>
        <w:jc w:val="both"/>
      </w:pPr>
      <w:r>
        <w:rPr>
          <w:sz w:val="24"/>
        </w:rPr>
      </w:r>
    </w:p>
    <w:p>
      <w:pPr>
        <w:pStyle w:val="2"/>
        <w:outlineLvl w:val="2"/>
        <w:jc w:val="both"/>
      </w:pPr>
      <w:r>
        <w:rPr>
          <w:sz w:val="24"/>
        </w:rPr>
        <w:t xml:space="preserve">Таблица И.2</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62"/>
        <w:gridCol w:w="895"/>
        <w:gridCol w:w="895"/>
        <w:gridCol w:w="895"/>
        <w:gridCol w:w="896"/>
      </w:tblGrid>
      <w:tr>
        <w:tc>
          <w:tcPr>
            <w:tcW w:w="5462" w:type="dxa"/>
            <w:vMerge w:val="restart"/>
          </w:tcPr>
          <w:p>
            <w:pPr>
              <w:pStyle w:val="0"/>
              <w:jc w:val="center"/>
            </w:pPr>
            <w:r>
              <w:rPr>
                <w:sz w:val="24"/>
              </w:rPr>
              <w:t xml:space="preserve">Наименование зданий и сооружений АЗС</w:t>
            </w:r>
          </w:p>
        </w:tc>
        <w:tc>
          <w:tcPr>
            <w:gridSpan w:val="4"/>
            <w:tcW w:w="3581" w:type="dxa"/>
          </w:tcPr>
          <w:p>
            <w:pPr>
              <w:pStyle w:val="0"/>
              <w:jc w:val="center"/>
            </w:pPr>
            <w:r>
              <w:rPr>
                <w:sz w:val="24"/>
              </w:rPr>
              <w:t xml:space="preserve">Минимальное расстояние между соответствующими зданиями, сооружениями и оборудованием в порядке их записи в заголовке таблицы, м</w:t>
            </w:r>
          </w:p>
        </w:tc>
      </w:tr>
      <w:tr>
        <w:tc>
          <w:tcPr>
            <w:vMerge w:val="continue"/>
          </w:tcPr>
          <w:p/>
        </w:tc>
        <w:tc>
          <w:tcPr>
            <w:tcW w:w="895" w:type="dxa"/>
          </w:tcPr>
          <w:p>
            <w:pPr>
              <w:pStyle w:val="0"/>
              <w:jc w:val="center"/>
            </w:pPr>
            <w:r>
              <w:rPr>
                <w:sz w:val="24"/>
              </w:rPr>
              <w:t xml:space="preserve">1</w:t>
            </w:r>
          </w:p>
        </w:tc>
        <w:tc>
          <w:tcPr>
            <w:tcW w:w="895" w:type="dxa"/>
          </w:tcPr>
          <w:p>
            <w:pPr>
              <w:pStyle w:val="0"/>
              <w:jc w:val="center"/>
            </w:pPr>
            <w:r>
              <w:rPr>
                <w:sz w:val="24"/>
              </w:rPr>
              <w:t xml:space="preserve">2</w:t>
            </w:r>
          </w:p>
        </w:tc>
        <w:tc>
          <w:tcPr>
            <w:tcW w:w="895" w:type="dxa"/>
          </w:tcPr>
          <w:p>
            <w:pPr>
              <w:pStyle w:val="0"/>
              <w:jc w:val="center"/>
            </w:pPr>
            <w:r>
              <w:rPr>
                <w:sz w:val="24"/>
              </w:rPr>
              <w:t xml:space="preserve">3</w:t>
            </w:r>
          </w:p>
        </w:tc>
        <w:tc>
          <w:tcPr>
            <w:tcW w:w="896" w:type="dxa"/>
          </w:tcPr>
          <w:p>
            <w:pPr>
              <w:pStyle w:val="0"/>
              <w:jc w:val="center"/>
            </w:pPr>
            <w:r>
              <w:rPr>
                <w:sz w:val="24"/>
              </w:rPr>
              <w:t xml:space="preserve">4</w:t>
            </w:r>
          </w:p>
        </w:tc>
      </w:tr>
      <w:tr>
        <w:tc>
          <w:tcPr>
            <w:tcW w:w="5462" w:type="dxa"/>
            <w:vAlign w:val="center"/>
          </w:tcPr>
          <w:bookmarkStart w:id="1985" w:name="P1985"/>
          <w:bookmarkEnd w:id="1985"/>
          <w:p>
            <w:pPr>
              <w:pStyle w:val="0"/>
              <w:jc w:val="both"/>
            </w:pPr>
            <w:r>
              <w:rPr>
                <w:sz w:val="24"/>
              </w:rPr>
              <w:t xml:space="preserve">1 Раздаточная колонка КВ</w:t>
            </w:r>
          </w:p>
        </w:tc>
        <w:tc>
          <w:tcPr>
            <w:tcW w:w="895" w:type="dxa"/>
            <w:vAlign w:val="center"/>
          </w:tcPr>
          <w:p>
            <w:pPr>
              <w:pStyle w:val="0"/>
              <w:jc w:val="center"/>
            </w:pPr>
            <w:r>
              <w:rPr>
                <w:sz w:val="24"/>
              </w:rPr>
              <w:t xml:space="preserve">4</w:t>
            </w:r>
          </w:p>
        </w:tc>
        <w:tc>
          <w:tcPr>
            <w:tcW w:w="895" w:type="dxa"/>
            <w:vAlign w:val="center"/>
          </w:tcPr>
          <w:p>
            <w:pPr>
              <w:pStyle w:val="0"/>
              <w:jc w:val="center"/>
            </w:pPr>
            <w:r>
              <w:rPr>
                <w:sz w:val="24"/>
              </w:rPr>
              <w:t xml:space="preserve">15</w:t>
            </w:r>
          </w:p>
        </w:tc>
        <w:tc>
          <w:tcPr>
            <w:tcW w:w="895" w:type="dxa"/>
            <w:vAlign w:val="center"/>
          </w:tcPr>
          <w:p>
            <w:pPr>
              <w:pStyle w:val="0"/>
              <w:jc w:val="center"/>
            </w:pPr>
            <w:r>
              <w:rPr>
                <w:sz w:val="24"/>
              </w:rPr>
              <w:t xml:space="preserve">9</w:t>
            </w:r>
          </w:p>
        </w:tc>
        <w:tc>
          <w:tcPr>
            <w:tcW w:w="896" w:type="dxa"/>
            <w:vAlign w:val="center"/>
          </w:tcPr>
          <w:p>
            <w:pPr>
              <w:pStyle w:val="0"/>
              <w:jc w:val="center"/>
            </w:pPr>
            <w:r>
              <w:rPr>
                <w:sz w:val="24"/>
              </w:rPr>
              <w:t xml:space="preserve">20</w:t>
            </w:r>
          </w:p>
        </w:tc>
      </w:tr>
      <w:tr>
        <w:tc>
          <w:tcPr>
            <w:tcW w:w="5462" w:type="dxa"/>
            <w:vAlign w:val="center"/>
          </w:tcPr>
          <w:p>
            <w:pPr>
              <w:pStyle w:val="0"/>
              <w:jc w:val="both"/>
            </w:pPr>
            <w:r>
              <w:rPr>
                <w:sz w:val="24"/>
              </w:rPr>
              <w:t xml:space="preserve">2 Наземные и надземные наружные технологические установки с КВ</w:t>
            </w:r>
          </w:p>
        </w:tc>
        <w:tc>
          <w:tcPr>
            <w:tcW w:w="895" w:type="dxa"/>
            <w:vAlign w:val="center"/>
          </w:tcPr>
          <w:p>
            <w:pPr>
              <w:pStyle w:val="0"/>
              <w:jc w:val="center"/>
            </w:pPr>
            <w:r>
              <w:rPr>
                <w:sz w:val="24"/>
              </w:rPr>
              <w:t xml:space="preserve">15</w:t>
            </w:r>
          </w:p>
        </w:tc>
        <w:tc>
          <w:tcPr>
            <w:tcW w:w="895" w:type="dxa"/>
            <w:vAlign w:val="center"/>
          </w:tcPr>
          <w:p>
            <w:pPr>
              <w:pStyle w:val="0"/>
              <w:jc w:val="center"/>
            </w:pPr>
            <w:r>
              <w:rPr>
                <w:sz w:val="24"/>
              </w:rPr>
              <w:t xml:space="preserve">-</w:t>
            </w:r>
          </w:p>
        </w:tc>
        <w:tc>
          <w:tcPr>
            <w:tcW w:w="895" w:type="dxa"/>
            <w:vAlign w:val="center"/>
          </w:tcPr>
          <w:p>
            <w:pPr>
              <w:pStyle w:val="0"/>
              <w:jc w:val="center"/>
            </w:pPr>
            <w:r>
              <w:rPr>
                <w:sz w:val="24"/>
              </w:rPr>
              <w:t xml:space="preserve">9</w:t>
            </w:r>
          </w:p>
        </w:tc>
        <w:tc>
          <w:tcPr>
            <w:tcW w:w="896" w:type="dxa"/>
            <w:vAlign w:val="center"/>
          </w:tcPr>
          <w:p>
            <w:pPr>
              <w:pStyle w:val="0"/>
              <w:jc w:val="center"/>
            </w:pPr>
            <w:r>
              <w:rPr>
                <w:sz w:val="24"/>
              </w:rPr>
              <w:t xml:space="preserve">35</w:t>
            </w:r>
          </w:p>
        </w:tc>
      </w:tr>
      <w:tr>
        <w:tc>
          <w:tcPr>
            <w:tcW w:w="5462" w:type="dxa"/>
            <w:vAlign w:val="center"/>
          </w:tcPr>
          <w:bookmarkStart w:id="1995" w:name="P1995"/>
          <w:bookmarkEnd w:id="1995"/>
          <w:p>
            <w:pPr>
              <w:pStyle w:val="0"/>
              <w:jc w:val="both"/>
            </w:pPr>
            <w:r>
              <w:rPr>
                <w:sz w:val="24"/>
              </w:rPr>
              <w:t xml:space="preserve">3 Отдельно стоящее здание операторной</w:t>
            </w:r>
          </w:p>
        </w:tc>
        <w:tc>
          <w:tcPr>
            <w:tcW w:w="895" w:type="dxa"/>
            <w:vAlign w:val="center"/>
          </w:tcPr>
          <w:p>
            <w:pPr>
              <w:pStyle w:val="0"/>
              <w:jc w:val="center"/>
            </w:pPr>
            <w:r>
              <w:rPr>
                <w:sz w:val="24"/>
              </w:rPr>
              <w:t xml:space="preserve">9</w:t>
            </w:r>
          </w:p>
        </w:tc>
        <w:tc>
          <w:tcPr>
            <w:tcW w:w="895" w:type="dxa"/>
            <w:vAlign w:val="center"/>
          </w:tcPr>
          <w:p>
            <w:pPr>
              <w:pStyle w:val="0"/>
              <w:jc w:val="center"/>
            </w:pPr>
            <w:r>
              <w:rPr>
                <w:sz w:val="24"/>
              </w:rPr>
              <w:t xml:space="preserve">9</w:t>
            </w:r>
          </w:p>
        </w:tc>
        <w:tc>
          <w:tcPr>
            <w:tcW w:w="895" w:type="dxa"/>
            <w:vAlign w:val="center"/>
          </w:tcPr>
          <w:p>
            <w:pPr>
              <w:pStyle w:val="0"/>
              <w:jc w:val="center"/>
            </w:pPr>
            <w:r>
              <w:rPr>
                <w:sz w:val="24"/>
              </w:rPr>
              <w:t xml:space="preserve">-</w:t>
            </w:r>
          </w:p>
        </w:tc>
        <w:tc>
          <w:tcPr>
            <w:tcW w:w="896" w:type="dxa"/>
            <w:vAlign w:val="center"/>
          </w:tcPr>
          <w:p>
            <w:pPr>
              <w:pStyle w:val="0"/>
              <w:jc w:val="center"/>
            </w:pPr>
            <w:r>
              <w:rPr>
                <w:sz w:val="24"/>
              </w:rPr>
              <w:t xml:space="preserve">*</w:t>
            </w:r>
          </w:p>
        </w:tc>
      </w:tr>
      <w:tr>
        <w:tc>
          <w:tcPr>
            <w:tcW w:w="5462" w:type="dxa"/>
            <w:vAlign w:val="center"/>
          </w:tcPr>
          <w:bookmarkStart w:id="2000" w:name="P2000"/>
          <w:bookmarkEnd w:id="2000"/>
          <w:p>
            <w:pPr>
              <w:pStyle w:val="0"/>
              <w:jc w:val="both"/>
            </w:pPr>
            <w:r>
              <w:rPr>
                <w:sz w:val="24"/>
              </w:rPr>
              <w:t xml:space="preserve">4 Здания и сооружения, кроме указанных в </w:t>
            </w:r>
            <w:hyperlink w:history="0" w:anchor="P1985" w:tooltip="1 Раздаточная колонка КВ">
              <w:r>
                <w:rPr>
                  <w:sz w:val="24"/>
                  <w:color w:val="0000ff"/>
                </w:rPr>
                <w:t xml:space="preserve">строках 1</w:t>
              </w:r>
            </w:hyperlink>
            <w:r>
              <w:rPr>
                <w:sz w:val="24"/>
              </w:rPr>
              <w:t xml:space="preserve"> - </w:t>
            </w:r>
            <w:hyperlink w:history="0" w:anchor="P1995" w:tooltip="3 Отдельно стоящее здание операторной">
              <w:r>
                <w:rPr>
                  <w:sz w:val="24"/>
                  <w:color w:val="0000ff"/>
                </w:rPr>
                <w:t xml:space="preserve">3</w:t>
              </w:r>
            </w:hyperlink>
          </w:p>
        </w:tc>
        <w:tc>
          <w:tcPr>
            <w:tcW w:w="895" w:type="dxa"/>
            <w:vAlign w:val="center"/>
          </w:tcPr>
          <w:p>
            <w:pPr>
              <w:pStyle w:val="0"/>
              <w:jc w:val="center"/>
            </w:pPr>
            <w:r>
              <w:rPr>
                <w:sz w:val="24"/>
              </w:rPr>
              <w:t xml:space="preserve">20</w:t>
            </w:r>
          </w:p>
        </w:tc>
        <w:tc>
          <w:tcPr>
            <w:tcW w:w="895" w:type="dxa"/>
            <w:vAlign w:val="center"/>
          </w:tcPr>
          <w:p>
            <w:pPr>
              <w:pStyle w:val="0"/>
              <w:jc w:val="center"/>
            </w:pPr>
            <w:r>
              <w:rPr>
                <w:sz w:val="24"/>
              </w:rPr>
              <w:t xml:space="preserve">35</w:t>
            </w:r>
          </w:p>
        </w:tc>
        <w:tc>
          <w:tcPr>
            <w:tcW w:w="895" w:type="dxa"/>
            <w:vAlign w:val="center"/>
          </w:tcPr>
          <w:p>
            <w:pPr>
              <w:pStyle w:val="0"/>
              <w:jc w:val="center"/>
            </w:pPr>
            <w:r>
              <w:rPr>
                <w:sz w:val="24"/>
              </w:rPr>
              <w:t xml:space="preserve">*</w:t>
            </w:r>
          </w:p>
        </w:tc>
        <w:tc>
          <w:tcPr>
            <w:tcW w:w="896" w:type="dxa"/>
            <w:vAlign w:val="center"/>
          </w:tcPr>
          <w:p>
            <w:pPr>
              <w:pStyle w:val="0"/>
              <w:jc w:val="center"/>
            </w:pPr>
            <w:r>
              <w:rPr>
                <w:sz w:val="24"/>
              </w:rPr>
              <w:t xml:space="preserve">*</w:t>
            </w:r>
          </w:p>
        </w:tc>
      </w:tr>
      <w:tr>
        <w:tc>
          <w:tcPr>
            <w:gridSpan w:val="5"/>
            <w:tcW w:w="9043" w:type="dxa"/>
          </w:tcPr>
          <w:p>
            <w:pPr>
              <w:pStyle w:val="0"/>
              <w:ind w:firstLine="283"/>
              <w:jc w:val="both"/>
            </w:pPr>
            <w:r>
              <w:rPr>
                <w:sz w:val="24"/>
              </w:rPr>
              <w:t xml:space="preserve">Примечания</w:t>
            </w:r>
          </w:p>
          <w:p>
            <w:pPr>
              <w:pStyle w:val="0"/>
              <w:ind w:firstLine="283"/>
              <w:jc w:val="both"/>
            </w:pPr>
            <w:r>
              <w:rPr>
                <w:sz w:val="24"/>
              </w:rPr>
              <w:t xml:space="preserve">1 Расстояния, отмеченные знаком "-", не нормируются и определяются исходя из конструктивных особенностей, а знаком "*" - определяются по </w:t>
            </w:r>
            <w:hyperlink w:history="0" w:anchor="P391" w:tooltip="Таблица 2">
              <w:r>
                <w:rPr>
                  <w:sz w:val="24"/>
                  <w:color w:val="0000ff"/>
                </w:rPr>
                <w:t xml:space="preserve">таблице 2</w:t>
              </w:r>
            </w:hyperlink>
            <w:r>
              <w:rPr>
                <w:sz w:val="24"/>
              </w:rPr>
              <w:t xml:space="preserve"> настоящего свода правил.</w:t>
            </w:r>
          </w:p>
          <w:p>
            <w:pPr>
              <w:pStyle w:val="0"/>
              <w:ind w:firstLine="283"/>
              <w:jc w:val="both"/>
            </w:pPr>
            <w:r>
              <w:rPr>
                <w:sz w:val="24"/>
              </w:rPr>
              <w:t xml:space="preserve">2 Расстояние от оборудования с КВ до сооружений и оборудования, указанных в </w:t>
            </w:r>
            <w:hyperlink w:history="0" w:anchor="P1985" w:tooltip="1 Раздаточная колонка КВ">
              <w:r>
                <w:rPr>
                  <w:sz w:val="24"/>
                  <w:color w:val="0000ff"/>
                </w:rPr>
                <w:t xml:space="preserve">строках 1</w:t>
              </w:r>
            </w:hyperlink>
            <w:r>
              <w:rPr>
                <w:sz w:val="24"/>
              </w:rPr>
              <w:t xml:space="preserve"> - </w:t>
            </w:r>
            <w:hyperlink w:history="0" w:anchor="P1995" w:tooltip="3 Отдельно стоящее здание операторной">
              <w:r>
                <w:rPr>
                  <w:sz w:val="24"/>
                  <w:color w:val="0000ff"/>
                </w:rPr>
                <w:t xml:space="preserve">3</w:t>
              </w:r>
            </w:hyperlink>
            <w:r>
              <w:rPr>
                <w:sz w:val="24"/>
              </w:rPr>
              <w:t xml:space="preserve">, допускается уменьшать не более чем на 50%, а в </w:t>
            </w:r>
            <w:hyperlink w:history="0" w:anchor="P2000" w:tooltip="4 Здания и сооружения, кроме указанных в строках 1 - 3">
              <w:r>
                <w:rPr>
                  <w:sz w:val="24"/>
                  <w:color w:val="0000ff"/>
                </w:rPr>
                <w:t xml:space="preserve">строке 4</w:t>
              </w:r>
            </w:hyperlink>
            <w:r>
              <w:rPr>
                <w:sz w:val="24"/>
              </w:rPr>
              <w:t xml:space="preserve"> принимать не менее 10 м при обеспечении предотвращения выброса струи водорода при аварийном истечении и разлета осколков при физическом разрушении этого оборудования в сторону защищаемого объекта в горизонтальном направлении (установка защитных экранов, отвечающих требованиям настоящего свода правил). При этом расстояние до зданий должно быть не менее 1,5 высоты более высокого здания.</w:t>
            </w:r>
          </w:p>
          <w:p>
            <w:pPr>
              <w:pStyle w:val="0"/>
              <w:ind w:firstLine="283"/>
              <w:jc w:val="both"/>
            </w:pPr>
            <w:r>
              <w:rPr>
                <w:sz w:val="24"/>
              </w:rPr>
              <w:t xml:space="preserve">3 Расстояние от раздаточной колонки КВ до сооружений и оборудования, указанных в </w:t>
            </w:r>
            <w:hyperlink w:history="0" w:anchor="P1985" w:tooltip="1 Раздаточная колонка КВ">
              <w:r>
                <w:rPr>
                  <w:sz w:val="24"/>
                  <w:color w:val="0000ff"/>
                </w:rPr>
                <w:t xml:space="preserve">строках 1</w:t>
              </w:r>
            </w:hyperlink>
            <w:r>
              <w:rPr>
                <w:sz w:val="24"/>
              </w:rPr>
              <w:t xml:space="preserve"> - </w:t>
            </w:r>
            <w:hyperlink w:history="0" w:anchor="P1995" w:tooltip="3 Отдельно стоящее здание операторной">
              <w:r>
                <w:rPr>
                  <w:sz w:val="24"/>
                  <w:color w:val="0000ff"/>
                </w:rPr>
                <w:t xml:space="preserve">3</w:t>
              </w:r>
            </w:hyperlink>
            <w:r>
              <w:rPr>
                <w:sz w:val="24"/>
              </w:rPr>
              <w:t xml:space="preserve">, допускается уменьшать не более чем на 50% (но не менее 4 м), а в </w:t>
            </w:r>
            <w:hyperlink w:history="0" w:anchor="P2000" w:tooltip="4 Здания и сооружения, кроме указанных в строках 1 - 3">
              <w:r>
                <w:rPr>
                  <w:sz w:val="24"/>
                  <w:color w:val="0000ff"/>
                </w:rPr>
                <w:t xml:space="preserve">строке 4</w:t>
              </w:r>
            </w:hyperlink>
            <w:r>
              <w:rPr>
                <w:sz w:val="24"/>
              </w:rPr>
              <w:t xml:space="preserve"> принимать не менее 10 м при отделении заправочного островка, для которого эта колонка предназначена, от указанных зданий, сооружений и оборудования защитными экранами, отвечающими требованиям настоящего свода правил.</w:t>
            </w:r>
          </w:p>
          <w:p>
            <w:pPr>
              <w:pStyle w:val="0"/>
              <w:ind w:firstLine="283"/>
              <w:jc w:val="both"/>
            </w:pPr>
            <w:r>
              <w:rPr>
                <w:sz w:val="24"/>
              </w:rPr>
              <w:t xml:space="preserve">4 Расстояния от котельной АЗС с использованием электрокотла определяются как от отдельно стоящего здания операторной АЗС. Расстояния от котельной, пристроенной к зданию иного назначения, до остальных зданий, а также до сооружений и оборудования АЗС определяются по </w:t>
            </w:r>
            <w:hyperlink w:history="0" w:anchor="P1928" w:tooltip="И.2 Наружное противопожарное водоснабжение АГНСВ, размещенных вне населенных пунктов, допускается предусматривать от пожарных водоемов (резервуаров) общей вместимостью не менее 3 м3 в случае, если пожарные водоемы (резервуары) расположены на расстоянии не более 200 м от АЗС.">
              <w:r>
                <w:rPr>
                  <w:sz w:val="24"/>
                  <w:color w:val="0000ff"/>
                </w:rPr>
                <w:t xml:space="preserve">И.2</w:t>
              </w:r>
            </w:hyperlink>
            <w:r>
              <w:rPr>
                <w:sz w:val="24"/>
              </w:rPr>
              <w:t xml:space="preserve"> настоящего свода правил как от отдельно стоящего здания котельной.</w:t>
            </w:r>
          </w:p>
          <w:p>
            <w:pPr>
              <w:pStyle w:val="0"/>
              <w:ind w:firstLine="283"/>
              <w:jc w:val="both"/>
            </w:pPr>
            <w:r>
              <w:rPr>
                <w:sz w:val="24"/>
              </w:rPr>
              <w:t xml:space="preserve">5 Минимальное расстояние от сбросных труб КВ до зданий и сооружений АЗС определяется расчетом в соответствии с требованиями настоящего свода правил.</w:t>
            </w:r>
          </w:p>
          <w:p>
            <w:pPr>
              <w:pStyle w:val="0"/>
              <w:ind w:firstLine="283"/>
              <w:jc w:val="both"/>
            </w:pPr>
            <w:r>
              <w:rPr>
                <w:sz w:val="24"/>
              </w:rPr>
              <w:t xml:space="preserve">6 Расстояние от оборудования с КВ до раздаточной колонки КВ не нормируются при условии наличия только одного заправочного островка, отделения заправочного островка и участков въезда (выезда) на (с) него заправляемых транспортных средств от указанного оборудования защитными экранами, отвечающими требованиям настоящего свода правил.</w:t>
            </w:r>
          </w:p>
        </w:tc>
      </w:tr>
    </w:tbl>
    <w:p>
      <w:pPr>
        <w:pStyle w:val="0"/>
        <w:ind w:firstLine="540"/>
        <w:jc w:val="both"/>
      </w:pPr>
      <w:r>
        <w:rPr>
          <w:sz w:val="24"/>
        </w:rPr>
      </w:r>
    </w:p>
    <w:p>
      <w:pPr>
        <w:pStyle w:val="0"/>
        <w:ind w:firstLine="540"/>
        <w:jc w:val="both"/>
      </w:pPr>
      <w:r>
        <w:rPr>
          <w:sz w:val="24"/>
        </w:rPr>
        <w:t xml:space="preserve">И.7 Расстояние от сосудов передвижной автомобильной газонаполнительной станции водорода до раздаточных колонок не нормируется в случае, если ее технологическая система отвечает следующим требованиям:</w:t>
      </w:r>
    </w:p>
    <w:p>
      <w:pPr>
        <w:pStyle w:val="0"/>
        <w:spacing w:before="240" w:lineRule="auto"/>
        <w:ind w:firstLine="540"/>
        <w:jc w:val="both"/>
      </w:pPr>
      <w:r>
        <w:rPr>
          <w:sz w:val="24"/>
        </w:rPr>
        <w:t xml:space="preserve">резервуар (сосуды) хранения газового топлива должен быть защищен от разгерметизации вследствие воздействия на него опасных факторов пожара транспортного средства с учетом возможного разрушения баллонов (сосудов) его топливной системы;</w:t>
      </w:r>
    </w:p>
    <w:p>
      <w:pPr>
        <w:pStyle w:val="0"/>
        <w:spacing w:before="240" w:lineRule="auto"/>
        <w:ind w:firstLine="540"/>
        <w:jc w:val="both"/>
      </w:pPr>
      <w:r>
        <w:rPr>
          <w:sz w:val="24"/>
        </w:rPr>
        <w:t xml:space="preserve">обеспечена возможность дистанционного (из безопасного места) отключения раздаточных колонок и насосов перекачивания, перекрытия отходящих от сосуда трубопроводов КВ, сброса избыточного давления водорода из отключенного от сосуда КВ оборудования технологической системы на сбросные трубы;</w:t>
      </w:r>
    </w:p>
    <w:p>
      <w:pPr>
        <w:pStyle w:val="0"/>
        <w:spacing w:before="240" w:lineRule="auto"/>
        <w:ind w:firstLine="540"/>
        <w:jc w:val="both"/>
      </w:pPr>
      <w:r>
        <w:rPr>
          <w:sz w:val="24"/>
        </w:rPr>
        <w:t xml:space="preserve">конструкция передвижной газонаполнительной станции водорода или способ ее установки на площадках должны исключать возможность наезда транспортных средств на технологическую систему указанной АЗС.</w:t>
      </w:r>
    </w:p>
    <w:p>
      <w:pPr>
        <w:pStyle w:val="0"/>
        <w:spacing w:before="240" w:lineRule="auto"/>
        <w:ind w:firstLine="540"/>
        <w:jc w:val="both"/>
      </w:pPr>
      <w:r>
        <w:rPr>
          <w:sz w:val="24"/>
        </w:rPr>
        <w:t xml:space="preserve">И.8 На АГНСВ, размещаемой по отношению к лесным массивам хвойных и смешанных пород на расстоянии менее 35 м, оборудование с наличием КВ должно располагаться подземно, заглубленно или в зданиях с пределом огнестойкости ограждающих конструкций не менее R45, а также отделяться противопожарными перегородками 1 типа.</w:t>
      </w:r>
    </w:p>
    <w:p>
      <w:pPr>
        <w:pStyle w:val="0"/>
        <w:spacing w:before="240" w:lineRule="auto"/>
        <w:ind w:firstLine="540"/>
        <w:jc w:val="both"/>
      </w:pPr>
      <w:r>
        <w:rPr>
          <w:sz w:val="24"/>
        </w:rPr>
        <w:t xml:space="preserve">И.9 Устройство навесов с непроветриваемыми объемами (пазухами, карманами) над оборудованием с КВ, включая общий навес над площадками заправочных островков, не допускается.</w:t>
      </w:r>
    </w:p>
    <w:p>
      <w:pPr>
        <w:pStyle w:val="0"/>
        <w:spacing w:before="240" w:lineRule="auto"/>
        <w:ind w:firstLine="540"/>
        <w:jc w:val="both"/>
      </w:pPr>
      <w:r>
        <w:rPr>
          <w:sz w:val="24"/>
        </w:rPr>
        <w:t xml:space="preserve">И.10 Сбросные трубы КВ должны иметь высоту, диаметр, конструкцию и расположение, исключающие образование взрывоопасных смесей в зоне размещения объектов, не относящихся к АГНСВ, технологического оборудования, зданий, сооружений АГНСВ и в местах возможного пребывания водителей и пассажиров транспортных средств.</w:t>
      </w:r>
    </w:p>
    <w:p>
      <w:pPr>
        <w:pStyle w:val="0"/>
        <w:spacing w:before="240" w:lineRule="auto"/>
        <w:ind w:firstLine="540"/>
        <w:jc w:val="both"/>
      </w:pPr>
      <w:r>
        <w:rPr>
          <w:sz w:val="24"/>
        </w:rPr>
        <w:t xml:space="preserve">Сбросные трубы КВ должны располагаться вертикально с организацией выброса газа вверх.</w:t>
      </w:r>
    </w:p>
    <w:p>
      <w:pPr>
        <w:pStyle w:val="0"/>
        <w:spacing w:before="240" w:lineRule="auto"/>
        <w:ind w:firstLine="540"/>
        <w:jc w:val="both"/>
      </w:pPr>
      <w:r>
        <w:rPr>
          <w:sz w:val="24"/>
        </w:rPr>
        <w:t xml:space="preserve">При необходимости сброса продувочных газов, а также газообразного водорода из оборудования технологической системы и газобаллонного оборудования транспортных средств в атмосферу конструкция технологической системы АГНСВ должна предусматривать возможность его осуществления только через сбросные трубы.</w:t>
      </w:r>
    </w:p>
    <w:p>
      <w:pPr>
        <w:pStyle w:val="0"/>
        <w:spacing w:before="240" w:lineRule="auto"/>
        <w:ind w:firstLine="540"/>
        <w:jc w:val="both"/>
      </w:pPr>
      <w:r>
        <w:rPr>
          <w:sz w:val="24"/>
        </w:rPr>
        <w:t xml:space="preserve">И.11 На одном заправочном островке КВ должна предусматриваться единовременная заправка только одного автомобиля.</w:t>
      </w:r>
    </w:p>
    <w:p>
      <w:pPr>
        <w:pStyle w:val="0"/>
        <w:spacing w:before="240" w:lineRule="auto"/>
        <w:ind w:firstLine="540"/>
        <w:jc w:val="both"/>
      </w:pPr>
      <w:r>
        <w:rPr>
          <w:sz w:val="24"/>
        </w:rPr>
        <w:t xml:space="preserve">И.12 Защитные экраны, предусматриваемые с целью сокращения расстояний в соответствии с </w:t>
      </w:r>
      <w:hyperlink w:history="0" w:anchor="P1933" w:tooltip="И.5 Минимальные расстояния от АГНСВ до объектов, к ним не относящихся, принимаются в соответствии с таблицей И.1.">
        <w:r>
          <w:rPr>
            <w:sz w:val="24"/>
            <w:color w:val="0000ff"/>
          </w:rPr>
          <w:t xml:space="preserve">пунктами И.5</w:t>
        </w:r>
      </w:hyperlink>
      <w:r>
        <w:rPr>
          <w:sz w:val="24"/>
        </w:rPr>
        <w:t xml:space="preserve"> и </w:t>
      </w:r>
      <w:hyperlink w:history="0" w:anchor="P1975" w:tooltip="И.6 Минимальные расстояния между зданиями и сооружениями АГНСВ следует принимать по таблице И.2 настоящего свода правил.">
        <w:r>
          <w:rPr>
            <w:sz w:val="24"/>
            <w:color w:val="0000ff"/>
          </w:rPr>
          <w:t xml:space="preserve">И.6</w:t>
        </w:r>
      </w:hyperlink>
      <w:r>
        <w:rPr>
          <w:sz w:val="24"/>
        </w:rPr>
        <w:t xml:space="preserve"> настоящего свода правил, должны обеспечивать предотвращение выброса струи водорода при аварийной разгерметизации оборудования и разлета осколков при физическом разрушении этого оборудования в сторону защищаемого объекта в горизонтальном направлении.</w:t>
      </w:r>
    </w:p>
    <w:p>
      <w:pPr>
        <w:pStyle w:val="0"/>
        <w:spacing w:before="240" w:lineRule="auto"/>
        <w:ind w:firstLine="540"/>
        <w:jc w:val="both"/>
      </w:pPr>
      <w:r>
        <w:rPr>
          <w:sz w:val="24"/>
        </w:rPr>
        <w:t xml:space="preserve">В случае если стена сооружения с указанным оборудованием, обращенная в сторону защищаемого объекта, соответствует требованиям к защитному экрану, дополнительный защитный экран снаружи этого сооружения допускается не предусматривать.</w:t>
      </w:r>
    </w:p>
    <w:p>
      <w:pPr>
        <w:pStyle w:val="0"/>
        <w:spacing w:before="240" w:lineRule="auto"/>
        <w:ind w:firstLine="540"/>
        <w:jc w:val="both"/>
      </w:pPr>
      <w:r>
        <w:rPr>
          <w:sz w:val="24"/>
        </w:rPr>
        <w:t xml:space="preserve">При установке защитного экрана в местах, предусматриваемых для прохода людей, следует обеспечить (с учетом размещаемого оборудования, зданий, сооружений и возможного нахождения транспортного средства) ширину прохода на путях эвакуации не менее 1,2 м, в остальных случаях - не менее 1 м.</w:t>
      </w:r>
    </w:p>
    <w:p>
      <w:pPr>
        <w:pStyle w:val="0"/>
        <w:spacing w:before="240" w:lineRule="auto"/>
        <w:ind w:firstLine="540"/>
        <w:jc w:val="both"/>
      </w:pPr>
      <w:r>
        <w:rPr>
          <w:sz w:val="24"/>
        </w:rPr>
        <w:t xml:space="preserve">И.13 Запорная трубопроводная арматура с ручным и дистанционным приводом (включая электромагнитный), применяемая на технологическом оборудовании, в котором обращается КВ, должна соответствовать классу А герметичности затворов по ГОСТ Р 9544-2015.</w:t>
      </w:r>
    </w:p>
    <w:p>
      <w:pPr>
        <w:pStyle w:val="0"/>
        <w:spacing w:before="240" w:lineRule="auto"/>
        <w:ind w:firstLine="540"/>
        <w:jc w:val="both"/>
      </w:pPr>
      <w:r>
        <w:rPr>
          <w:sz w:val="24"/>
        </w:rPr>
        <w:t xml:space="preserve">Полный назначенный ресурс применяемой запорной арматуры, в том числе с принудительным приводом, должен превышать его расчетную величину не менее чем на 20% и должен быть указан в документации на технологическую систему АГНСВ.</w:t>
      </w:r>
    </w:p>
    <w:p>
      <w:pPr>
        <w:pStyle w:val="0"/>
        <w:spacing w:before="240" w:lineRule="auto"/>
        <w:ind w:firstLine="540"/>
        <w:jc w:val="both"/>
      </w:pPr>
      <w:r>
        <w:rPr>
          <w:sz w:val="24"/>
        </w:rPr>
        <w:t xml:space="preserve">И.14 Сооружения, в которых обращается КВ, имеющие вертикальные ограждающие конструкции с отношением площади отверстий к полной площади преграды более 50%, должны быть оборудованы сигнализаторами довзрывоопасных концентраций. Эти сигнализаторы должны обеспечивать при достижении концентрацией горючего газа величины, превышающей 10% от НКПР, сигнализацию (световым и звуковым сигналом) о месте разгерметизации с подачей сигнала в операторную АГНСВ.</w:t>
      </w:r>
    </w:p>
    <w:p>
      <w:pPr>
        <w:pStyle w:val="0"/>
        <w:spacing w:before="240" w:lineRule="auto"/>
        <w:ind w:firstLine="540"/>
        <w:jc w:val="both"/>
      </w:pPr>
      <w:r>
        <w:rPr>
          <w:sz w:val="24"/>
        </w:rPr>
        <w:t xml:space="preserve">При достижении в местах установки сигнализаторов довзрывоопасных концентраций горючего газа, соответствующей 50% от НКПР, должно быть обеспечено отключение всех потребителей электроэнергии сооружения, кроме систем противоаварийной защиты постоянного действия, а также подачи горючего газа в сооружение.</w:t>
      </w:r>
    </w:p>
    <w:p>
      <w:pPr>
        <w:pStyle w:val="0"/>
        <w:spacing w:before="240" w:lineRule="auto"/>
        <w:ind w:firstLine="540"/>
        <w:jc w:val="both"/>
      </w:pPr>
      <w:r>
        <w:rPr>
          <w:sz w:val="24"/>
        </w:rPr>
        <w:t xml:space="preserve">Датчики довзрывоопасных концентраций должны располагаться на расстоянии от 50 до 100 мм от перекрытия (навеса) сооружения, в котором обращается КВ.</w:t>
      </w:r>
    </w:p>
    <w:p>
      <w:pPr>
        <w:pStyle w:val="0"/>
        <w:spacing w:before="240" w:lineRule="auto"/>
        <w:ind w:firstLine="540"/>
        <w:jc w:val="both"/>
      </w:pPr>
      <w:r>
        <w:rPr>
          <w:sz w:val="24"/>
        </w:rPr>
        <w:t xml:space="preserve">И.15 Транспортные средства блоков хранения топлива передвижных автомобильных газонаполнительных станций водорода должны отвечать требованиям </w:t>
      </w:r>
      <w:hyperlink w:history="0" w:anchor="P2093" w:tooltip="[1]">
        <w:r>
          <w:rPr>
            <w:sz w:val="24"/>
            <w:color w:val="0000ff"/>
          </w:rPr>
          <w:t xml:space="preserve">[1]</w:t>
        </w:r>
      </w:hyperlink>
      <w:r>
        <w:rPr>
          <w:sz w:val="24"/>
        </w:rPr>
        <w:t xml:space="preserve"> и </w:t>
      </w:r>
      <w:hyperlink w:history="0" w:anchor="P2096" w:tooltip="[2]">
        <w:r>
          <w:rPr>
            <w:sz w:val="24"/>
            <w:color w:val="0000ff"/>
          </w:rPr>
          <w:t xml:space="preserve">[2]</w:t>
        </w:r>
      </w:hyperlink>
      <w:r>
        <w:rPr>
          <w:sz w:val="24"/>
        </w:rPr>
        <w:t xml:space="preserve">.</w:t>
      </w:r>
    </w:p>
    <w:p>
      <w:pPr>
        <w:pStyle w:val="0"/>
        <w:spacing w:before="240" w:lineRule="auto"/>
        <w:ind w:firstLine="540"/>
        <w:jc w:val="both"/>
      </w:pPr>
      <w:r>
        <w:rPr>
          <w:sz w:val="24"/>
        </w:rPr>
        <w:t xml:space="preserve">И.16 Наполнение топливом сосудов блоков хранения топлива технологической системы передвижной АГНСВ непосредственно на территории этой АЗС не допускается.</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К</w:t>
      </w:r>
    </w:p>
    <w:p>
      <w:pPr>
        <w:pStyle w:val="0"/>
        <w:jc w:val="center"/>
      </w:pPr>
      <w:r>
        <w:rPr>
          <w:sz w:val="24"/>
        </w:rPr>
      </w:r>
    </w:p>
    <w:bookmarkStart w:id="2040" w:name="P2040"/>
    <w:bookmarkEnd w:id="2040"/>
    <w:p>
      <w:pPr>
        <w:pStyle w:val="2"/>
        <w:jc w:val="center"/>
      </w:pPr>
      <w:r>
        <w:rPr>
          <w:sz w:val="24"/>
        </w:rPr>
        <w:t xml:space="preserve">СПЕЦИФИЧЕСКИЕ ТРЕБОВАНИЯ</w:t>
      </w:r>
    </w:p>
    <w:p>
      <w:pPr>
        <w:pStyle w:val="2"/>
        <w:jc w:val="center"/>
      </w:pPr>
      <w:r>
        <w:rPr>
          <w:sz w:val="24"/>
        </w:rPr>
        <w:t xml:space="preserve">К ТОПЛИВОЗАПРАВОЧНОМУ ПУНКТУ С НАЛИЧИЕМ ВОДОРОДА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153"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w:t>
              </w:r>
            </w:hyperlink>
            <w:r>
              <w:rPr>
                <w:sz w:val="24"/>
                <w:color w:val="392c69"/>
              </w:rPr>
              <w:t xml:space="preserve"> N 2, утв. Приказом МЧС России от 21.06.2024 N 505)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К.1 Размещение и оснащение АГНСВ должны отвечать требованиям, предъявляемым к размещению и оснащению площадок передвижных АГНСВ.</w:t>
      </w:r>
    </w:p>
    <w:p>
      <w:pPr>
        <w:pStyle w:val="0"/>
        <w:spacing w:before="240" w:lineRule="auto"/>
        <w:ind w:firstLine="540"/>
        <w:jc w:val="both"/>
      </w:pPr>
      <w:r>
        <w:rPr>
          <w:sz w:val="24"/>
        </w:rPr>
        <w:t xml:space="preserve">К.2 Минимальные расстояния от сооружений АГНСВ до зданий, сооружений и наружных установок производственного предприятия, на котором она размещается, следует принимать в соответствии с таблицей К.1.</w:t>
      </w:r>
    </w:p>
    <w:p>
      <w:pPr>
        <w:pStyle w:val="0"/>
        <w:ind w:firstLine="540"/>
        <w:jc w:val="both"/>
      </w:pPr>
      <w:r>
        <w:rPr>
          <w:sz w:val="24"/>
        </w:rPr>
      </w:r>
    </w:p>
    <w:p>
      <w:pPr>
        <w:pStyle w:val="2"/>
        <w:outlineLvl w:val="2"/>
        <w:jc w:val="both"/>
      </w:pPr>
      <w:r>
        <w:rPr>
          <w:sz w:val="24"/>
        </w:rPr>
        <w:t xml:space="preserve">Таблица К.1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064"/>
        <w:gridCol w:w="2424"/>
        <w:gridCol w:w="1562"/>
      </w:tblGrid>
      <w:tr>
        <w:tc>
          <w:tcPr>
            <w:tcW w:w="5064" w:type="dxa"/>
          </w:tcPr>
          <w:p>
            <w:pPr>
              <w:pStyle w:val="0"/>
              <w:jc w:val="center"/>
            </w:pPr>
            <w:r>
              <w:rPr>
                <w:sz w:val="24"/>
              </w:rPr>
              <w:t xml:space="preserve">Наименование зданий, сооружений и наружных установок автотранспортного предприятия или автотранспортного участка производственного предприятия</w:t>
            </w:r>
          </w:p>
        </w:tc>
        <w:tc>
          <w:tcPr>
            <w:tcW w:w="2424" w:type="dxa"/>
          </w:tcPr>
          <w:p>
            <w:pPr>
              <w:pStyle w:val="0"/>
              <w:jc w:val="center"/>
            </w:pPr>
            <w:r>
              <w:rPr>
                <w:sz w:val="24"/>
              </w:rPr>
              <w:t xml:space="preserve">Расстояние, м, до наружных установок технологической системы АЗС с наличием КВ</w:t>
            </w:r>
          </w:p>
        </w:tc>
        <w:tc>
          <w:tcPr>
            <w:tcW w:w="1562" w:type="dxa"/>
          </w:tcPr>
          <w:p>
            <w:pPr>
              <w:pStyle w:val="0"/>
              <w:jc w:val="center"/>
            </w:pPr>
            <w:r>
              <w:rPr>
                <w:sz w:val="24"/>
              </w:rPr>
              <w:t xml:space="preserve">Расстояние, м, до заправочной колонки КВ</w:t>
            </w:r>
          </w:p>
        </w:tc>
      </w:tr>
      <w:tr>
        <w:tc>
          <w:tcPr>
            <w:tcW w:w="5064" w:type="dxa"/>
            <w:vAlign w:val="bottom"/>
          </w:tcPr>
          <w:p>
            <w:pPr>
              <w:pStyle w:val="0"/>
              <w:jc w:val="both"/>
            </w:pPr>
            <w:r>
              <w:rPr>
                <w:sz w:val="24"/>
              </w:rPr>
              <w:t xml:space="preserve">1 Производственные здания и помещения категорий А, Б и Г. Наружные установки категорий АН, БН, ВН, ГН; площадки для хранения транспортных средств, предназначенных для перевозки опасных грузов классов 2 - 4, 8 и подкласса 9.1 по </w:t>
            </w:r>
            <w:hyperlink w:history="0" r:id="rId154"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2424" w:type="dxa"/>
            <w:vAlign w:val="center"/>
          </w:tcPr>
          <w:p>
            <w:pPr>
              <w:pStyle w:val="0"/>
              <w:jc w:val="center"/>
            </w:pPr>
            <w:r>
              <w:rPr>
                <w:sz w:val="24"/>
              </w:rPr>
              <w:t xml:space="preserve">35</w:t>
            </w:r>
          </w:p>
        </w:tc>
        <w:tc>
          <w:tcPr>
            <w:tcW w:w="1562" w:type="dxa"/>
            <w:vAlign w:val="center"/>
          </w:tcPr>
          <w:p>
            <w:pPr>
              <w:pStyle w:val="0"/>
              <w:jc w:val="center"/>
            </w:pPr>
            <w:r>
              <w:rPr>
                <w:sz w:val="24"/>
              </w:rPr>
              <w:t xml:space="preserve">35</w:t>
            </w:r>
          </w:p>
        </w:tc>
      </w:tr>
      <w:tr>
        <w:tc>
          <w:tcPr>
            <w:tcW w:w="5064" w:type="dxa"/>
            <w:vAlign w:val="bottom"/>
          </w:tcPr>
          <w:p>
            <w:pPr>
              <w:pStyle w:val="0"/>
              <w:jc w:val="both"/>
            </w:pPr>
            <w:r>
              <w:rPr>
                <w:sz w:val="24"/>
              </w:rPr>
              <w:t xml:space="preserve">2 Производственные здания категорий В и Д, помещения категорий В1 - В4 и Д, наружные установки категории ДН:</w:t>
            </w:r>
          </w:p>
        </w:tc>
        <w:tc>
          <w:tcPr>
            <w:tcW w:w="2424" w:type="dxa"/>
            <w:vAlign w:val="center"/>
          </w:tcPr>
          <w:p>
            <w:pPr>
              <w:pStyle w:val="0"/>
              <w:jc w:val="center"/>
            </w:pPr>
            <w:r>
              <w:rPr>
                <w:sz w:val="24"/>
              </w:rPr>
            </w:r>
          </w:p>
        </w:tc>
        <w:tc>
          <w:tcPr>
            <w:tcW w:w="1562" w:type="dxa"/>
            <w:vAlign w:val="center"/>
          </w:tcPr>
          <w:p>
            <w:pPr>
              <w:pStyle w:val="0"/>
              <w:jc w:val="center"/>
            </w:pPr>
            <w:r>
              <w:rPr>
                <w:sz w:val="24"/>
              </w:rPr>
            </w:r>
          </w:p>
        </w:tc>
      </w:tr>
      <w:tr>
        <w:tc>
          <w:tcPr>
            <w:tcW w:w="5064" w:type="dxa"/>
            <w:vAlign w:val="center"/>
          </w:tcPr>
          <w:p>
            <w:pPr>
              <w:pStyle w:val="0"/>
              <w:jc w:val="both"/>
            </w:pPr>
            <w:r>
              <w:rPr>
                <w:sz w:val="24"/>
              </w:rPr>
              <w:t xml:space="preserve">здания I, II степеней огнестойкости классов C0, C1 и III степени огнестойкости класса C0;</w:t>
            </w:r>
          </w:p>
        </w:tc>
        <w:tc>
          <w:tcPr>
            <w:tcW w:w="2424" w:type="dxa"/>
            <w:vAlign w:val="center"/>
          </w:tcPr>
          <w:p>
            <w:pPr>
              <w:pStyle w:val="0"/>
              <w:jc w:val="center"/>
            </w:pPr>
            <w:r>
              <w:rPr>
                <w:sz w:val="24"/>
              </w:rPr>
              <w:t xml:space="preserve">20</w:t>
            </w:r>
          </w:p>
        </w:tc>
        <w:tc>
          <w:tcPr>
            <w:tcW w:w="1562" w:type="dxa"/>
            <w:vAlign w:val="center"/>
          </w:tcPr>
          <w:p>
            <w:pPr>
              <w:pStyle w:val="0"/>
              <w:jc w:val="center"/>
            </w:pPr>
            <w:r>
              <w:rPr>
                <w:sz w:val="24"/>
              </w:rPr>
              <w:t xml:space="preserve">20</w:t>
            </w:r>
          </w:p>
        </w:tc>
      </w:tr>
      <w:tr>
        <w:tc>
          <w:tcPr>
            <w:tcW w:w="5064" w:type="dxa"/>
            <w:vAlign w:val="center"/>
          </w:tcPr>
          <w:p>
            <w:pPr>
              <w:pStyle w:val="0"/>
              <w:jc w:val="both"/>
            </w:pPr>
            <w:r>
              <w:rPr>
                <w:sz w:val="24"/>
              </w:rPr>
              <w:t xml:space="preserve">здания III степени огнестойкости класса C1 и IV степени огнестойкости класса C0;</w:t>
            </w:r>
          </w:p>
        </w:tc>
        <w:tc>
          <w:tcPr>
            <w:tcW w:w="2424" w:type="dxa"/>
            <w:vAlign w:val="center"/>
          </w:tcPr>
          <w:p>
            <w:pPr>
              <w:pStyle w:val="0"/>
              <w:jc w:val="center"/>
            </w:pPr>
            <w:r>
              <w:rPr>
                <w:sz w:val="24"/>
              </w:rPr>
              <w:t xml:space="preserve">25</w:t>
            </w:r>
          </w:p>
        </w:tc>
        <w:tc>
          <w:tcPr>
            <w:tcW w:w="1562" w:type="dxa"/>
            <w:vAlign w:val="center"/>
          </w:tcPr>
          <w:p>
            <w:pPr>
              <w:pStyle w:val="0"/>
              <w:jc w:val="center"/>
            </w:pPr>
            <w:r>
              <w:rPr>
                <w:sz w:val="24"/>
              </w:rPr>
              <w:t xml:space="preserve">25</w:t>
            </w:r>
          </w:p>
        </w:tc>
      </w:tr>
      <w:tr>
        <w:tc>
          <w:tcPr>
            <w:tcW w:w="5064" w:type="dxa"/>
            <w:vAlign w:val="bottom"/>
          </w:tcPr>
          <w:p>
            <w:pPr>
              <w:pStyle w:val="0"/>
              <w:jc w:val="both"/>
            </w:pPr>
            <w:r>
              <w:rPr>
                <w:sz w:val="24"/>
              </w:rPr>
              <w:t xml:space="preserve">здания IV, V степеней огнестойкости и наружные установки категории ДН</w:t>
            </w:r>
          </w:p>
        </w:tc>
        <w:tc>
          <w:tcPr>
            <w:tcW w:w="2424" w:type="dxa"/>
            <w:vAlign w:val="center"/>
          </w:tcPr>
          <w:p>
            <w:pPr>
              <w:pStyle w:val="0"/>
              <w:jc w:val="center"/>
            </w:pPr>
            <w:r>
              <w:rPr>
                <w:sz w:val="24"/>
              </w:rPr>
              <w:t xml:space="preserve">30</w:t>
            </w:r>
          </w:p>
        </w:tc>
        <w:tc>
          <w:tcPr>
            <w:tcW w:w="1562" w:type="dxa"/>
            <w:vAlign w:val="center"/>
          </w:tcPr>
          <w:p>
            <w:pPr>
              <w:pStyle w:val="0"/>
              <w:jc w:val="center"/>
            </w:pPr>
            <w:r>
              <w:rPr>
                <w:sz w:val="24"/>
              </w:rPr>
              <w:t xml:space="preserve">30</w:t>
            </w:r>
          </w:p>
        </w:tc>
      </w:tr>
      <w:tr>
        <w:tc>
          <w:tcPr>
            <w:tcW w:w="5064" w:type="dxa"/>
            <w:vAlign w:val="center"/>
          </w:tcPr>
          <w:p>
            <w:pPr>
              <w:pStyle w:val="0"/>
              <w:jc w:val="both"/>
            </w:pPr>
            <w:r>
              <w:rPr>
                <w:sz w:val="24"/>
              </w:rPr>
              <w:t xml:space="preserve">3 Административные и бытовые здания</w:t>
            </w:r>
          </w:p>
        </w:tc>
        <w:tc>
          <w:tcPr>
            <w:tcW w:w="2424" w:type="dxa"/>
            <w:vAlign w:val="center"/>
          </w:tcPr>
          <w:p>
            <w:pPr>
              <w:pStyle w:val="0"/>
              <w:jc w:val="center"/>
            </w:pPr>
            <w:r>
              <w:rPr>
                <w:sz w:val="24"/>
              </w:rPr>
              <w:t xml:space="preserve">30</w:t>
            </w:r>
          </w:p>
        </w:tc>
        <w:tc>
          <w:tcPr>
            <w:tcW w:w="1562" w:type="dxa"/>
            <w:vAlign w:val="center"/>
          </w:tcPr>
          <w:p>
            <w:pPr>
              <w:pStyle w:val="0"/>
              <w:jc w:val="center"/>
            </w:pPr>
            <w:r>
              <w:rPr>
                <w:sz w:val="24"/>
              </w:rPr>
              <w:t xml:space="preserve">30</w:t>
            </w:r>
          </w:p>
        </w:tc>
      </w:tr>
      <w:tr>
        <w:tc>
          <w:tcPr>
            <w:tcW w:w="5064" w:type="dxa"/>
            <w:vAlign w:val="center"/>
          </w:tcPr>
          <w:p>
            <w:pPr>
              <w:pStyle w:val="0"/>
              <w:jc w:val="both"/>
            </w:pPr>
            <w:r>
              <w:rPr>
                <w:sz w:val="24"/>
              </w:rPr>
              <w:t xml:space="preserve">4 Открытые площадки и навесы для хранения транспортных средств</w:t>
            </w:r>
          </w:p>
        </w:tc>
        <w:tc>
          <w:tcPr>
            <w:tcW w:w="2424" w:type="dxa"/>
            <w:vAlign w:val="center"/>
          </w:tcPr>
          <w:p>
            <w:pPr>
              <w:pStyle w:val="0"/>
              <w:jc w:val="center"/>
            </w:pPr>
            <w:r>
              <w:rPr>
                <w:sz w:val="24"/>
              </w:rPr>
              <w:t xml:space="preserve">20</w:t>
            </w:r>
          </w:p>
        </w:tc>
        <w:tc>
          <w:tcPr>
            <w:tcW w:w="1562" w:type="dxa"/>
            <w:vAlign w:val="center"/>
          </w:tcPr>
          <w:p>
            <w:pPr>
              <w:pStyle w:val="0"/>
              <w:jc w:val="center"/>
            </w:pPr>
            <w:r>
              <w:rPr>
                <w:sz w:val="24"/>
              </w:rPr>
              <w:t xml:space="preserve">25</w:t>
            </w:r>
          </w:p>
        </w:tc>
      </w:tr>
      <w:tr>
        <w:tc>
          <w:tcPr>
            <w:tcW w:w="5064" w:type="dxa"/>
            <w:vAlign w:val="center"/>
          </w:tcPr>
          <w:p>
            <w:pPr>
              <w:pStyle w:val="0"/>
              <w:jc w:val="both"/>
            </w:pPr>
            <w:r>
              <w:rPr>
                <w:sz w:val="24"/>
              </w:rPr>
              <w:t xml:space="preserve">5 До края проезжей части автомобильных дорог предприятия</w:t>
            </w:r>
          </w:p>
        </w:tc>
        <w:tc>
          <w:tcPr>
            <w:tcW w:w="2424" w:type="dxa"/>
            <w:vAlign w:val="center"/>
          </w:tcPr>
          <w:p>
            <w:pPr>
              <w:pStyle w:val="0"/>
              <w:jc w:val="center"/>
            </w:pPr>
            <w:r>
              <w:rPr>
                <w:sz w:val="24"/>
              </w:rPr>
              <w:t xml:space="preserve">20</w:t>
            </w:r>
          </w:p>
        </w:tc>
        <w:tc>
          <w:tcPr>
            <w:tcW w:w="1562" w:type="dxa"/>
            <w:vAlign w:val="center"/>
          </w:tcPr>
          <w:p>
            <w:pPr>
              <w:pStyle w:val="0"/>
              <w:jc w:val="center"/>
            </w:pPr>
            <w:r>
              <w:rPr>
                <w:sz w:val="24"/>
              </w:rPr>
              <w:t xml:space="preserve">15</w:t>
            </w:r>
          </w:p>
        </w:tc>
      </w:tr>
      <w:tr>
        <w:tc>
          <w:tcPr>
            <w:tcW w:w="5064" w:type="dxa"/>
            <w:vAlign w:val="center"/>
          </w:tcPr>
          <w:p>
            <w:pPr>
              <w:pStyle w:val="0"/>
              <w:jc w:val="both"/>
            </w:pPr>
            <w:r>
              <w:rPr>
                <w:sz w:val="24"/>
              </w:rPr>
              <w:t xml:space="preserve">6 Площадки для хранения транспортных средств, предназначенных для перевозки опасных грузов классов 1, 5 - 7 и подкласса 9.2 по </w:t>
            </w:r>
            <w:hyperlink w:history="0" r:id="rId155"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2424" w:type="dxa"/>
            <w:vAlign w:val="center"/>
          </w:tcPr>
          <w:p>
            <w:pPr>
              <w:pStyle w:val="0"/>
              <w:jc w:val="center"/>
            </w:pPr>
            <w:r>
              <w:rPr>
                <w:sz w:val="24"/>
              </w:rPr>
              <w:t xml:space="preserve">100</w:t>
            </w:r>
          </w:p>
        </w:tc>
        <w:tc>
          <w:tcPr>
            <w:tcW w:w="1562" w:type="dxa"/>
            <w:vAlign w:val="center"/>
          </w:tcPr>
          <w:p>
            <w:pPr>
              <w:pStyle w:val="0"/>
              <w:jc w:val="center"/>
            </w:pPr>
            <w:r>
              <w:rPr>
                <w:sz w:val="24"/>
              </w:rPr>
              <w:t xml:space="preserve">100</w:t>
            </w:r>
          </w:p>
        </w:tc>
      </w:tr>
      <w:tr>
        <w:tc>
          <w:tcPr>
            <w:gridSpan w:val="3"/>
            <w:tcW w:w="9050" w:type="dxa"/>
            <w:vAlign w:val="bottom"/>
          </w:tcPr>
          <w:p>
            <w:pPr>
              <w:pStyle w:val="0"/>
              <w:ind w:firstLine="283"/>
              <w:jc w:val="both"/>
            </w:pPr>
            <w:r>
              <w:rPr>
                <w:sz w:val="24"/>
              </w:rPr>
              <w:t xml:space="preserve">Примечания</w:t>
            </w:r>
          </w:p>
          <w:p>
            <w:pPr>
              <w:pStyle w:val="0"/>
              <w:ind w:firstLine="283"/>
              <w:jc w:val="both"/>
            </w:pPr>
            <w:r>
              <w:rPr>
                <w:sz w:val="24"/>
              </w:rPr>
              <w:t xml:space="preserve">1 Расстояние от раздаточной колонки КВ до автомобильной дороги предприятия (за исключением дорог для электрифицированного транспорта с воздушными линиями токопроводов) допускается уменьшать не более чем на 50% при установке между дорогой и заправочным островком, для которого указанная колонка предназначена, защитного экрана, отвечающего требованиям настоящего свода правил.</w:t>
            </w:r>
          </w:p>
          <w:p>
            <w:pPr>
              <w:pStyle w:val="0"/>
              <w:ind w:firstLine="283"/>
              <w:jc w:val="both"/>
            </w:pPr>
            <w:r>
              <w:rPr>
                <w:sz w:val="24"/>
              </w:rPr>
              <w:t xml:space="preserve">2 Минимальное расстояние от сбросной трубы КВ до зданий и сооружений предприятия определяется расчетом в соответствии с требованиями настоящего свода правил.</w:t>
            </w:r>
          </w:p>
          <w:p>
            <w:pPr>
              <w:pStyle w:val="0"/>
              <w:ind w:firstLine="283"/>
              <w:jc w:val="both"/>
            </w:pPr>
            <w:r>
              <w:rPr>
                <w:sz w:val="24"/>
              </w:rPr>
              <w:t xml:space="preserve">3 Минимальное расстояние от трубопровода, подводящего КВ к раздаточной колонке, до оборудования, зданий (сооружений) с которого этот водород поступает в трубопровод, не нормируется. Расстояния от АГНСВ, эксплуатирующейся в качестве топливозаправочного пункта, до сторонних объектов, не относящихся к предприятию, на котором он размещается, следует определять в соответствии с положениями </w:t>
            </w:r>
            <w:hyperlink w:history="0" w:anchor="P1935" w:tooltip="Таблица И.1">
              <w:r>
                <w:rPr>
                  <w:sz w:val="24"/>
                  <w:color w:val="0000ff"/>
                </w:rPr>
                <w:t xml:space="preserve">таблицы И.1</w:t>
              </w:r>
            </w:hyperlink>
            <w:r>
              <w:rPr>
                <w:sz w:val="24"/>
              </w:rPr>
              <w:t xml:space="preserve">.</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089" w:name="P2089"/>
    <w:bookmarkEnd w:id="2089"/>
    <w:p>
      <w:pPr>
        <w:pStyle w:val="2"/>
        <w:outlineLvl w:val="1"/>
        <w:jc w:val="center"/>
      </w:pPr>
      <w:r>
        <w:rPr>
          <w:sz w:val="24"/>
        </w:rPr>
        <w:t xml:space="preserve">БИБЛИОГРАФИЯ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5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CellMar>
          <w:top w:w="102" w:type="dxa"/>
          <w:left w:w="62" w:type="dxa"/>
          <w:bottom w:w="102" w:type="dxa"/>
          <w:right w:w="62" w:type="dxa"/>
        </w:tblCellMar>
      </w:tblPr>
      <w:tblGrid>
        <w:gridCol w:w="555"/>
        <w:gridCol w:w="1080"/>
        <w:gridCol w:w="7425"/>
      </w:tblGrid>
      <w:tr>
        <w:tc>
          <w:tcPr>
            <w:tcW w:w="555" w:type="dxa"/>
            <w:tcBorders>
              <w:top w:val="nil"/>
              <w:left w:val="nil"/>
              <w:bottom w:val="nil"/>
              <w:right w:val="nil"/>
            </w:tcBorders>
          </w:tcPr>
          <w:bookmarkStart w:id="2093" w:name="P2093"/>
          <w:bookmarkEnd w:id="2093"/>
          <w:p>
            <w:pPr>
              <w:pStyle w:val="0"/>
            </w:pPr>
            <w:r>
              <w:rPr>
                <w:sz w:val="24"/>
              </w:rPr>
              <w:t xml:space="preserve">[1]</w:t>
            </w:r>
          </w:p>
        </w:tc>
        <w:tc>
          <w:tcPr>
            <w:tcW w:w="1080" w:type="dxa"/>
            <w:tcBorders>
              <w:top w:val="nil"/>
              <w:left w:val="nil"/>
              <w:bottom w:val="nil"/>
              <w:right w:val="nil"/>
            </w:tcBorders>
          </w:tcPr>
          <w:p>
            <w:pPr>
              <w:pStyle w:val="0"/>
            </w:pPr>
            <w:r>
              <w:rPr>
                <w:sz w:val="24"/>
              </w:rPr>
            </w:r>
          </w:p>
        </w:tc>
        <w:tc>
          <w:tcPr>
            <w:tcW w:w="7425" w:type="dxa"/>
            <w:tcBorders>
              <w:top w:val="nil"/>
              <w:left w:val="nil"/>
              <w:bottom w:val="nil"/>
              <w:right w:val="nil"/>
            </w:tcBorders>
          </w:tcPr>
          <w:p>
            <w:pPr>
              <w:pStyle w:val="0"/>
              <w:jc w:val="both"/>
            </w:pPr>
            <w:hyperlink w:history="0" r:id="rId157" w:tooltip="Постановление Правительства РФ от 21.12.2020 N 2200 (ред. от 27.05.2025) &quot;Об утверждении Правил перевозок грузов автомобильным транспортом и о внесении изменений в пункт 2.1.1 Правил дорожного движения Российской Федерации&quot; {КонсультантПлюс}">
              <w:r>
                <w:rPr>
                  <w:sz w:val="24"/>
                  <w:color w:val="0000ff"/>
                </w:rPr>
                <w:t xml:space="preserve">Правила</w:t>
              </w:r>
            </w:hyperlink>
            <w:r>
              <w:rPr>
                <w:sz w:val="24"/>
              </w:rPr>
              <w:t xml:space="preserve"> перевозок грузов автомобильным транспортом, утвержденные постановлением Правительства Российской Федерации от 21 декабря 2020 г. N 2200</w:t>
            </w:r>
          </w:p>
        </w:tc>
      </w:tr>
      <w:tr>
        <w:tc>
          <w:tcPr>
            <w:tcW w:w="555" w:type="dxa"/>
            <w:tcBorders>
              <w:top w:val="nil"/>
              <w:left w:val="nil"/>
              <w:bottom w:val="nil"/>
              <w:right w:val="nil"/>
            </w:tcBorders>
          </w:tcPr>
          <w:bookmarkStart w:id="2096" w:name="P2096"/>
          <w:bookmarkEnd w:id="2096"/>
          <w:p>
            <w:pPr>
              <w:pStyle w:val="0"/>
            </w:pPr>
            <w:r>
              <w:rPr>
                <w:sz w:val="24"/>
              </w:rPr>
              <w:t xml:space="preserve">[2]</w:t>
            </w:r>
          </w:p>
        </w:tc>
        <w:tc>
          <w:tcPr>
            <w:tcW w:w="1080" w:type="dxa"/>
            <w:tcBorders>
              <w:top w:val="nil"/>
              <w:left w:val="nil"/>
              <w:bottom w:val="nil"/>
              <w:right w:val="nil"/>
            </w:tcBorders>
          </w:tcPr>
          <w:p>
            <w:pPr>
              <w:pStyle w:val="0"/>
            </w:pPr>
            <w:r>
              <w:rPr>
                <w:sz w:val="24"/>
              </w:rPr>
              <w:t xml:space="preserve">ДОПОГ</w:t>
            </w:r>
          </w:p>
        </w:tc>
        <w:tc>
          <w:tcPr>
            <w:tcW w:w="7425" w:type="dxa"/>
            <w:tcBorders>
              <w:top w:val="nil"/>
              <w:left w:val="nil"/>
              <w:bottom w:val="nil"/>
              <w:right w:val="nil"/>
            </w:tcBorders>
          </w:tcPr>
          <w:p>
            <w:pPr>
              <w:pStyle w:val="0"/>
              <w:jc w:val="both"/>
            </w:pPr>
            <w:r>
              <w:rPr>
                <w:sz w:val="24"/>
              </w:rPr>
              <w:t xml:space="preserve">Европейское </w:t>
            </w:r>
            <w:hyperlink w:history="0" r:id="rId158" w:tooltip="&quot;Европейское соглашение о международной дорожной перевозке опасных грузов&quot; (ДОПОГ/ADR) (заключено в г. Женеве 30.09.1957) {КонсультантПлюс}">
              <w:r>
                <w:rPr>
                  <w:sz w:val="24"/>
                  <w:color w:val="0000ff"/>
                </w:rPr>
                <w:t xml:space="preserve">Соглашение</w:t>
              </w:r>
            </w:hyperlink>
            <w:r>
              <w:rPr>
                <w:sz w:val="24"/>
              </w:rPr>
              <w:t xml:space="preserve"> о международной дорожной перевозке опасных грузов, утвержденное </w:t>
            </w:r>
            <w:hyperlink w:history="0" r:id="rId159" w:tooltip="Постановление Правительства РФ от 24.07.2021 N 1262 &quot;О реализации Соглашения о международной дорожной перевозке опасных грузов (ДОПОГ) от 30 сентября 1957 г.&quot; {КонсультантПлюс}">
              <w:r>
                <w:rPr>
                  <w:sz w:val="24"/>
                  <w:color w:val="0000ff"/>
                </w:rPr>
                <w:t xml:space="preserve">постановлением</w:t>
              </w:r>
            </w:hyperlink>
            <w:r>
              <w:rPr>
                <w:sz w:val="24"/>
              </w:rPr>
              <w:t xml:space="preserve"> Правительства Российской Федерации от 24 июля 2021 г. N 1262</w:t>
            </w:r>
          </w:p>
        </w:tc>
      </w:tr>
      <w:tr>
        <w:tc>
          <w:tcPr>
            <w:tcW w:w="555" w:type="dxa"/>
            <w:tcBorders>
              <w:top w:val="nil"/>
              <w:left w:val="nil"/>
              <w:bottom w:val="nil"/>
              <w:right w:val="nil"/>
            </w:tcBorders>
          </w:tcPr>
          <w:bookmarkStart w:id="2099" w:name="P2099"/>
          <w:bookmarkEnd w:id="2099"/>
          <w:p>
            <w:pPr>
              <w:pStyle w:val="0"/>
            </w:pPr>
            <w:r>
              <w:rPr>
                <w:sz w:val="24"/>
              </w:rPr>
              <w:t xml:space="preserve">[3]</w:t>
            </w:r>
          </w:p>
        </w:tc>
        <w:tc>
          <w:tcPr>
            <w:tcW w:w="1080" w:type="dxa"/>
            <w:tcBorders>
              <w:top w:val="nil"/>
              <w:left w:val="nil"/>
              <w:bottom w:val="nil"/>
              <w:right w:val="nil"/>
            </w:tcBorders>
          </w:tcPr>
          <w:p>
            <w:pPr>
              <w:pStyle w:val="0"/>
            </w:pPr>
            <w:r>
              <w:rPr>
                <w:sz w:val="24"/>
              </w:rPr>
              <w:t xml:space="preserve">ПУЭ</w:t>
            </w:r>
          </w:p>
        </w:tc>
        <w:tc>
          <w:tcPr>
            <w:tcW w:w="7425" w:type="dxa"/>
            <w:tcBorders>
              <w:top w:val="nil"/>
              <w:left w:val="nil"/>
              <w:bottom w:val="nil"/>
              <w:right w:val="nil"/>
            </w:tcBorders>
          </w:tcPr>
          <w:p>
            <w:pPr>
              <w:pStyle w:val="0"/>
              <w:jc w:val="both"/>
            </w:pPr>
            <w:hyperlink w:history="0" r:id="rId160" w:tooltip="Приказ Минэнерго РФ от 20.06.2003 N 242 &quot;Об утверждении глав Правил устройства электроустановок&quot; (вместе с &quot;Правилами устройства электроустановок. Седьмое издание. Раздел 4. Распределительные устройства и подстанции. Главы 4.1, 4.2&quot;) {КонсультантПлюс}">
              <w:r>
                <w:rPr>
                  <w:sz w:val="24"/>
                  <w:color w:val="0000ff"/>
                </w:rPr>
                <w:t xml:space="preserve">Правила</w:t>
              </w:r>
            </w:hyperlink>
            <w:r>
              <w:rPr>
                <w:sz w:val="24"/>
              </w:rPr>
              <w:t xml:space="preserve"> устройства электроустановок, утвержденные приказом Министерства энергетики Российской Федерации от 20 июня 2003 г. N 242</w:t>
            </w:r>
          </w:p>
        </w:tc>
      </w:tr>
      <w:tr>
        <w:tc>
          <w:tcPr>
            <w:tcW w:w="555" w:type="dxa"/>
            <w:tcBorders>
              <w:top w:val="nil"/>
              <w:left w:val="nil"/>
              <w:bottom w:val="nil"/>
              <w:right w:val="nil"/>
            </w:tcBorders>
          </w:tcPr>
          <w:p>
            <w:pPr>
              <w:pStyle w:val="0"/>
            </w:pPr>
            <w:r>
              <w:rPr>
                <w:sz w:val="24"/>
              </w:rPr>
              <w:t xml:space="preserve">[4]</w:t>
            </w:r>
          </w:p>
        </w:tc>
        <w:tc>
          <w:tcPr>
            <w:tcW w:w="1080" w:type="dxa"/>
            <w:tcBorders>
              <w:top w:val="nil"/>
              <w:left w:val="nil"/>
              <w:bottom w:val="nil"/>
              <w:right w:val="nil"/>
            </w:tcBorders>
          </w:tcPr>
          <w:p>
            <w:pPr>
              <w:pStyle w:val="0"/>
            </w:pPr>
            <w:r>
              <w:rPr>
                <w:sz w:val="24"/>
              </w:rPr>
              <w:t xml:space="preserve">ППР</w:t>
            </w:r>
          </w:p>
        </w:tc>
        <w:tc>
          <w:tcPr>
            <w:tcW w:w="7425" w:type="dxa"/>
            <w:tcBorders>
              <w:top w:val="nil"/>
              <w:left w:val="nil"/>
              <w:bottom w:val="nil"/>
              <w:right w:val="nil"/>
            </w:tcBorders>
          </w:tcPr>
          <w:p>
            <w:pPr>
              <w:pStyle w:val="0"/>
              <w:jc w:val="both"/>
            </w:pPr>
            <w:hyperlink w:history="0" r:id="rId161" w:tooltip="Постановление Правительства РФ от 16.09.2020 N 1479 (ред. от 03.02.2025) &quot;Об утверждении Правил противопожарного режима в Российской Федерации&quot; {КонсультантПлюс}">
              <w:r>
                <w:rPr>
                  <w:sz w:val="24"/>
                  <w:color w:val="0000ff"/>
                </w:rPr>
                <w:t xml:space="preserve">Правила</w:t>
              </w:r>
            </w:hyperlink>
            <w:r>
              <w:rPr>
                <w:sz w:val="24"/>
              </w:rPr>
              <w:t xml:space="preserve"> противопожарного режима в Российской Федерации, утвержденные постановлением Правительства Российской Федерации от 16 сентября 2020 г. N 1479</w:t>
            </w:r>
          </w:p>
        </w:tc>
      </w:tr>
      <w:tr>
        <w:tc>
          <w:tcPr>
            <w:tcW w:w="555" w:type="dxa"/>
            <w:tcBorders>
              <w:top w:val="nil"/>
              <w:left w:val="nil"/>
              <w:bottom w:val="nil"/>
              <w:right w:val="nil"/>
            </w:tcBorders>
          </w:tcPr>
          <w:p>
            <w:pPr>
              <w:pStyle w:val="0"/>
            </w:pPr>
            <w:r>
              <w:rPr>
                <w:sz w:val="24"/>
              </w:rPr>
              <w:t xml:space="preserve">[5]</w:t>
            </w:r>
          </w:p>
        </w:tc>
        <w:tc>
          <w:tcPr>
            <w:tcW w:w="1080" w:type="dxa"/>
            <w:tcBorders>
              <w:top w:val="nil"/>
              <w:left w:val="nil"/>
              <w:bottom w:val="nil"/>
              <w:right w:val="nil"/>
            </w:tcBorders>
          </w:tcPr>
          <w:p>
            <w:pPr>
              <w:pStyle w:val="0"/>
            </w:pPr>
            <w:r>
              <w:rPr>
                <w:sz w:val="24"/>
              </w:rPr>
            </w:r>
          </w:p>
        </w:tc>
        <w:tc>
          <w:tcPr>
            <w:tcW w:w="7425" w:type="dxa"/>
            <w:tcBorders>
              <w:top w:val="nil"/>
              <w:left w:val="nil"/>
              <w:bottom w:val="nil"/>
              <w:right w:val="nil"/>
            </w:tcBorders>
          </w:tcPr>
          <w:p>
            <w:pPr>
              <w:pStyle w:val="0"/>
              <w:jc w:val="both"/>
            </w:pPr>
            <w:hyperlink w:history="0" r:id="rId162" w:tooltip="Приказ МЧС РФ от 10.07.2009 N 404 (ред. от 14.12.2010) &quot;Об утверждении методики определения расчетных величин пожарного риска на производственных объектах&quot; (Зарегистрировано в Минюсте России 17.08.2009 N 14541) ------------ Утратил силу или отменен {КонсультантПлюс}">
              <w:r>
                <w:rPr>
                  <w:sz w:val="24"/>
                  <w:color w:val="0000ff"/>
                </w:rPr>
                <w:t xml:space="preserve">Методика</w:t>
              </w:r>
            </w:hyperlink>
            <w:r>
              <w:rPr>
                <w:sz w:val="24"/>
              </w:rPr>
              <w:t xml:space="preserve"> определения расчетных величин пожарного риска на производственных объектах, утвержденная приказом Министерства Российской Федерации по делам гражданской обороны, чрезвычайным ситуациям и ликвидации последствий стихийных бедствий от 10.07.2009 N 404</w:t>
            </w:r>
          </w:p>
        </w:tc>
      </w:tr>
      <w:tr>
        <w:tc>
          <w:tcPr>
            <w:tcW w:w="555" w:type="dxa"/>
            <w:tcBorders>
              <w:top w:val="nil"/>
              <w:left w:val="nil"/>
              <w:bottom w:val="nil"/>
              <w:right w:val="nil"/>
            </w:tcBorders>
          </w:tcPr>
          <w:bookmarkStart w:id="2108" w:name="P2108"/>
          <w:bookmarkEnd w:id="2108"/>
          <w:p>
            <w:pPr>
              <w:pStyle w:val="0"/>
            </w:pPr>
            <w:r>
              <w:rPr>
                <w:sz w:val="24"/>
              </w:rPr>
              <w:t xml:space="preserve">[6]</w:t>
            </w:r>
          </w:p>
        </w:tc>
        <w:tc>
          <w:tcPr>
            <w:tcW w:w="1080" w:type="dxa"/>
            <w:tcBorders>
              <w:top w:val="nil"/>
              <w:left w:val="nil"/>
              <w:bottom w:val="nil"/>
              <w:right w:val="nil"/>
            </w:tcBorders>
          </w:tcPr>
          <w:p>
            <w:pPr>
              <w:pStyle w:val="0"/>
            </w:pPr>
            <w:r>
              <w:rPr>
                <w:sz w:val="24"/>
              </w:rPr>
            </w:r>
          </w:p>
        </w:tc>
        <w:tc>
          <w:tcPr>
            <w:tcW w:w="7425" w:type="dxa"/>
            <w:tcBorders>
              <w:top w:val="nil"/>
              <w:left w:val="nil"/>
              <w:bottom w:val="nil"/>
              <w:right w:val="nil"/>
            </w:tcBorders>
          </w:tcPr>
          <w:p>
            <w:pPr>
              <w:pStyle w:val="0"/>
              <w:jc w:val="both"/>
            </w:pPr>
            <w:hyperlink w:history="0" r:id="rId163" w:tooltip="Приказ Ростехнадзора от 15.12.2020 N 530 (ред. от 04.07.2022) &quot;Об утверждении федеральных норм и правил в области промышленной безопасности &quot;Правила безопасности автогазозаправочных станций газомоторного топлива&quot; (Зарегистрировано в Минюсте России 25.12.2020 N 61804) {КонсультантПлюс}">
              <w:r>
                <w:rPr>
                  <w:sz w:val="24"/>
                  <w:color w:val="0000ff"/>
                </w:rPr>
                <w:t xml:space="preserve">Правила</w:t>
              </w:r>
            </w:hyperlink>
            <w:r>
              <w:rPr>
                <w:sz w:val="24"/>
              </w:rPr>
              <w:t xml:space="preserve"> безопасности автогазозаправочных станций газомоторного топлива, утвержденные приказом Федеральной службы по экологическому, технологическому и атомному надзору от 15 декабря 2020 г. N 530</w:t>
            </w:r>
          </w:p>
        </w:tc>
      </w:tr>
    </w:tbl>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6507"/>
        <w:gridCol w:w="2523"/>
      </w:tblGrid>
      <w:tr>
        <w:tc>
          <w:tcPr>
            <w:tcW w:w="6507" w:type="dxa"/>
            <w:tcBorders>
              <w:top w:val="single" w:sz="4"/>
              <w:left w:val="nil"/>
              <w:bottom w:val="nil"/>
              <w:right w:val="nil"/>
            </w:tcBorders>
          </w:tcPr>
          <w:p>
            <w:pPr>
              <w:pStyle w:val="0"/>
              <w:jc w:val="both"/>
            </w:pPr>
            <w:r>
              <w:rPr>
                <w:sz w:val="24"/>
              </w:rPr>
              <w:t xml:space="preserve">УДК 614.841.33(045):006.345</w:t>
            </w:r>
          </w:p>
        </w:tc>
        <w:tc>
          <w:tcPr>
            <w:tcW w:w="2523" w:type="dxa"/>
            <w:tcBorders>
              <w:top w:val="single" w:sz="4"/>
              <w:left w:val="nil"/>
              <w:bottom w:val="nil"/>
              <w:right w:val="nil"/>
            </w:tcBorders>
          </w:tcPr>
          <w:p>
            <w:pPr>
              <w:pStyle w:val="0"/>
              <w:jc w:val="right"/>
            </w:pPr>
            <w:r>
              <w:rPr>
                <w:sz w:val="24"/>
              </w:rPr>
              <w:t xml:space="preserve">ОКС 13.220.01</w:t>
            </w:r>
          </w:p>
        </w:tc>
      </w:tr>
      <w:tr>
        <w:tc>
          <w:tcPr>
            <w:gridSpan w:val="2"/>
            <w:tcW w:w="9030" w:type="dxa"/>
            <w:tcBorders>
              <w:top w:val="nil"/>
              <w:left w:val="nil"/>
              <w:bottom w:val="single" w:sz="4"/>
              <w:right w:val="nil"/>
            </w:tcBorders>
          </w:tcPr>
          <w:p>
            <w:pPr>
              <w:pStyle w:val="0"/>
              <w:jc w:val="both"/>
            </w:pPr>
            <w:r>
              <w:rPr>
                <w:sz w:val="24"/>
              </w:rPr>
              <w:t xml:space="preserve">Ключевые слова: автозаправочные станции, требования пожарной безопасности, жидкое моторное топливо, газовое моторное топливо</w:t>
            </w:r>
          </w:p>
        </w:tc>
      </w:tr>
    </w:tbl>
    <w:p>
      <w:pPr>
        <w:pStyle w:val="0"/>
        <w:jc w:val="center"/>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05.05.2014 N 221</w:t>
            <w:br/>
            <w:t>(ред. от 21.06.2024)</w:t>
            <w:br/>
            <w:t>"Об утверждении свода правил "Станции автомобильные заправочн...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МЧС России от 05.05.2014 N 221</w:t>
            <w:br/>
            <w:t>(ред. от 21.06.2024)</w:t>
            <w:br/>
            <w:t>"Об утверждении свода правил "Станции автомобильные заправочн...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71470&amp;date=03.04.2026&amp;dst=100007&amp;field=134" TargetMode = "External"/><Relationship Id="rId9" Type="http://schemas.openxmlformats.org/officeDocument/2006/relationships/hyperlink" Target="https://login.consultant.ru/link/?req=doc&amp;base=LAW&amp;n=497000&amp;date=03.04.2026&amp;dst=100004&amp;field=134" TargetMode = "External"/><Relationship Id="rId10" Type="http://schemas.openxmlformats.org/officeDocument/2006/relationships/hyperlink" Target="https://login.consultant.ru/link/?req=doc&amp;base=LAW&amp;n=511695&amp;date=03.04.2026&amp;dst=102048&amp;field=134" TargetMode = "External"/><Relationship Id="rId11" Type="http://schemas.openxmlformats.org/officeDocument/2006/relationships/hyperlink" Target="https://login.consultant.ru/link/?req=doc&amp;base=LAW&amp;n=528553&amp;date=03.04.2026&amp;dst=100156&amp;field=134" TargetMode = "External"/><Relationship Id="rId12" Type="http://schemas.openxmlformats.org/officeDocument/2006/relationships/hyperlink" Target="https://login.consultant.ru/link/?req=doc&amp;base=LAW&amp;n=81935&amp;date=03.04.2026&amp;dst=100010&amp;field=134" TargetMode = "External"/><Relationship Id="rId13" Type="http://schemas.openxmlformats.org/officeDocument/2006/relationships/hyperlink" Target="https://login.consultant.ru/link/?req=doc&amp;base=LAW&amp;n=471470&amp;date=03.04.2026&amp;dst=100007&amp;field=134" TargetMode = "External"/><Relationship Id="rId14" Type="http://schemas.openxmlformats.org/officeDocument/2006/relationships/hyperlink" Target="https://login.consultant.ru/link/?req=doc&amp;base=LAW&amp;n=497000&amp;date=03.04.2026&amp;dst=100010&amp;field=134" TargetMode = "External"/><Relationship Id="rId15" Type="http://schemas.openxmlformats.org/officeDocument/2006/relationships/hyperlink" Target="https://login.consultant.ru/link/?req=doc&amp;base=LAW&amp;n=512697&amp;date=03.04.2026&amp;dst=242&amp;field=134" TargetMode = "External"/><Relationship Id="rId16" Type="http://schemas.openxmlformats.org/officeDocument/2006/relationships/hyperlink" Target="https://login.consultant.ru/link/?req=doc&amp;base=LAW&amp;n=501774&amp;date=03.04.2026&amp;dst=100010&amp;field=134" TargetMode = "External"/><Relationship Id="rId17" Type="http://schemas.openxmlformats.org/officeDocument/2006/relationships/hyperlink" Target="https://login.consultant.ru/link/?req=doc&amp;base=LAW&amp;n=471470&amp;date=03.04.2026&amp;dst=100008&amp;field=134" TargetMode = "External"/><Relationship Id="rId18" Type="http://schemas.openxmlformats.org/officeDocument/2006/relationships/hyperlink" Target="https://login.consultant.ru/link/?req=doc&amp;base=LAW&amp;n=511695&amp;date=03.04.2026&amp;dst=102048&amp;field=134" TargetMode = "External"/><Relationship Id="rId19" Type="http://schemas.openxmlformats.org/officeDocument/2006/relationships/hyperlink" Target="https://login.consultant.ru/link/?req=doc&amp;base=LAW&amp;n=497000&amp;date=03.04.2026&amp;dst=100010&amp;field=134" TargetMode = "External"/><Relationship Id="rId20" Type="http://schemas.openxmlformats.org/officeDocument/2006/relationships/hyperlink" Target="https://login.consultant.ru/link/?req=doc&amp;base=LAW&amp;n=511695&amp;date=03.04.2026" TargetMode = "External"/><Relationship Id="rId21" Type="http://schemas.openxmlformats.org/officeDocument/2006/relationships/hyperlink" Target="https://login.consultant.ru/link/?req=doc&amp;base=LAW&amp;n=497000&amp;date=03.04.2026&amp;dst=100013&amp;field=134" TargetMode = "External"/><Relationship Id="rId22" Type="http://schemas.openxmlformats.org/officeDocument/2006/relationships/hyperlink" Target="https://login.consultant.ru/link/?req=doc&amp;base=STR&amp;n=3&amp;date=03.04.2026" TargetMode = "External"/><Relationship Id="rId23" Type="http://schemas.openxmlformats.org/officeDocument/2006/relationships/hyperlink" Target="https://login.consultant.ru/link/?req=doc&amp;base=STR&amp;n=8507&amp;date=03.04.2026" TargetMode = "External"/><Relationship Id="rId24" Type="http://schemas.openxmlformats.org/officeDocument/2006/relationships/hyperlink" Target="https://login.consultant.ru/link/?req=doc&amp;base=STR&amp;n=7943&amp;date=03.04.2026" TargetMode = "External"/><Relationship Id="rId25" Type="http://schemas.openxmlformats.org/officeDocument/2006/relationships/hyperlink" Target="https://login.consultant.ru/link/?req=doc&amp;base=STR&amp;n=16850&amp;date=03.04.2026" TargetMode = "External"/><Relationship Id="rId26" Type="http://schemas.openxmlformats.org/officeDocument/2006/relationships/hyperlink" Target="https://login.consultant.ru/link/?req=doc&amp;base=OTN&amp;n=44208&amp;date=03.04.2026" TargetMode = "External"/><Relationship Id="rId27" Type="http://schemas.openxmlformats.org/officeDocument/2006/relationships/hyperlink" Target="https://login.consultant.ru/link/?req=doc&amp;base=LAW&amp;n=471470&amp;date=03.04.2026&amp;dst=100012&amp;field=134" TargetMode = "External"/><Relationship Id="rId28" Type="http://schemas.openxmlformats.org/officeDocument/2006/relationships/hyperlink" Target="https://login.consultant.ru/link/?req=doc&amp;base=STR&amp;n=28226&amp;date=03.04.2026" TargetMode = "External"/><Relationship Id="rId29" Type="http://schemas.openxmlformats.org/officeDocument/2006/relationships/hyperlink" Target="https://login.consultant.ru/link/?req=doc&amp;base=LAW&amp;n=471470&amp;date=03.04.2026&amp;dst=100013&amp;field=134" TargetMode = "External"/><Relationship Id="rId30" Type="http://schemas.openxmlformats.org/officeDocument/2006/relationships/hyperlink" Target="https://login.consultant.ru/link/?req=doc&amp;base=STR&amp;n=19305&amp;date=03.04.2026" TargetMode = "External"/><Relationship Id="rId31" Type="http://schemas.openxmlformats.org/officeDocument/2006/relationships/hyperlink" Target="https://login.consultant.ru/link/?req=doc&amp;base=LAW&amp;n=471470&amp;date=03.04.2026&amp;dst=100014&amp;field=134" TargetMode = "External"/><Relationship Id="rId32" Type="http://schemas.openxmlformats.org/officeDocument/2006/relationships/hyperlink" Target="https://login.consultant.ru/link/?req=doc&amp;base=LAW&amp;n=471470&amp;date=03.04.2026&amp;dst=100015&amp;field=134" TargetMode = "External"/><Relationship Id="rId33" Type="http://schemas.openxmlformats.org/officeDocument/2006/relationships/hyperlink" Target="https://login.consultant.ru/link/?req=doc&amp;base=LAW&amp;n=471470&amp;date=03.04.2026&amp;dst=100018&amp;field=134" TargetMode = "External"/><Relationship Id="rId34" Type="http://schemas.openxmlformats.org/officeDocument/2006/relationships/hyperlink" Target="https://login.consultant.ru/link/?req=doc&amp;base=LAW&amp;n=471470&amp;date=03.04.2026&amp;dst=100020&amp;field=134" TargetMode = "External"/><Relationship Id="rId35" Type="http://schemas.openxmlformats.org/officeDocument/2006/relationships/hyperlink" Target="https://login.consultant.ru/link/?req=doc&amp;base=LAW&amp;n=497000&amp;date=03.04.2026&amp;dst=100018&amp;field=134" TargetMode = "External"/><Relationship Id="rId36" Type="http://schemas.openxmlformats.org/officeDocument/2006/relationships/hyperlink" Target="https://login.consultant.ru/link/?req=doc&amp;base=OTN&amp;n=7428&amp;date=03.04.2026" TargetMode = "External"/><Relationship Id="rId37" Type="http://schemas.openxmlformats.org/officeDocument/2006/relationships/hyperlink" Target="https://login.consultant.ru/link/?req=doc&amp;base=OTN&amp;n=34279&amp;date=03.04.2026" TargetMode = "External"/><Relationship Id="rId38" Type="http://schemas.openxmlformats.org/officeDocument/2006/relationships/hyperlink" Target="https://login.consultant.ru/link/?req=doc&amp;base=STR&amp;n=22659&amp;date=03.04.2026" TargetMode = "External"/><Relationship Id="rId39" Type="http://schemas.openxmlformats.org/officeDocument/2006/relationships/hyperlink" Target="https://login.consultant.ru/link/?req=doc&amp;base=LAW&amp;n=497000&amp;date=03.04.2026&amp;dst=100038&amp;field=134" TargetMode = "External"/><Relationship Id="rId40" Type="http://schemas.openxmlformats.org/officeDocument/2006/relationships/hyperlink" Target="https://login.consultant.ru/link/?req=doc&amp;base=LAW&amp;n=471470&amp;date=03.04.2026&amp;dst=100031&amp;field=134" TargetMode = "External"/><Relationship Id="rId41" Type="http://schemas.openxmlformats.org/officeDocument/2006/relationships/hyperlink" Target="https://login.consultant.ru/link/?req=doc&amp;base=LAW&amp;n=471470&amp;date=03.04.2026&amp;dst=100033&amp;field=134" TargetMode = "External"/><Relationship Id="rId42" Type="http://schemas.openxmlformats.org/officeDocument/2006/relationships/hyperlink" Target="https://login.consultant.ru/link/?req=doc&amp;base=LAW&amp;n=471470&amp;date=03.04.2026&amp;dst=100036&amp;field=134" TargetMode = "External"/><Relationship Id="rId43" Type="http://schemas.openxmlformats.org/officeDocument/2006/relationships/hyperlink" Target="https://login.consultant.ru/link/?req=doc&amp;base=LAW&amp;n=471470&amp;date=03.04.2026&amp;dst=100036&amp;field=134" TargetMode = "External"/><Relationship Id="rId44" Type="http://schemas.openxmlformats.org/officeDocument/2006/relationships/hyperlink" Target="https://login.consultant.ru/link/?req=doc&amp;base=LAW&amp;n=497000&amp;date=03.04.2026&amp;dst=100056&amp;field=134" TargetMode = "External"/><Relationship Id="rId45" Type="http://schemas.openxmlformats.org/officeDocument/2006/relationships/hyperlink" Target="https://login.consultant.ru/link/?req=doc&amp;base=LAW&amp;n=497000&amp;date=03.04.2026&amp;dst=100058&amp;field=134" TargetMode = "External"/><Relationship Id="rId46" Type="http://schemas.openxmlformats.org/officeDocument/2006/relationships/hyperlink" Target="https://login.consultant.ru/link/?req=doc&amp;base=LAW&amp;n=471470&amp;date=03.04.2026&amp;dst=100038&amp;field=134" TargetMode = "External"/><Relationship Id="rId47" Type="http://schemas.openxmlformats.org/officeDocument/2006/relationships/hyperlink" Target="https://login.consultant.ru/link/?req=doc&amp;base=LAW&amp;n=497000&amp;date=03.04.2026&amp;dst=100059&amp;field=134" TargetMode = "External"/><Relationship Id="rId48" Type="http://schemas.openxmlformats.org/officeDocument/2006/relationships/hyperlink" Target="https://login.consultant.ru/link/?req=doc&amp;base=LAW&amp;n=471470&amp;date=03.04.2026&amp;dst=100040&amp;field=134" TargetMode = "External"/><Relationship Id="rId49" Type="http://schemas.openxmlformats.org/officeDocument/2006/relationships/hyperlink" Target="https://login.consultant.ru/link/?req=doc&amp;base=LAW&amp;n=497000&amp;date=03.04.2026&amp;dst=100060&amp;field=134" TargetMode = "External"/><Relationship Id="rId50" Type="http://schemas.openxmlformats.org/officeDocument/2006/relationships/hyperlink" Target="https://login.consultant.ru/link/?req=doc&amp;base=LAW&amp;n=471470&amp;date=03.04.2026&amp;dst=100042&amp;field=134" TargetMode = "External"/><Relationship Id="rId51" Type="http://schemas.openxmlformats.org/officeDocument/2006/relationships/hyperlink" Target="https://login.consultant.ru/link/?req=doc&amp;base=LAW&amp;n=471470&amp;date=03.04.2026&amp;dst=100043&amp;field=134" TargetMode = "External"/><Relationship Id="rId52" Type="http://schemas.openxmlformats.org/officeDocument/2006/relationships/hyperlink" Target="https://login.consultant.ru/link/?req=doc&amp;base=LAW&amp;n=471470&amp;date=03.04.2026&amp;dst=100045&amp;field=134" TargetMode = "External"/><Relationship Id="rId53" Type="http://schemas.openxmlformats.org/officeDocument/2006/relationships/hyperlink" Target="https://login.consultant.ru/link/?req=doc&amp;base=LAW&amp;n=471470&amp;date=03.04.2026&amp;dst=100047&amp;field=134" TargetMode = "External"/><Relationship Id="rId54" Type="http://schemas.openxmlformats.org/officeDocument/2006/relationships/hyperlink" Target="https://login.consultant.ru/link/?req=doc&amp;base=OTN&amp;n=44208&amp;date=03.04.2026" TargetMode = "External"/><Relationship Id="rId55" Type="http://schemas.openxmlformats.org/officeDocument/2006/relationships/hyperlink" Target="https://login.consultant.ru/link/?req=doc&amp;base=LAW&amp;n=471470&amp;date=03.04.2026&amp;dst=100049&amp;field=134" TargetMode = "External"/><Relationship Id="rId56" Type="http://schemas.openxmlformats.org/officeDocument/2006/relationships/hyperlink" Target="https://login.consultant.ru/link/?req=doc&amp;base=LAW&amp;n=471470&amp;date=03.04.2026&amp;dst=100050&amp;field=134" TargetMode = "External"/><Relationship Id="rId57" Type="http://schemas.openxmlformats.org/officeDocument/2006/relationships/hyperlink" Target="https://login.consultant.ru/link/?req=doc&amp;base=LAW&amp;n=471470&amp;date=03.04.2026&amp;dst=100052&amp;field=134" TargetMode = "External"/><Relationship Id="rId58" Type="http://schemas.openxmlformats.org/officeDocument/2006/relationships/hyperlink" Target="https://login.consultant.ru/link/?req=doc&amp;base=LAW&amp;n=471470&amp;date=03.04.2026&amp;dst=100058&amp;field=134" TargetMode = "External"/><Relationship Id="rId59" Type="http://schemas.openxmlformats.org/officeDocument/2006/relationships/image" Target="media/image2.wmf"/><Relationship Id="rId60" Type="http://schemas.openxmlformats.org/officeDocument/2006/relationships/hyperlink" Target="https://login.consultant.ru/link/?req=doc&amp;base=LAW&amp;n=471470&amp;date=03.04.2026&amp;dst=100060&amp;field=134" TargetMode = "External"/><Relationship Id="rId61" Type="http://schemas.openxmlformats.org/officeDocument/2006/relationships/hyperlink" Target="https://login.consultant.ru/link/?req=doc&amp;base=LAW&amp;n=497000&amp;date=03.04.2026&amp;dst=100061&amp;field=134" TargetMode = "External"/><Relationship Id="rId62" Type="http://schemas.openxmlformats.org/officeDocument/2006/relationships/hyperlink" Target="https://login.consultant.ru/link/?req=doc&amp;base=STR&amp;n=16850&amp;date=03.04.2026" TargetMode = "External"/><Relationship Id="rId63" Type="http://schemas.openxmlformats.org/officeDocument/2006/relationships/hyperlink" Target="https://login.consultant.ru/link/?req=doc&amp;base=STR&amp;n=13515&amp;date=03.04.2026" TargetMode = "External"/><Relationship Id="rId64" Type="http://schemas.openxmlformats.org/officeDocument/2006/relationships/hyperlink" Target="https://login.consultant.ru/link/?req=doc&amp;base=LAW&amp;n=497000&amp;date=03.04.2026&amp;dst=100063&amp;field=134" TargetMode = "External"/><Relationship Id="rId65" Type="http://schemas.openxmlformats.org/officeDocument/2006/relationships/hyperlink" Target="https://login.consultant.ru/link/?req=doc&amp;base=LAW&amp;n=497000&amp;date=03.04.2026&amp;dst=100065&amp;field=134" TargetMode = "External"/><Relationship Id="rId66" Type="http://schemas.openxmlformats.org/officeDocument/2006/relationships/hyperlink" Target="https://login.consultant.ru/link/?req=doc&amp;base=LAW&amp;n=471470&amp;date=03.04.2026&amp;dst=100063&amp;field=134" TargetMode = "External"/><Relationship Id="rId67" Type="http://schemas.openxmlformats.org/officeDocument/2006/relationships/hyperlink" Target="https://login.consultant.ru/link/?req=doc&amp;base=LAW&amp;n=471470&amp;date=03.04.2026&amp;dst=100066&amp;field=134" TargetMode = "External"/><Relationship Id="rId68" Type="http://schemas.openxmlformats.org/officeDocument/2006/relationships/hyperlink" Target="https://login.consultant.ru/link/?req=doc&amp;base=STR&amp;n=3&amp;date=03.04.2026" TargetMode = "External"/><Relationship Id="rId69" Type="http://schemas.openxmlformats.org/officeDocument/2006/relationships/hyperlink" Target="https://login.consultant.ru/link/?req=doc&amp;base=LAW&amp;n=471470&amp;date=03.04.2026&amp;dst=100067&amp;field=134" TargetMode = "External"/><Relationship Id="rId70" Type="http://schemas.openxmlformats.org/officeDocument/2006/relationships/hyperlink" Target="https://login.consultant.ru/link/?req=doc&amp;base=LAW&amp;n=471470&amp;date=03.04.2026&amp;dst=100068&amp;field=134" TargetMode = "External"/><Relationship Id="rId71" Type="http://schemas.openxmlformats.org/officeDocument/2006/relationships/header" Target="header2.xml"/><Relationship Id="rId72" Type="http://schemas.openxmlformats.org/officeDocument/2006/relationships/footer" Target="footer2.xml"/><Relationship Id="rId73" Type="http://schemas.openxmlformats.org/officeDocument/2006/relationships/hyperlink" Target="https://login.consultant.ru/link/?req=doc&amp;base=LAW&amp;n=497000&amp;date=03.04.2026&amp;dst=100068&amp;field=134" TargetMode = "External"/><Relationship Id="rId74" Type="http://schemas.openxmlformats.org/officeDocument/2006/relationships/image" Target="media/image3.wmf"/><Relationship Id="rId75" Type="http://schemas.openxmlformats.org/officeDocument/2006/relationships/image" Target="media/image4.wmf"/><Relationship Id="rId76" Type="http://schemas.openxmlformats.org/officeDocument/2006/relationships/hyperlink" Target="https://login.consultant.ru/link/?req=doc&amp;base=STR&amp;n=19305&amp;date=03.04.2026" TargetMode = "External"/><Relationship Id="rId77" Type="http://schemas.openxmlformats.org/officeDocument/2006/relationships/hyperlink" Target="https://login.consultant.ru/link/?req=doc&amp;base=LAW&amp;n=471470&amp;date=03.04.2026&amp;dst=100069&amp;field=134" TargetMode = "External"/><Relationship Id="rId78" Type="http://schemas.openxmlformats.org/officeDocument/2006/relationships/hyperlink" Target="https://login.consultant.ru/link/?req=doc&amp;base=LAW&amp;n=497000&amp;date=03.04.2026&amp;dst=100069&amp;field=134" TargetMode = "External"/><Relationship Id="rId79" Type="http://schemas.openxmlformats.org/officeDocument/2006/relationships/hyperlink" Target="https://login.consultant.ru/link/?req=doc&amp;base=LAW&amp;n=497000&amp;date=03.04.2026&amp;dst=100070&amp;field=134" TargetMode = "External"/><Relationship Id="rId80" Type="http://schemas.openxmlformats.org/officeDocument/2006/relationships/hyperlink" Target="https://login.consultant.ru/link/?req=doc&amp;base=LAW&amp;n=497000&amp;date=03.04.2026&amp;dst=100072&amp;field=134" TargetMode = "External"/><Relationship Id="rId81" Type="http://schemas.openxmlformats.org/officeDocument/2006/relationships/hyperlink" Target="https://login.consultant.ru/link/?req=doc&amp;base=LAW&amp;n=471470&amp;date=03.04.2026&amp;dst=100071&amp;field=134" TargetMode = "External"/><Relationship Id="rId82" Type="http://schemas.openxmlformats.org/officeDocument/2006/relationships/hyperlink" Target="https://login.consultant.ru/link/?req=doc&amp;base=STR&amp;n=3&amp;date=03.04.2026" TargetMode = "External"/><Relationship Id="rId83" Type="http://schemas.openxmlformats.org/officeDocument/2006/relationships/hyperlink" Target="https://login.consultant.ru/link/?req=doc&amp;base=LAW&amp;n=471470&amp;date=03.04.2026&amp;dst=100143&amp;field=134" TargetMode = "External"/><Relationship Id="rId84" Type="http://schemas.openxmlformats.org/officeDocument/2006/relationships/hyperlink" Target="https://login.consultant.ru/link/?req=doc&amp;base=LAW&amp;n=497000&amp;date=03.04.2026&amp;dst=100073&amp;field=134" TargetMode = "External"/><Relationship Id="rId85" Type="http://schemas.openxmlformats.org/officeDocument/2006/relationships/hyperlink" Target="https://login.consultant.ru/link/?req=doc&amp;base=LAW&amp;n=471470&amp;date=03.04.2026&amp;dst=100483&amp;field=134" TargetMode = "External"/><Relationship Id="rId86" Type="http://schemas.openxmlformats.org/officeDocument/2006/relationships/hyperlink" Target="https://login.consultant.ru/link/?req=doc&amp;base=LAW&amp;n=471470&amp;date=03.04.2026&amp;dst=100144&amp;field=134" TargetMode = "External"/><Relationship Id="rId87" Type="http://schemas.openxmlformats.org/officeDocument/2006/relationships/hyperlink" Target="https://login.consultant.ru/link/?req=doc&amp;base=LAW&amp;n=471470&amp;date=03.04.2026&amp;dst=100485&amp;field=134" TargetMode = "External"/><Relationship Id="rId88" Type="http://schemas.openxmlformats.org/officeDocument/2006/relationships/hyperlink" Target="https://login.consultant.ru/link/?req=doc&amp;base=LAW&amp;n=471470&amp;date=03.04.2026&amp;dst=100486&amp;field=134" TargetMode = "External"/><Relationship Id="rId89" Type="http://schemas.openxmlformats.org/officeDocument/2006/relationships/hyperlink" Target="https://login.consultant.ru/link/?req=doc&amp;base=LAW&amp;n=471470&amp;date=03.04.2026&amp;dst=100486&amp;field=134" TargetMode = "External"/><Relationship Id="rId90" Type="http://schemas.openxmlformats.org/officeDocument/2006/relationships/hyperlink" Target="https://login.consultant.ru/link/?req=doc&amp;base=LAW&amp;n=471470&amp;date=03.04.2026&amp;dst=100487&amp;field=134" TargetMode = "External"/><Relationship Id="rId91" Type="http://schemas.openxmlformats.org/officeDocument/2006/relationships/hyperlink" Target="https://login.consultant.ru/link/?req=doc&amp;base=LAW&amp;n=471470&amp;date=03.04.2026&amp;dst=100489&amp;field=134" TargetMode = "External"/><Relationship Id="rId92" Type="http://schemas.openxmlformats.org/officeDocument/2006/relationships/hyperlink" Target="https://login.consultant.ru/link/?req=doc&amp;base=LAW&amp;n=471470&amp;date=03.04.2026&amp;dst=100490&amp;field=134" TargetMode = "External"/><Relationship Id="rId93" Type="http://schemas.openxmlformats.org/officeDocument/2006/relationships/hyperlink" Target="https://login.consultant.ru/link/?req=doc&amp;base=LAW&amp;n=471470&amp;date=03.04.2026&amp;dst=100491&amp;field=134" TargetMode = "External"/><Relationship Id="rId94" Type="http://schemas.openxmlformats.org/officeDocument/2006/relationships/hyperlink" Target="https://login.consultant.ru/link/?req=doc&amp;base=LAW&amp;n=471470&amp;date=03.04.2026&amp;dst=100492&amp;field=134" TargetMode = "External"/><Relationship Id="rId95" Type="http://schemas.openxmlformats.org/officeDocument/2006/relationships/hyperlink" Target="https://login.consultant.ru/link/?req=doc&amp;base=LAW&amp;n=471470&amp;date=03.04.2026&amp;dst=100493&amp;field=134" TargetMode = "External"/><Relationship Id="rId96" Type="http://schemas.openxmlformats.org/officeDocument/2006/relationships/hyperlink" Target="https://login.consultant.ru/link/?req=doc&amp;base=STR&amp;n=19305&amp;date=03.04.2026" TargetMode = "External"/><Relationship Id="rId97" Type="http://schemas.openxmlformats.org/officeDocument/2006/relationships/hyperlink" Target="https://login.consultant.ru/link/?req=doc&amp;base=LAW&amp;n=471470&amp;date=03.04.2026&amp;dst=100494&amp;field=134" TargetMode = "External"/><Relationship Id="rId98" Type="http://schemas.openxmlformats.org/officeDocument/2006/relationships/hyperlink" Target="https://login.consultant.ru/link/?req=doc&amp;base=LAW&amp;n=471470&amp;date=03.04.2026&amp;dst=100495&amp;field=134" TargetMode = "External"/><Relationship Id="rId99" Type="http://schemas.openxmlformats.org/officeDocument/2006/relationships/hyperlink" Target="https://login.consultant.ru/link/?req=doc&amp;base=LAW&amp;n=497000&amp;date=03.04.2026&amp;dst=100076&amp;field=134" TargetMode = "External"/><Relationship Id="rId100" Type="http://schemas.openxmlformats.org/officeDocument/2006/relationships/hyperlink" Target="https://login.consultant.ru/link/?req=doc&amp;base=LAW&amp;n=497000&amp;date=03.04.2026&amp;dst=100077&amp;field=134" TargetMode = "External"/><Relationship Id="rId101" Type="http://schemas.openxmlformats.org/officeDocument/2006/relationships/hyperlink" Target="https://login.consultant.ru/link/?req=doc&amp;base=LAW&amp;n=471470&amp;date=03.04.2026&amp;dst=100496&amp;field=134" TargetMode = "External"/><Relationship Id="rId102" Type="http://schemas.openxmlformats.org/officeDocument/2006/relationships/hyperlink" Target="https://login.consultant.ru/link/?req=doc&amp;base=LAW&amp;n=471470&amp;date=03.04.2026&amp;dst=100499&amp;field=134" TargetMode = "External"/><Relationship Id="rId103" Type="http://schemas.openxmlformats.org/officeDocument/2006/relationships/hyperlink" Target="https://login.consultant.ru/link/?req=doc&amp;base=LAW&amp;n=471470&amp;date=03.04.2026&amp;dst=100499&amp;field=134" TargetMode = "External"/><Relationship Id="rId104" Type="http://schemas.openxmlformats.org/officeDocument/2006/relationships/hyperlink" Target="https://login.consultant.ru/link/?req=doc&amp;base=LAW&amp;n=471470&amp;date=03.04.2026&amp;dst=100500&amp;field=134" TargetMode = "External"/><Relationship Id="rId105" Type="http://schemas.openxmlformats.org/officeDocument/2006/relationships/hyperlink" Target="https://login.consultant.ru/link/?req=doc&amp;base=LAW&amp;n=471470&amp;date=03.04.2026&amp;dst=100501&amp;field=134" TargetMode = "External"/><Relationship Id="rId106" Type="http://schemas.openxmlformats.org/officeDocument/2006/relationships/hyperlink" Target="https://login.consultant.ru/link/?req=doc&amp;base=LAW&amp;n=471470&amp;date=03.04.2026&amp;dst=100503&amp;field=134" TargetMode = "External"/><Relationship Id="rId107" Type="http://schemas.openxmlformats.org/officeDocument/2006/relationships/hyperlink" Target="https://login.consultant.ru/link/?req=doc&amp;base=LAW&amp;n=471470&amp;date=03.04.2026&amp;dst=100516&amp;field=134" TargetMode = "External"/><Relationship Id="rId108" Type="http://schemas.openxmlformats.org/officeDocument/2006/relationships/hyperlink" Target="https://login.consultant.ru/link/?req=doc&amp;base=LAW&amp;n=471470&amp;date=03.04.2026&amp;dst=100517&amp;field=134" TargetMode = "External"/><Relationship Id="rId109" Type="http://schemas.openxmlformats.org/officeDocument/2006/relationships/hyperlink" Target="https://login.consultant.ru/link/?req=doc&amp;base=LAW&amp;n=471470&amp;date=03.04.2026&amp;dst=100518&amp;field=134" TargetMode = "External"/><Relationship Id="rId110" Type="http://schemas.openxmlformats.org/officeDocument/2006/relationships/hyperlink" Target="https://login.consultant.ru/link/?req=doc&amp;base=LAW&amp;n=497000&amp;date=03.04.2026&amp;dst=100079&amp;field=134" TargetMode = "External"/><Relationship Id="rId111" Type="http://schemas.openxmlformats.org/officeDocument/2006/relationships/hyperlink" Target="https://login.consultant.ru/link/?req=doc&amp;base=LAW&amp;n=497000&amp;date=03.04.2026&amp;dst=100080&amp;field=134" TargetMode = "External"/><Relationship Id="rId112" Type="http://schemas.openxmlformats.org/officeDocument/2006/relationships/hyperlink" Target="https://login.consultant.ru/link/?req=doc&amp;base=LAW&amp;n=471470&amp;date=03.04.2026&amp;dst=100519&amp;field=134" TargetMode = "External"/><Relationship Id="rId113" Type="http://schemas.openxmlformats.org/officeDocument/2006/relationships/hyperlink" Target="https://login.consultant.ru/link/?req=doc&amp;base=LAW&amp;n=497000&amp;date=03.04.2026&amp;dst=100081&amp;field=134" TargetMode = "External"/><Relationship Id="rId114" Type="http://schemas.openxmlformats.org/officeDocument/2006/relationships/hyperlink" Target="https://login.consultant.ru/link/?req=doc&amp;base=LAW&amp;n=497000&amp;date=03.04.2026&amp;dst=100083&amp;field=134" TargetMode = "External"/><Relationship Id="rId115" Type="http://schemas.openxmlformats.org/officeDocument/2006/relationships/hyperlink" Target="https://login.consultant.ru/link/?req=doc&amp;base=LAW&amp;n=497000&amp;date=03.04.2026&amp;dst=100085&amp;field=134" TargetMode = "External"/><Relationship Id="rId116" Type="http://schemas.openxmlformats.org/officeDocument/2006/relationships/hyperlink" Target="https://login.consultant.ru/link/?req=doc&amp;base=LAW&amp;n=471470&amp;date=03.04.2026&amp;dst=100522&amp;field=134" TargetMode = "External"/><Relationship Id="rId117" Type="http://schemas.openxmlformats.org/officeDocument/2006/relationships/hyperlink" Target="https://login.consultant.ru/link/?req=doc&amp;base=LAW&amp;n=497000&amp;date=03.04.2026&amp;dst=100087&amp;field=134" TargetMode = "External"/><Relationship Id="rId118" Type="http://schemas.openxmlformats.org/officeDocument/2006/relationships/hyperlink" Target="https://login.consultant.ru/link/?req=doc&amp;base=LAW&amp;n=497000&amp;date=03.04.2026&amp;dst=100088&amp;field=134" TargetMode = "External"/><Relationship Id="rId119" Type="http://schemas.openxmlformats.org/officeDocument/2006/relationships/hyperlink" Target="https://login.consultant.ru/link/?req=doc&amp;base=LAW&amp;n=497000&amp;date=03.04.2026&amp;dst=100089&amp;field=134" TargetMode = "External"/><Relationship Id="rId120" Type="http://schemas.openxmlformats.org/officeDocument/2006/relationships/hyperlink" Target="https://login.consultant.ru/link/?req=doc&amp;base=LAW&amp;n=497000&amp;date=03.04.2026&amp;dst=100090&amp;field=134" TargetMode = "External"/><Relationship Id="rId121" Type="http://schemas.openxmlformats.org/officeDocument/2006/relationships/hyperlink" Target="https://login.consultant.ru/link/?req=doc&amp;base=LAW&amp;n=497000&amp;date=03.04.2026&amp;dst=100091&amp;field=134" TargetMode = "External"/><Relationship Id="rId122" Type="http://schemas.openxmlformats.org/officeDocument/2006/relationships/hyperlink" Target="https://login.consultant.ru/link/?req=doc&amp;base=LAW&amp;n=497000&amp;date=03.04.2026&amp;dst=100093&amp;field=134" TargetMode = "External"/><Relationship Id="rId123" Type="http://schemas.openxmlformats.org/officeDocument/2006/relationships/hyperlink" Target="https://login.consultant.ru/link/?req=doc&amp;base=LAW&amp;n=471470&amp;date=03.04.2026&amp;dst=100526&amp;field=134" TargetMode = "External"/><Relationship Id="rId124" Type="http://schemas.openxmlformats.org/officeDocument/2006/relationships/hyperlink" Target="https://login.consultant.ru/link/?req=doc&amp;base=LAW&amp;n=471470&amp;date=03.04.2026&amp;dst=100529&amp;field=134" TargetMode = "External"/><Relationship Id="rId125" Type="http://schemas.openxmlformats.org/officeDocument/2006/relationships/hyperlink" Target="https://login.consultant.ru/link/?req=doc&amp;base=STR&amp;n=3&amp;date=03.04.2026" TargetMode = "External"/><Relationship Id="rId126" Type="http://schemas.openxmlformats.org/officeDocument/2006/relationships/hyperlink" Target="https://login.consultant.ru/link/?req=doc&amp;base=LAW&amp;n=471470&amp;date=03.04.2026&amp;dst=100530&amp;field=134" TargetMode = "External"/><Relationship Id="rId127" Type="http://schemas.openxmlformats.org/officeDocument/2006/relationships/hyperlink" Target="https://login.consultant.ru/link/?req=doc&amp;base=LAW&amp;n=471470&amp;date=03.04.2026&amp;dst=100531&amp;field=134" TargetMode = "External"/><Relationship Id="rId128" Type="http://schemas.openxmlformats.org/officeDocument/2006/relationships/hyperlink" Target="https://login.consultant.ru/link/?req=doc&amp;base=STR&amp;n=7943&amp;date=03.04.2026" TargetMode = "External"/><Relationship Id="rId129" Type="http://schemas.openxmlformats.org/officeDocument/2006/relationships/hyperlink" Target="https://login.consultant.ru/link/?req=doc&amp;base=STR&amp;n=3&amp;date=03.04.2026" TargetMode = "External"/><Relationship Id="rId130" Type="http://schemas.openxmlformats.org/officeDocument/2006/relationships/hyperlink" Target="https://login.consultant.ru/link/?req=doc&amp;base=STR&amp;n=7943&amp;date=03.04.2026" TargetMode = "External"/><Relationship Id="rId131" Type="http://schemas.openxmlformats.org/officeDocument/2006/relationships/hyperlink" Target="https://login.consultant.ru/link/?req=doc&amp;base=LAW&amp;n=471470&amp;date=03.04.2026&amp;dst=100533&amp;field=134" TargetMode = "External"/><Relationship Id="rId132" Type="http://schemas.openxmlformats.org/officeDocument/2006/relationships/hyperlink" Target="https://login.consultant.ru/link/?req=doc&amp;base=LAW&amp;n=471470&amp;date=03.04.2026&amp;dst=100534&amp;field=134" TargetMode = "External"/><Relationship Id="rId133" Type="http://schemas.openxmlformats.org/officeDocument/2006/relationships/hyperlink" Target="https://login.consultant.ru/link/?req=doc&amp;base=OTN&amp;n=44208&amp;date=03.04.2026" TargetMode = "External"/><Relationship Id="rId134" Type="http://schemas.openxmlformats.org/officeDocument/2006/relationships/hyperlink" Target="https://login.consultant.ru/link/?req=doc&amp;base=LAW&amp;n=471470&amp;date=03.04.2026&amp;dst=100536&amp;field=134" TargetMode = "External"/><Relationship Id="rId135" Type="http://schemas.openxmlformats.org/officeDocument/2006/relationships/hyperlink" Target="https://login.consultant.ru/link/?req=doc&amp;base=LAW&amp;n=471470&amp;date=03.04.2026&amp;dst=100537&amp;field=134" TargetMode = "External"/><Relationship Id="rId136" Type="http://schemas.openxmlformats.org/officeDocument/2006/relationships/hyperlink" Target="https://login.consultant.ru/link/?req=doc&amp;base=LAW&amp;n=471470&amp;date=03.04.2026&amp;dst=100539&amp;field=134" TargetMode = "External"/><Relationship Id="rId137" Type="http://schemas.openxmlformats.org/officeDocument/2006/relationships/hyperlink" Target="https://login.consultant.ru/link/?req=doc&amp;base=STR&amp;n=7943&amp;date=03.04.2026" TargetMode = "External"/><Relationship Id="rId138" Type="http://schemas.openxmlformats.org/officeDocument/2006/relationships/hyperlink" Target="https://login.consultant.ru/link/?req=doc&amp;base=STR&amp;n=7943&amp;date=03.04.2026" TargetMode = "External"/><Relationship Id="rId139" Type="http://schemas.openxmlformats.org/officeDocument/2006/relationships/hyperlink" Target="https://login.consultant.ru/link/?req=doc&amp;base=LAW&amp;n=471470&amp;date=03.04.2026&amp;dst=100650&amp;field=134" TargetMode = "External"/><Relationship Id="rId140" Type="http://schemas.openxmlformats.org/officeDocument/2006/relationships/hyperlink" Target="https://login.consultant.ru/link/?req=doc&amp;base=LAW&amp;n=471470&amp;date=03.04.2026&amp;dst=100653&amp;field=134" TargetMode = "External"/><Relationship Id="rId141" Type="http://schemas.openxmlformats.org/officeDocument/2006/relationships/hyperlink" Target="https://login.consultant.ru/link/?req=doc&amp;base=STR&amp;n=3&amp;date=03.04.2026" TargetMode = "External"/><Relationship Id="rId142" Type="http://schemas.openxmlformats.org/officeDocument/2006/relationships/hyperlink" Target="https://login.consultant.ru/link/?req=doc&amp;base=LAW&amp;n=471470&amp;date=03.04.2026&amp;dst=100654&amp;field=134" TargetMode = "External"/><Relationship Id="rId143" Type="http://schemas.openxmlformats.org/officeDocument/2006/relationships/hyperlink" Target="https://login.consultant.ru/link/?req=doc&amp;base=LAW&amp;n=471470&amp;date=03.04.2026&amp;dst=100655&amp;field=134" TargetMode = "External"/><Relationship Id="rId144" Type="http://schemas.openxmlformats.org/officeDocument/2006/relationships/hyperlink" Target="https://login.consultant.ru/link/?req=doc&amp;base=LAW&amp;n=471470&amp;date=03.04.2026&amp;dst=100657&amp;field=134" TargetMode = "External"/><Relationship Id="rId145" Type="http://schemas.openxmlformats.org/officeDocument/2006/relationships/hyperlink" Target="https://login.consultant.ru/link/?req=doc&amp;base=STR&amp;n=3&amp;date=03.04.2026" TargetMode = "External"/><Relationship Id="rId146" Type="http://schemas.openxmlformats.org/officeDocument/2006/relationships/hyperlink" Target="https://login.consultant.ru/link/?req=doc&amp;base=LAW&amp;n=471470&amp;date=03.04.2026&amp;dst=100693&amp;field=134" TargetMode = "External"/><Relationship Id="rId147" Type="http://schemas.openxmlformats.org/officeDocument/2006/relationships/hyperlink" Target="https://login.consultant.ru/link/?req=doc&amp;base=LAW&amp;n=471470&amp;date=03.04.2026&amp;dst=100694&amp;field=134" TargetMode = "External"/><Relationship Id="rId148" Type="http://schemas.openxmlformats.org/officeDocument/2006/relationships/hyperlink" Target="https://login.consultant.ru/link/?req=doc&amp;base=LAW&amp;n=471470&amp;date=03.04.2026&amp;dst=100696&amp;field=134" TargetMode = "External"/><Relationship Id="rId149" Type="http://schemas.openxmlformats.org/officeDocument/2006/relationships/hyperlink" Target="https://login.consultant.ru/link/?req=doc&amp;base=LAW&amp;n=471470&amp;date=03.04.2026&amp;dst=100698&amp;field=134" TargetMode = "External"/><Relationship Id="rId150" Type="http://schemas.openxmlformats.org/officeDocument/2006/relationships/hyperlink" Target="https://login.consultant.ru/link/?req=doc&amp;base=LAW&amp;n=471470&amp;date=03.04.2026&amp;dst=100700&amp;field=134" TargetMode = "External"/><Relationship Id="rId151" Type="http://schemas.openxmlformats.org/officeDocument/2006/relationships/hyperlink" Target="https://login.consultant.ru/link/?req=doc&amp;base=LAW&amp;n=497000&amp;date=03.04.2026&amp;dst=100094&amp;field=134" TargetMode = "External"/><Relationship Id="rId152" Type="http://schemas.openxmlformats.org/officeDocument/2006/relationships/hyperlink" Target="https://login.consultant.ru/link/?req=doc&amp;base=STR&amp;n=3&amp;date=03.04.2026" TargetMode = "External"/><Relationship Id="rId153" Type="http://schemas.openxmlformats.org/officeDocument/2006/relationships/hyperlink" Target="https://login.consultant.ru/link/?req=doc&amp;base=LAW&amp;n=497000&amp;date=03.04.2026&amp;dst=100199&amp;field=134" TargetMode = "External"/><Relationship Id="rId154" Type="http://schemas.openxmlformats.org/officeDocument/2006/relationships/hyperlink" Target="https://login.consultant.ru/link/?req=doc&amp;base=STR&amp;n=7943&amp;date=03.04.2026" TargetMode = "External"/><Relationship Id="rId155" Type="http://schemas.openxmlformats.org/officeDocument/2006/relationships/hyperlink" Target="https://login.consultant.ru/link/?req=doc&amp;base=STR&amp;n=7943&amp;date=03.04.2026" TargetMode = "External"/><Relationship Id="rId156" Type="http://schemas.openxmlformats.org/officeDocument/2006/relationships/hyperlink" Target="https://login.consultant.ru/link/?req=doc&amp;base=LAW&amp;n=471470&amp;date=03.04.2026&amp;dst=100702&amp;field=134" TargetMode = "External"/><Relationship Id="rId157" Type="http://schemas.openxmlformats.org/officeDocument/2006/relationships/hyperlink" Target="https://login.consultant.ru/link/?req=doc&amp;base=LAW&amp;n=506728&amp;date=03.04.2026&amp;dst=100013&amp;field=134" TargetMode = "External"/><Relationship Id="rId158" Type="http://schemas.openxmlformats.org/officeDocument/2006/relationships/hyperlink" Target="https://login.consultant.ru/link/?req=doc&amp;base=LAW&amp;n=121040&amp;date=03.04.2026" TargetMode = "External"/><Relationship Id="rId159" Type="http://schemas.openxmlformats.org/officeDocument/2006/relationships/hyperlink" Target="https://login.consultant.ru/link/?req=doc&amp;base=LAW&amp;n=391735&amp;date=03.04.2026" TargetMode = "External"/><Relationship Id="rId160" Type="http://schemas.openxmlformats.org/officeDocument/2006/relationships/hyperlink" Target="https://login.consultant.ru/link/?req=doc&amp;base=LAW&amp;n=91517&amp;date=03.04.2026&amp;dst=100009&amp;field=134" TargetMode = "External"/><Relationship Id="rId161" Type="http://schemas.openxmlformats.org/officeDocument/2006/relationships/hyperlink" Target="https://login.consultant.ru/link/?req=doc&amp;base=LAW&amp;n=498201&amp;date=03.04.2026&amp;dst=100009&amp;field=134" TargetMode = "External"/><Relationship Id="rId162" Type="http://schemas.openxmlformats.org/officeDocument/2006/relationships/hyperlink" Target="https://login.consultant.ru/link/?req=doc&amp;base=LAW&amp;n=109874&amp;date=03.04.2026&amp;dst=100012&amp;field=134" TargetMode = "External"/><Relationship Id="rId163" Type="http://schemas.openxmlformats.org/officeDocument/2006/relationships/hyperlink" Target="https://login.consultant.ru/link/?req=doc&amp;base=LAW&amp;n=431288&amp;date=03.04.2026&amp;dst=100010&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05.05.2014 N 221
(ред. от 21.06.2024)
"Об утверждении свода правил "Станции автомобильные заправочные. Требования пожарной безопасности"
(вместе с "СП 156.13130.2014. Свод правил...")</dc:title>
  <dcterms:created xsi:type="dcterms:W3CDTF">2026-04-03T13:20:02Z</dcterms:created>
</cp:coreProperties>
</file>