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253.1325800.2016. Свод правил. Инженерные системы высотных зданий"</w:t>
              <w:br/>
              <w:t xml:space="preserve">(утв. и введен в действие Приказом Минстроя России от 03.08.2016 N 542/пр)</w:t>
              <w:br/>
              <w:t xml:space="preserve">(ред. от 14.10.2024)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03.08.2016 N 542/пр &quot;Об утверждении свода правил &quot;Инженерные системы высотных зданий&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 августа 2016 г. N 542/пр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ИНЖЕНЕРНЫЕ СИСТЕМЫ ВЫСОТНЫХ ЗДАНИЙ</w:t>
      </w:r>
    </w:p>
    <w:p>
      <w:pPr>
        <w:pStyle w:val="2"/>
        <w:jc w:val="center"/>
      </w:pPr>
      <w:r>
        <w:rPr>
          <w:sz w:val="24"/>
        </w:rPr>
      </w:r>
    </w:p>
    <w:p>
      <w:pPr>
        <w:pStyle w:val="2"/>
        <w:jc w:val="center"/>
      </w:pPr>
      <w:r>
        <w:rPr>
          <w:sz w:val="24"/>
        </w:rPr>
        <w:t xml:space="preserve">High-rise buildings utilities</w:t>
      </w:r>
    </w:p>
    <w:p>
      <w:pPr>
        <w:pStyle w:val="2"/>
        <w:jc w:val="center"/>
      </w:pPr>
      <w:r>
        <w:rPr>
          <w:sz w:val="24"/>
        </w:rPr>
      </w:r>
    </w:p>
    <w:p>
      <w:pPr>
        <w:pStyle w:val="2"/>
        <w:jc w:val="center"/>
      </w:pPr>
      <w:r>
        <w:rPr>
          <w:sz w:val="24"/>
        </w:rPr>
        <w:t xml:space="preserve">СП 253.1325800.2016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20.01.2022 N 29/пр &quot;Об утверждении Изменения N 1 к СП 253.1325800.2016 &quot;Инженерные системы высотных зданий&quot; {КонсультантПлюс}">
              <w:r>
                <w:rPr>
                  <w:sz w:val="24"/>
                  <w:color w:val="0000ff"/>
                </w:rPr>
                <w:t xml:space="preserve">Приказом</w:t>
              </w:r>
            </w:hyperlink>
          </w:p>
          <w:p>
            <w:pPr>
              <w:pStyle w:val="0"/>
              <w:jc w:val="center"/>
            </w:pPr>
            <w:r>
              <w:rPr>
                <w:sz w:val="24"/>
                <w:color w:val="392c69"/>
              </w:rPr>
              <w:t xml:space="preserve">Минстроя России от 20.01.2022 N 29/пр,</w:t>
            </w:r>
          </w:p>
          <w:p>
            <w:pPr>
              <w:pStyle w:val="0"/>
              <w:jc w:val="center"/>
            </w:pPr>
            <w:hyperlink w:history="0" r:id="rId1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color w:val="392c69"/>
              </w:rPr>
              <w:t xml:space="preserve">, утв. </w:t>
            </w:r>
            <w:hyperlink w:history="0" r:id="rId12" w:tooltip="Приказ Минстроя России от 14.10.2024 N 698/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14.10.2024 N 698/пр)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3"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4 февраля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ИСПОЛНИТЕЛИ - ЗАО "ИСЗС-Консалт"</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w:t>
      </w:r>
    </w:p>
    <w:p>
      <w:pPr>
        <w:pStyle w:val="0"/>
        <w:spacing w:before="240" w:lineRule="auto"/>
        <w:ind w:firstLine="540"/>
        <w:jc w:val="both"/>
      </w:pPr>
      <w:r>
        <w:rPr>
          <w:sz w:val="24"/>
        </w:rPr>
        <w:t xml:space="preserve">4 УТВЕРЖДЕН </w:t>
      </w:r>
      <w:hyperlink w:history="0" r:id="rId14" w:tooltip="Приказ Минстроя России от 03.08.2016 N 542/пр &quot;Об утверждении свода правил &quot;Инженерные системы высотных зданий&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 августа 2016 г. N 542/пр и введен в действие с 4 февраля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r:id="rId15"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статьи 3, пункта 6</w:t>
        </w:r>
      </w:hyperlink>
      <w:r>
        <w:rPr>
          <w:sz w:val="24"/>
        </w:rPr>
        <w:t xml:space="preserve"> Федерального закона от 30 декабря 2009 г. N 384-ФЗ "Технический регламент о безопасности зданий и сооружений" в части минимально необходимых требований к зданиям и сооружениям (в том числе к входящим в их состав сетям и системам инженерно-технического обеспечения), а также к связанным со зданиями и с сооружениями процессам проектирования, строительства, монтажа, наладки, эксплуатации, в том числе требований механической, пожарной безопасности, безопасных для здоровья человека условий проживания и пребывания в высотных зданиях, безопасности для пользователей.</w:t>
      </w:r>
    </w:p>
    <w:p>
      <w:pPr>
        <w:pStyle w:val="0"/>
        <w:spacing w:before="240" w:lineRule="auto"/>
        <w:ind w:firstLine="540"/>
        <w:jc w:val="both"/>
      </w:pPr>
      <w:r>
        <w:rPr>
          <w:sz w:val="24"/>
        </w:rPr>
        <w:t xml:space="preserve">Учитывались также требования Федерального </w:t>
      </w:r>
      <w:hyperlink w:history="0" r:id="rId1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и сводов правил систем противопожарной защиты, положения действующих строительных норм и сводов правил, отечественный опыт исследований и проектной практики.</w:t>
      </w:r>
    </w:p>
    <w:p>
      <w:pPr>
        <w:pStyle w:val="0"/>
        <w:spacing w:before="240" w:lineRule="auto"/>
        <w:ind w:firstLine="540"/>
        <w:jc w:val="both"/>
      </w:pPr>
      <w:r>
        <w:rPr>
          <w:sz w:val="24"/>
        </w:rPr>
        <w:t xml:space="preserve">Работа выполнена авторским коллективом: </w:t>
      </w:r>
      <w:r>
        <w:rPr>
          <w:sz w:val="24"/>
          <w:i w:val="on"/>
        </w:rPr>
        <w:t xml:space="preserve">А.Н. Колубков</w:t>
      </w:r>
      <w:r>
        <w:rPr>
          <w:sz w:val="24"/>
        </w:rPr>
        <w:t xml:space="preserve"> (НП АВОК, рук. темы); канд. техн. наук </w:t>
      </w:r>
      <w:r>
        <w:rPr>
          <w:sz w:val="24"/>
          <w:i w:val="on"/>
        </w:rPr>
        <w:t xml:space="preserve">А.В. Бусахин</w:t>
      </w:r>
      <w:r>
        <w:rPr>
          <w:sz w:val="24"/>
        </w:rPr>
        <w:t xml:space="preserve"> (ЗАО "Промвентиляция"), д-р. техн. наук, профессор </w:t>
      </w:r>
      <w:r>
        <w:rPr>
          <w:sz w:val="24"/>
          <w:i w:val="on"/>
        </w:rPr>
        <w:t xml:space="preserve">С.И. Бурцев</w:t>
      </w:r>
      <w:r>
        <w:rPr>
          <w:sz w:val="24"/>
        </w:rPr>
        <w:t xml:space="preserve"> (Бюро Техники), </w:t>
      </w:r>
      <w:r>
        <w:rPr>
          <w:sz w:val="24"/>
          <w:i w:val="on"/>
        </w:rPr>
        <w:t xml:space="preserve">С.А. Козлов</w:t>
      </w:r>
      <w:r>
        <w:rPr>
          <w:sz w:val="24"/>
        </w:rPr>
        <w:t xml:space="preserve"> (ООО "Хай Термо"), канд. техн. наук, профессор </w:t>
      </w:r>
      <w:r>
        <w:rPr>
          <w:sz w:val="24"/>
          <w:i w:val="on"/>
        </w:rPr>
        <w:t xml:space="preserve">Е.Е. Кирюханцев</w:t>
      </w:r>
      <w:r>
        <w:rPr>
          <w:sz w:val="24"/>
        </w:rPr>
        <w:t xml:space="preserve"> (Академия государственной противопожарной службы МЧС России, НПО "Мосспецавтоматика"), канд. техн. наук </w:t>
      </w:r>
      <w:r>
        <w:rPr>
          <w:sz w:val="24"/>
          <w:i w:val="on"/>
        </w:rPr>
        <w:t xml:space="preserve">М.Г. Тарабанов</w:t>
      </w:r>
      <w:r>
        <w:rPr>
          <w:sz w:val="24"/>
        </w:rPr>
        <w:t xml:space="preserve"> (НИЦ "Инвент"), </w:t>
      </w:r>
      <w:r>
        <w:rPr>
          <w:sz w:val="24"/>
          <w:i w:val="on"/>
        </w:rPr>
        <w:t xml:space="preserve">Ф.В. Токарев</w:t>
      </w:r>
      <w:r>
        <w:rPr>
          <w:sz w:val="24"/>
        </w:rPr>
        <w:t xml:space="preserve"> (Союз "ИСЗС-Монтаж"), </w:t>
      </w:r>
      <w:r>
        <w:rPr>
          <w:sz w:val="24"/>
          <w:i w:val="on"/>
        </w:rPr>
        <w:t xml:space="preserve">Т.А. Филькинштейн</w:t>
      </w:r>
      <w:r>
        <w:rPr>
          <w:sz w:val="24"/>
        </w:rPr>
        <w:t xml:space="preserve"> (Мосгосэкспертиза), </w:t>
      </w:r>
      <w:r>
        <w:rPr>
          <w:sz w:val="24"/>
          <w:i w:val="on"/>
        </w:rPr>
        <w:t xml:space="preserve">С.О. Яценко</w:t>
      </w:r>
      <w:r>
        <w:rPr>
          <w:sz w:val="24"/>
        </w:rPr>
        <w:t xml:space="preserve"> (ООО ППФ "АК").</w:t>
      </w:r>
    </w:p>
    <w:p>
      <w:pPr>
        <w:pStyle w:val="0"/>
        <w:spacing w:before="240" w:lineRule="auto"/>
        <w:ind w:firstLine="540"/>
        <w:jc w:val="both"/>
      </w:pPr>
      <w:r>
        <w:rPr>
          <w:sz w:val="24"/>
        </w:rPr>
        <w:t xml:space="preserve">Изменение N 1 к настоящему своду правил выполнено авторским коллективом НП "АВОК" (</w:t>
      </w:r>
      <w:r>
        <w:rPr>
          <w:sz w:val="24"/>
          <w:i w:val="on"/>
        </w:rPr>
        <w:t xml:space="preserve">А.Н. Колубков</w:t>
      </w:r>
      <w:r>
        <w:rPr>
          <w:sz w:val="24"/>
        </w:rPr>
        <w:t xml:space="preserve">), ООО ППФ "АК" (</w:t>
      </w:r>
      <w:r>
        <w:rPr>
          <w:sz w:val="24"/>
          <w:i w:val="on"/>
        </w:rPr>
        <w:t xml:space="preserve">С.Г. Никитин</w:t>
      </w:r>
      <w:r>
        <w:rPr>
          <w:sz w:val="24"/>
        </w:rPr>
        <w:t xml:space="preserve">, </w:t>
      </w:r>
      <w:r>
        <w:rPr>
          <w:sz w:val="24"/>
          <w:i w:val="on"/>
        </w:rPr>
        <w:t xml:space="preserve">С.О. Яценко, А.И. Галин</w:t>
      </w:r>
      <w:r>
        <w:rPr>
          <w:sz w:val="24"/>
        </w:rPr>
        <w:t xml:space="preserve">), ООО Центр "ОПСН" (</w:t>
      </w:r>
      <w:r>
        <w:rPr>
          <w:sz w:val="24"/>
          <w:i w:val="on"/>
        </w:rPr>
        <w:t xml:space="preserve">Д.С. Горячко</w:t>
      </w:r>
      <w:r>
        <w:rPr>
          <w:sz w:val="24"/>
        </w:rPr>
        <w:t xml:space="preserve">).</w:t>
      </w:r>
    </w:p>
    <w:p>
      <w:pPr>
        <w:pStyle w:val="0"/>
        <w:jc w:val="both"/>
      </w:pPr>
      <w:r>
        <w:rPr>
          <w:sz w:val="24"/>
        </w:rPr>
        <w:t xml:space="preserve">(абзац введен </w:t>
      </w:r>
      <w:hyperlink w:history="0" r:id="rId1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инженерных систем вновь строящихся и реконструируемых общественных зданий высотой более 50 м и жилых зданий высотой более 75 м, включая многофункциональные здания и здания одного функционального назначения, (далее по тексту высотных зданий).</w:t>
      </w:r>
    </w:p>
    <w:p>
      <w:pPr>
        <w:pStyle w:val="0"/>
        <w:jc w:val="both"/>
      </w:pPr>
      <w:r>
        <w:rPr>
          <w:sz w:val="24"/>
        </w:rPr>
        <w:t xml:space="preserve">(в ред. </w:t>
      </w:r>
      <w:hyperlink w:history="0" r:id="rId1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jc w:val="both"/>
      </w:pPr>
      <w:r>
        <w:rPr>
          <w:sz w:val="24"/>
        </w:rPr>
        <w:t xml:space="preserve">(раздел 2 в ред. </w:t>
      </w:r>
      <w:hyperlink w:history="0" r:id="rId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0"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12.2.047-86</w:t>
        </w:r>
      </w:hyperlink>
      <w:r>
        <w:rPr>
          <w:sz w:val="24"/>
        </w:rPr>
        <w:t xml:space="preserve"> Система стандартов безопасности труда. Пожарная техника. Термины и определения</w:t>
      </w:r>
    </w:p>
    <w:p>
      <w:pPr>
        <w:pStyle w:val="0"/>
        <w:spacing w:before="240" w:lineRule="auto"/>
        <w:ind w:firstLine="540"/>
        <w:jc w:val="both"/>
      </w:pPr>
      <w:r>
        <w:rPr>
          <w:sz w:val="24"/>
        </w:rPr>
        <w:t xml:space="preserve">Ссылка исключена с 14.11.2024. - </w:t>
      </w:r>
      <w:hyperlink w:history="0" r:id="rId2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22"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Топливо дизельное. Технические условия</w:t>
      </w:r>
    </w:p>
    <w:p>
      <w:pPr>
        <w:pStyle w:val="0"/>
        <w:spacing w:before="240" w:lineRule="auto"/>
        <w:ind w:firstLine="540"/>
        <w:jc w:val="both"/>
      </w:pPr>
      <w:hyperlink w:history="0" r:id="rId23"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(в ред. </w:t>
      </w:r>
      <w:hyperlink w:history="0" r:id="rId2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2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26"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ГОСТ 25150-82</w:t>
        </w:r>
      </w:hyperlink>
      <w:r>
        <w:rPr>
          <w:sz w:val="24"/>
        </w:rPr>
        <w:t xml:space="preserve"> Канализация. Термины и определения</w:t>
      </w:r>
    </w:p>
    <w:p>
      <w:pPr>
        <w:pStyle w:val="0"/>
        <w:spacing w:before="240" w:lineRule="auto"/>
        <w:ind w:firstLine="540"/>
        <w:jc w:val="both"/>
      </w:pPr>
      <w:hyperlink w:history="0" r:id="rId27"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(ИСО 834-75) Конструкции строительные. Методы испытаний на огнестойкость. Общие требования</w:t>
      </w:r>
    </w:p>
    <w:p>
      <w:pPr>
        <w:pStyle w:val="0"/>
        <w:spacing w:before="240" w:lineRule="auto"/>
        <w:ind w:firstLine="540"/>
        <w:jc w:val="both"/>
      </w:pPr>
      <w:hyperlink w:history="0" r:id="rId2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2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30" w:tooltip="&quot;ГОСТ 32019-2012. Межгосударственный стандарт. Мониторинг технического состояния уникальных зданий и сооружений. Правила проектирования и установки стационарных систем (станций) мониторинга&quot; (введен в действие Приказом Росстандарта от 18.12.2012 N 2020-ст) (ред. от 26.09.2016) {КонсультантПлюс}">
        <w:r>
          <w:rPr>
            <w:sz w:val="24"/>
            <w:color w:val="0000ff"/>
          </w:rPr>
          <w:t xml:space="preserve">ГОСТ 32019-2012</w:t>
        </w:r>
      </w:hyperlink>
      <w:r>
        <w:rPr>
          <w:sz w:val="24"/>
        </w:rPr>
        <w:t xml:space="preserve"> Мониторинг технического состояния уникальных зданий и сооружений. Правила проектирования и установки стационарных систем (станций) мониторинга</w:t>
      </w:r>
    </w:p>
    <w:p>
      <w:pPr>
        <w:pStyle w:val="0"/>
        <w:spacing w:before="240" w:lineRule="auto"/>
        <w:ind w:firstLine="540"/>
        <w:jc w:val="both"/>
      </w:pPr>
      <w:hyperlink w:history="0" r:id="rId31" w:tooltip="&quot;ГОСТ 34011-2024. Межгосударственный стандарт. Системы газораспределительные. Пункты газорегуляторные блочные. Пункты редуцирования газа шкафные. Общие технические требования&quot; (введен в действие Приказом Росстандарта от 13.06.2024 N 785-ст) {КонсультантПлюс}">
        <w:r>
          <w:rPr>
            <w:sz w:val="24"/>
            <w:color w:val="0000ff"/>
          </w:rPr>
          <w:t xml:space="preserve">ГОСТ 34011-2024</w:t>
        </w:r>
      </w:hyperlink>
      <w:r>
        <w:rPr>
          <w:sz w:val="24"/>
        </w:rPr>
        <w:t xml:space="preserve"> Системы газораспределительные. Пункты газорегуляторные блочные. Пункты редуцирования газа шкафные. Общие технические требования</w:t>
      </w:r>
    </w:p>
    <w:p>
      <w:pPr>
        <w:pStyle w:val="0"/>
        <w:jc w:val="both"/>
      </w:pPr>
      <w:r>
        <w:rPr>
          <w:sz w:val="24"/>
        </w:rPr>
        <w:t xml:space="preserve">(в ред. </w:t>
      </w:r>
      <w:hyperlink w:history="0" r:id="rId3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33" w:tooltip="&quot;ГОСТ IEC 60332-3-22-2011. Межгосударственный стандарт.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quot; (введен в действие Приказом Росстандарта от 13.12.2011 N 1431-ст) ------------ Утратил силу или отменен {КонсультантПлюс}">
        <w:r>
          <w:rPr>
            <w:sz w:val="24"/>
            <w:color w:val="0000ff"/>
          </w:rPr>
          <w:t xml:space="preserve">ГОСТ IEC 60332-3-22-2011</w:t>
        </w:r>
      </w:hyperlink>
      <w:r>
        <w:rPr>
          <w:sz w:val="24"/>
        </w:rPr>
        <w:t xml:space="preserve">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w:t>
      </w:r>
    </w:p>
    <w:p>
      <w:pPr>
        <w:pStyle w:val="0"/>
        <w:spacing w:before="240" w:lineRule="auto"/>
        <w:ind w:firstLine="540"/>
        <w:jc w:val="both"/>
      </w:pPr>
      <w:hyperlink w:history="0" r:id="rId34" w:tooltip="&quot;ГОСТ IEC 60702-1-2017. Межгосударственный стандарт. Кабели с минеральной изоляцией и концевые заделки к ним на номинальное напряжение не более 750 В. Часть 1. Кабели&quot; (введен в действие Приказом Росстандарта от 25.09.2018 N 644-ст) {КонсультантПлюс}">
        <w:r>
          <w:rPr>
            <w:sz w:val="24"/>
            <w:color w:val="0000ff"/>
          </w:rPr>
          <w:t xml:space="preserve">ГОСТ IEC 60702-1-2017</w:t>
        </w:r>
      </w:hyperlink>
      <w:r>
        <w:rPr>
          <w:sz w:val="24"/>
        </w:rPr>
        <w:t xml:space="preserve"> Кабели с минеральной изоляцией и концевые заделки к ним на номинальное напряжение не более 750 В. Часть 1. Кабели</w:t>
      </w:r>
    </w:p>
    <w:p>
      <w:pPr>
        <w:pStyle w:val="0"/>
        <w:spacing w:before="240" w:lineRule="auto"/>
        <w:ind w:firstLine="540"/>
        <w:jc w:val="both"/>
      </w:pPr>
      <w:hyperlink w:history="0" r:id="rId35"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22.1.12-2005</w:t>
        </w:r>
      </w:hyperlink>
      <w:r>
        <w:rPr>
          <w:sz w:val="24"/>
        </w:rPr>
        <w:t xml:space="preserve">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pPr>
        <w:pStyle w:val="0"/>
        <w:spacing w:before="240" w:lineRule="auto"/>
        <w:ind w:firstLine="540"/>
        <w:jc w:val="both"/>
      </w:pPr>
      <w:hyperlink w:history="0" r:id="rId36" w:tooltip="&quot;ГОСТ Р 22.1.13-2013. Национальный стандарт Российской Федерации.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quot; (утв. и введен в действие Приказом Росстандарта от 25.10.2013 N 1214-ст) {КонсультантПлюс}">
        <w:r>
          <w:rPr>
            <w:sz w:val="24"/>
            <w:color w:val="0000ff"/>
          </w:rPr>
          <w:t xml:space="preserve">ГОСТ Р 22.1.13-2013</w:t>
        </w:r>
      </w:hyperlink>
      <w:r>
        <w:rPr>
          <w:sz w:val="24"/>
        </w:rPr>
        <w:t xml:space="preserve">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w:t>
      </w:r>
    </w:p>
    <w:p>
      <w:pPr>
        <w:pStyle w:val="0"/>
        <w:spacing w:before="240" w:lineRule="auto"/>
        <w:ind w:firstLine="540"/>
        <w:jc w:val="both"/>
      </w:pPr>
      <w:hyperlink w:history="0" r:id="rId37" w:tooltip="&quot;ГОСТ Р 22.1.14-2013. Национальный стандарт Российской Федерации.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quot; (утв. и введен в действие Приказом Росстандарта от 25.10.2013 N 1213-ст) {КонсультантПлюс}">
        <w:r>
          <w:rPr>
            <w:sz w:val="24"/>
            <w:color w:val="0000ff"/>
          </w:rPr>
          <w:t xml:space="preserve">ГОСТ Р 22.1.14-2013</w:t>
        </w:r>
      </w:hyperlink>
      <w:r>
        <w:rPr>
          <w:sz w:val="24"/>
        </w:rPr>
        <w:t xml:space="preserve">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w:t>
      </w:r>
    </w:p>
    <w:p>
      <w:pPr>
        <w:pStyle w:val="0"/>
        <w:spacing w:before="240" w:lineRule="auto"/>
        <w:ind w:firstLine="540"/>
        <w:jc w:val="both"/>
      </w:pPr>
      <w:hyperlink w:history="0" r:id="rId38" w:tooltip="&quot;ГОСТ Р 51558-2014. Национальный стандарт Российской Федерации. Средства и системы охранные телевизионные. Классификация. Общие технические требования. Методы испытаний&quot; (утв. и введен в действие Приказом Росстандарта от 22.10.2014 N 1371-ст) (ред. от 31.10.2019) {КонсультантПлюс}">
        <w:r>
          <w:rPr>
            <w:sz w:val="24"/>
            <w:color w:val="0000ff"/>
          </w:rPr>
          <w:t xml:space="preserve">ГОСТ Р 51558-2014</w:t>
        </w:r>
      </w:hyperlink>
      <w:r>
        <w:rPr>
          <w:sz w:val="24"/>
        </w:rPr>
        <w:t xml:space="preserve"> Средства и системы охранные телевизионные. Классификация. Общие технические требования. Методы испытаний</w:t>
      </w:r>
    </w:p>
    <w:p>
      <w:pPr>
        <w:pStyle w:val="0"/>
        <w:spacing w:before="240" w:lineRule="auto"/>
        <w:ind w:firstLine="540"/>
        <w:jc w:val="both"/>
      </w:pPr>
      <w:hyperlink w:history="0" r:id="rId39"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40" w:tooltip="&quot;ГОСТ Р 52318-2005. Национальный стандарт Российской Федерации. Трубы медные круглого сечения для воды и газа. Технические условия&quot; (утв. Приказом Ростехрегулирования от 09.03.2005 N 45-ст) {КонсультантПлюс}">
        <w:r>
          <w:rPr>
            <w:sz w:val="24"/>
            <w:color w:val="0000ff"/>
          </w:rPr>
          <w:t xml:space="preserve">ГОСТ Р 52318-2005</w:t>
        </w:r>
      </w:hyperlink>
      <w:r>
        <w:rPr>
          <w:sz w:val="24"/>
        </w:rPr>
        <w:t xml:space="preserve"> Трубы медные круглого сечения для воды и газа. Технические условия</w:t>
      </w:r>
    </w:p>
    <w:p>
      <w:pPr>
        <w:pStyle w:val="0"/>
        <w:spacing w:before="240" w:lineRule="auto"/>
        <w:ind w:firstLine="540"/>
        <w:jc w:val="both"/>
      </w:pPr>
      <w:hyperlink w:history="0" r:id="rId41"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42"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35043-2023</w:t>
        </w:r>
      </w:hyperlink>
      <w:r>
        <w:rPr>
          <w:sz w:val="24"/>
        </w:rPr>
        <w:t xml:space="preserve"> Изделия погонажные электромонтажные. Требования пожарной безопасности. Методы испытаний</w:t>
      </w:r>
    </w:p>
    <w:p>
      <w:pPr>
        <w:pStyle w:val="0"/>
        <w:jc w:val="both"/>
      </w:pPr>
      <w:r>
        <w:rPr>
          <w:sz w:val="24"/>
        </w:rPr>
        <w:t xml:space="preserve">(в ред. </w:t>
      </w:r>
      <w:hyperlink w:history="0" r:id="rId4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44"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spacing w:before="240" w:lineRule="auto"/>
        <w:ind w:firstLine="540"/>
        <w:jc w:val="both"/>
      </w:pPr>
      <w:r>
        <w:rPr>
          <w:sz w:val="24"/>
        </w:rPr>
        <w:t xml:space="preserve">Ссылка исключена с 14.11.2024. - </w:t>
      </w:r>
      <w:hyperlink w:history="0" r:id="rId4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46"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ГОСТ Р МЭК 60050-826-2009</w:t>
        </w:r>
      </w:hyperlink>
      <w:r>
        <w:rPr>
          <w:sz w:val="24"/>
        </w:rPr>
        <w:t xml:space="preserve"> Установки электрические. Термины и определения</w:t>
      </w:r>
    </w:p>
    <w:p>
      <w:pPr>
        <w:pStyle w:val="0"/>
        <w:spacing w:before="240" w:lineRule="auto"/>
        <w:ind w:firstLine="540"/>
        <w:jc w:val="both"/>
      </w:pPr>
      <w:r>
        <w:rPr>
          <w:sz w:val="24"/>
        </w:rPr>
        <w:t xml:space="preserve">Ссылка исключена с 14.11.2024. - </w:t>
      </w:r>
      <w:hyperlink w:history="0" r:id="rId4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48"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4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50"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5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5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5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5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55"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5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5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58"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59"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w:t>
      </w:r>
    </w:p>
    <w:p>
      <w:pPr>
        <w:pStyle w:val="0"/>
        <w:jc w:val="both"/>
      </w:pPr>
      <w:r>
        <w:rPr>
          <w:sz w:val="24"/>
        </w:rPr>
        <w:t xml:space="preserve">(в ред. </w:t>
      </w:r>
      <w:hyperlink w:history="0" r:id="rId6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1"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jc w:val="both"/>
      </w:pPr>
      <w:r>
        <w:rPr>
          <w:sz w:val="24"/>
        </w:rPr>
        <w:t xml:space="preserve">(в ред. </w:t>
      </w:r>
      <w:hyperlink w:history="0" r:id="rId6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3"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(в ред. </w:t>
      </w:r>
      <w:hyperlink w:history="0" r:id="rId6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6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(в ред. </w:t>
      </w:r>
      <w:hyperlink w:history="0" r:id="rId6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9"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w:t>
      </w:r>
    </w:p>
    <w:p>
      <w:pPr>
        <w:pStyle w:val="0"/>
        <w:jc w:val="both"/>
      </w:pPr>
      <w:r>
        <w:rPr>
          <w:sz w:val="24"/>
        </w:rPr>
        <w:t xml:space="preserve">(в ред. </w:t>
      </w:r>
      <w:hyperlink w:history="0" r:id="rId7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w:t>
      </w:r>
    </w:p>
    <w:p>
      <w:pPr>
        <w:pStyle w:val="0"/>
        <w:jc w:val="both"/>
      </w:pPr>
      <w:r>
        <w:rPr>
          <w:sz w:val="24"/>
        </w:rPr>
        <w:t xml:space="preserve">(в ред. </w:t>
      </w:r>
      <w:hyperlink w:history="0" r:id="rId7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w:t>
      </w:r>
    </w:p>
    <w:p>
      <w:pPr>
        <w:pStyle w:val="0"/>
        <w:jc w:val="both"/>
      </w:pPr>
      <w:r>
        <w:rPr>
          <w:sz w:val="24"/>
        </w:rPr>
        <w:t xml:space="preserve">(в ред. </w:t>
      </w:r>
      <w:hyperlink w:history="0" r:id="rId7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5"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jc w:val="both"/>
      </w:pPr>
      <w:r>
        <w:rPr>
          <w:sz w:val="24"/>
        </w:rPr>
        <w:t xml:space="preserve">(в ред. </w:t>
      </w:r>
      <w:hyperlink w:history="0" r:id="rId7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7"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изменениями N 1, N 2)</w:t>
      </w:r>
    </w:p>
    <w:p>
      <w:pPr>
        <w:pStyle w:val="0"/>
        <w:jc w:val="both"/>
      </w:pPr>
      <w:r>
        <w:rPr>
          <w:sz w:val="24"/>
        </w:rPr>
        <w:t xml:space="preserve">(в ред. </w:t>
      </w:r>
      <w:hyperlink w:history="0" r:id="rId7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9" w:tooltip="&quot;СП 77.13330.2016. Свод правил. Системы автоматизации. Актуализированная редакция СНиП 3.05.07-85&quot; (утв. Приказом Минстроя России от 20.10.2016 N 727/пр) {КонсультантПлюс}">
        <w:r>
          <w:rPr>
            <w:sz w:val="24"/>
            <w:color w:val="0000ff"/>
          </w:rPr>
          <w:t xml:space="preserve">СП 77.13330.2016</w:t>
        </w:r>
      </w:hyperlink>
      <w:r>
        <w:rPr>
          <w:sz w:val="24"/>
        </w:rPr>
        <w:t xml:space="preserve"> "СНиП 3.05.07-85 Системы автоматизации"</w:t>
      </w:r>
    </w:p>
    <w:p>
      <w:pPr>
        <w:pStyle w:val="0"/>
        <w:spacing w:before="240" w:lineRule="auto"/>
        <w:ind w:firstLine="540"/>
        <w:jc w:val="both"/>
      </w:pPr>
      <w:r>
        <w:rPr>
          <w:sz w:val="24"/>
        </w:rPr>
        <w:t xml:space="preserve">Ссылка исключена с 14.11.2024. - </w:t>
      </w:r>
      <w:hyperlink w:history="0" r:id="rId8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81"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СП 124.13330.2012</w:t>
        </w:r>
      </w:hyperlink>
      <w:r>
        <w:rPr>
          <w:sz w:val="24"/>
        </w:rPr>
        <w:t xml:space="preserve"> "СНиП 41-02-2003 Тепловые сети" (с изменениями N 1, N 2, N 3)</w:t>
      </w:r>
    </w:p>
    <w:p>
      <w:pPr>
        <w:pStyle w:val="0"/>
        <w:jc w:val="both"/>
      </w:pPr>
      <w:r>
        <w:rPr>
          <w:sz w:val="24"/>
        </w:rPr>
        <w:t xml:space="preserve">(в ред. </w:t>
      </w:r>
      <w:hyperlink w:history="0" r:id="rId8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8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(в ред. </w:t>
      </w:r>
      <w:hyperlink w:history="0" r:id="rId8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85"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132.13330.2011</w:t>
        </w:r>
      </w:hyperlink>
      <w:r>
        <w:rPr>
          <w:sz w:val="24"/>
        </w:rPr>
        <w:t xml:space="preserve"> Обеспечение антитеррористической защищенности зданий и сооружений. Общие требования проектирования</w:t>
      </w:r>
    </w:p>
    <w:p>
      <w:pPr>
        <w:pStyle w:val="0"/>
        <w:spacing w:before="240" w:lineRule="auto"/>
        <w:ind w:firstLine="540"/>
        <w:jc w:val="both"/>
      </w:pPr>
      <w:hyperlink w:history="0" r:id="rId86"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(в ред. </w:t>
      </w:r>
      <w:hyperlink w:history="0" r:id="rId8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8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89"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jc w:val="both"/>
      </w:pPr>
      <w:r>
        <w:rPr>
          <w:sz w:val="24"/>
        </w:rPr>
        <w:t xml:space="preserve">(в ред. </w:t>
      </w:r>
      <w:hyperlink w:history="0" r:id="rId9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91"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267.1325800.2016</w:t>
        </w:r>
      </w:hyperlink>
      <w:r>
        <w:rPr>
          <w:sz w:val="24"/>
        </w:rPr>
        <w:t xml:space="preserve"> Здания и комплексы высотные. Правила проектирования (с изменением N 1)</w:t>
      </w:r>
    </w:p>
    <w:p>
      <w:pPr>
        <w:pStyle w:val="0"/>
        <w:spacing w:before="240" w:lineRule="auto"/>
        <w:ind w:firstLine="540"/>
        <w:jc w:val="both"/>
      </w:pPr>
      <w:hyperlink w:history="0" r:id="rId92"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477.1325800.2020</w:t>
        </w:r>
      </w:hyperlink>
      <w:r>
        <w:rPr>
          <w:sz w:val="24"/>
        </w:rPr>
        <w:t xml:space="preserve"> Здания и комплексы высотные. Требования пожарной безопасности (с изменением N 1)</w:t>
      </w:r>
    </w:p>
    <w:p>
      <w:pPr>
        <w:pStyle w:val="0"/>
        <w:jc w:val="both"/>
      </w:pPr>
      <w:r>
        <w:rPr>
          <w:sz w:val="24"/>
        </w:rPr>
        <w:t xml:space="preserve">(в ред. </w:t>
      </w:r>
      <w:hyperlink w:history="0" r:id="rId9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94"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95"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9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97"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98" w:tooltip="Постановление Главного государственного санитарного врача РФ от 28.01.2021 N 3 (ред. от 25.06.2025)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rPr>
        <w:t xml:space="preserve">3 Термины и определения, обозначения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в соответствии с </w:t>
      </w:r>
      <w:hyperlink w:history="0" r:id="rId99"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w:t>
        </w:r>
      </w:hyperlink>
      <w:r>
        <w:rPr>
          <w:sz w:val="24"/>
        </w:rPr>
        <w:t xml:space="preserve">, </w:t>
      </w:r>
      <w:hyperlink w:history="0" r:id="rId100"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101"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102"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ГОСТ 25150</w:t>
        </w:r>
      </w:hyperlink>
      <w:r>
        <w:rPr>
          <w:sz w:val="24"/>
        </w:rPr>
        <w:t xml:space="preserve">, </w:t>
      </w:r>
      <w:hyperlink w:history="0" r:id="rId103"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w:t>
      </w:r>
      <w:hyperlink w:history="0" r:id="rId104"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w:t>
        </w:r>
      </w:hyperlink>
      <w:r>
        <w:rPr>
          <w:sz w:val="24"/>
        </w:rPr>
        <w:t xml:space="preserve">, </w:t>
      </w:r>
      <w:hyperlink w:history="0" r:id="rId105"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ГОСТ Р МЭК 60050-826</w:t>
        </w:r>
      </w:hyperlink>
      <w:r>
        <w:rPr>
          <w:sz w:val="24"/>
        </w:rPr>
        <w:t xml:space="preserve">,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308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10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3.1.1 </w:t>
      </w:r>
      <w:r>
        <w:rPr>
          <w:sz w:val="24"/>
          <w:b w:val="on"/>
        </w:rPr>
        <w:t xml:space="preserve">внутренние системы теплоснабжения</w:t>
      </w:r>
      <w:r>
        <w:rPr>
          <w:sz w:val="24"/>
        </w:rPr>
        <w:t xml:space="preserve">: Совокупность трубопроводов, арматуры, насосного, теплообменного и другого оборудования для транспортирования теплоносителя между ЦТП, АИТ или ЭЦ и ИТП и потребителями.</w:t>
      </w:r>
    </w:p>
    <w:p>
      <w:pPr>
        <w:pStyle w:val="0"/>
        <w:spacing w:before="240" w:lineRule="auto"/>
        <w:ind w:firstLine="540"/>
        <w:jc w:val="both"/>
      </w:pPr>
      <w:r>
        <w:rPr>
          <w:sz w:val="24"/>
        </w:rPr>
        <w:t xml:space="preserve">3.1.1а </w:t>
      </w:r>
      <w:r>
        <w:rPr>
          <w:sz w:val="24"/>
          <w:b w:val="on"/>
        </w:rPr>
        <w:t xml:space="preserve">внутренние системы теплоснабжения высотного здания:</w:t>
      </w:r>
      <w:r>
        <w:rPr>
          <w:sz w:val="24"/>
        </w:rPr>
        <w:t xml:space="preserve"> Совокупность трубопроводов, арматуры, насосного, теплообменного и другого оборудования для обеспечения теплом систем отопления, систем теплоснабжения воздухонагревателей систем вентиляции, систем горячего водоснабжения, технологических потребителей.</w:t>
      </w:r>
    </w:p>
    <w:p>
      <w:pPr>
        <w:pStyle w:val="0"/>
        <w:jc w:val="both"/>
      </w:pPr>
      <w:r>
        <w:rPr>
          <w:sz w:val="24"/>
        </w:rPr>
        <w:t xml:space="preserve">(п. 3.1.1а введен </w:t>
      </w:r>
      <w:hyperlink w:history="0" r:id="rId10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3.1.2 </w:t>
      </w:r>
      <w:r>
        <w:rPr>
          <w:sz w:val="24"/>
          <w:b w:val="on"/>
        </w:rPr>
        <w:t xml:space="preserve">внутренний водосток</w:t>
      </w:r>
      <w:r>
        <w:rPr>
          <w:sz w:val="24"/>
        </w:rPr>
        <w:t xml:space="preserve">: Система водосточных воронок, отводных труб, водосточных стояков для отвода дождевых и талых вод с кровель и плоских крыш.</w:t>
      </w:r>
    </w:p>
    <w:p>
      <w:pPr>
        <w:pStyle w:val="0"/>
        <w:spacing w:before="240" w:lineRule="auto"/>
        <w:ind w:firstLine="540"/>
        <w:jc w:val="both"/>
      </w:pPr>
      <w:r>
        <w:rPr>
          <w:sz w:val="24"/>
        </w:rPr>
        <w:t xml:space="preserve">3.1.3 </w:t>
      </w:r>
      <w:r>
        <w:rPr>
          <w:sz w:val="24"/>
          <w:b w:val="on"/>
        </w:rPr>
        <w:t xml:space="preserve">внутренний противопожарный водопровод;</w:t>
      </w:r>
      <w:r>
        <w:rPr>
          <w:sz w:val="24"/>
        </w:rPr>
        <w:t xml:space="preserve"> ВПВ: Совокупность трубопроводов и технических средств, обеспечивающих подачу воды к установкам пожаротушения и пожарным кранам.</w:t>
      </w:r>
    </w:p>
    <w:p>
      <w:pPr>
        <w:pStyle w:val="0"/>
        <w:spacing w:before="240" w:lineRule="auto"/>
        <w:ind w:firstLine="540"/>
        <w:jc w:val="both"/>
      </w:pPr>
      <w:r>
        <w:rPr>
          <w:sz w:val="24"/>
        </w:rPr>
        <w:t xml:space="preserve">3.1.4 </w:t>
      </w:r>
      <w:r>
        <w:rPr>
          <w:sz w:val="24"/>
          <w:b w:val="on"/>
        </w:rPr>
        <w:t xml:space="preserve">внутренняя система водоснабжения (система холодного и горячего водоснабжения);</w:t>
      </w:r>
      <w:r>
        <w:rPr>
          <w:sz w:val="24"/>
        </w:rPr>
        <w:t xml:space="preserve"> ХВС и ГВС: Совокупность трубопроводов и оборудования, обеспечивающая подачу холодной и горячей воды к санитарно-техническим приборам, технологическому оборудованию и противопожарным системам.</w:t>
      </w:r>
    </w:p>
    <w:p>
      <w:pPr>
        <w:pStyle w:val="0"/>
        <w:spacing w:before="240" w:lineRule="auto"/>
        <w:ind w:firstLine="540"/>
        <w:jc w:val="both"/>
      </w:pPr>
      <w:r>
        <w:rPr>
          <w:sz w:val="24"/>
        </w:rPr>
        <w:t xml:space="preserve">3.1.5 </w:t>
      </w:r>
      <w:r>
        <w:rPr>
          <w:sz w:val="24"/>
          <w:b w:val="on"/>
        </w:rPr>
        <w:t xml:space="preserve">внутренняя система канализации высотного здания (бытовая, производственная и ливневая канализация):</w:t>
      </w:r>
      <w:r>
        <w:rPr>
          <w:sz w:val="24"/>
        </w:rPr>
        <w:t xml:space="preserve"> Совокупность трубопроводов и оборудования, обеспечивающая отведение сточных вод от санитарно-технических приборов, технологического оборудования, а также дождевых и талых вод до выпуска из здания в канализационную сеть соответствующего назначения.</w:t>
      </w:r>
    </w:p>
    <w:p>
      <w:pPr>
        <w:pStyle w:val="0"/>
        <w:jc w:val="both"/>
      </w:pPr>
      <w:r>
        <w:rPr>
          <w:sz w:val="24"/>
        </w:rPr>
        <w:t xml:space="preserve">(п. 3.1.5 в ред. </w:t>
      </w:r>
      <w:hyperlink w:history="0" r:id="rId10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3.1.6 </w:t>
      </w:r>
      <w:r>
        <w:rPr>
          <w:sz w:val="24"/>
          <w:b w:val="on"/>
        </w:rPr>
        <w:t xml:space="preserve">водосточная воронка</w:t>
      </w:r>
      <w:r>
        <w:rPr>
          <w:sz w:val="24"/>
        </w:rPr>
        <w:t xml:space="preserve">: Устройство для приема и отведения дождевых и талых вод с кровель и плоских крыш.</w:t>
      </w:r>
    </w:p>
    <w:p>
      <w:pPr>
        <w:pStyle w:val="0"/>
        <w:spacing w:before="240" w:lineRule="auto"/>
        <w:ind w:firstLine="540"/>
        <w:jc w:val="both"/>
      </w:pPr>
      <w:r>
        <w:rPr>
          <w:sz w:val="24"/>
        </w:rPr>
        <w:t xml:space="preserve">3.1.7 </w:t>
      </w:r>
      <w:r>
        <w:rPr>
          <w:sz w:val="24"/>
          <w:b w:val="on"/>
        </w:rPr>
        <w:t xml:space="preserve">высотное здание</w:t>
      </w:r>
      <w:r>
        <w:rPr>
          <w:sz w:val="24"/>
        </w:rPr>
        <w:t xml:space="preserve">: Здание, высота которого от отметки поверхности проезда пожарных машин, находящейся на уровне нижней планировочной отметки земли, до нижнего уровня открывающегося проема или окна в наружной стене верхнего этажа (не считая верхнего технического этажа), а в случае сплошного остекления и отсутствия проемов или окон в верхних этажах - до верха перекрытия последнего этажа, составляет для общественных зданий - более 55 м, для жилых зданий - более 75 м.</w:t>
      </w:r>
    </w:p>
    <w:p>
      <w:pPr>
        <w:pStyle w:val="0"/>
        <w:spacing w:before="240" w:lineRule="auto"/>
        <w:ind w:firstLine="540"/>
        <w:jc w:val="both"/>
      </w:pPr>
      <w:r>
        <w:rPr>
          <w:sz w:val="24"/>
        </w:rPr>
        <w:t xml:space="preserve">3.1.8 </w:t>
      </w:r>
      <w:r>
        <w:rPr>
          <w:sz w:val="24"/>
          <w:b w:val="on"/>
        </w:rPr>
        <w:t xml:space="preserve">высотное здание-комплекс</w:t>
      </w:r>
      <w:r>
        <w:rPr>
          <w:sz w:val="24"/>
        </w:rPr>
        <w:t xml:space="preserve">: Одно и более высотных зданий, объединенных с другими зданиями архитектурным замыслом и функционально связанные между собой.</w:t>
      </w:r>
    </w:p>
    <w:p>
      <w:pPr>
        <w:pStyle w:val="0"/>
        <w:spacing w:before="240" w:lineRule="auto"/>
        <w:ind w:firstLine="540"/>
        <w:jc w:val="both"/>
      </w:pPr>
      <w:r>
        <w:rPr>
          <w:sz w:val="24"/>
        </w:rPr>
        <w:t xml:space="preserve">Примечание - В высотные здания-комплексы могут входить общественные здания высотой менее 55 м и жилые здания высотой менее 75 м.</w:t>
      </w:r>
    </w:p>
    <w:p>
      <w:pPr>
        <w:pStyle w:val="0"/>
        <w:jc w:val="both"/>
      </w:pPr>
      <w:r>
        <w:rPr>
          <w:sz w:val="24"/>
        </w:rPr>
      </w:r>
    </w:p>
    <w:p>
      <w:pPr>
        <w:pStyle w:val="0"/>
        <w:ind w:firstLine="540"/>
        <w:jc w:val="both"/>
      </w:pPr>
      <w:r>
        <w:rPr>
          <w:sz w:val="24"/>
        </w:rPr>
        <w:t xml:space="preserve">3.1.9 </w:t>
      </w:r>
      <w:r>
        <w:rPr>
          <w:sz w:val="24"/>
          <w:b w:val="on"/>
        </w:rPr>
        <w:t xml:space="preserve">высота компактной части струи</w:t>
      </w:r>
      <w:r>
        <w:rPr>
          <w:sz w:val="24"/>
        </w:rPr>
        <w:t xml:space="preserve">: Условная высота (длина) водяной струи, вытекающей из ручного пожарного ствола, сохраняющей свою сплошность.</w:t>
      </w:r>
    </w:p>
    <w:p>
      <w:pPr>
        <w:pStyle w:val="0"/>
        <w:spacing w:before="240" w:lineRule="auto"/>
        <w:ind w:firstLine="540"/>
        <w:jc w:val="both"/>
      </w:pPr>
      <w:r>
        <w:rPr>
          <w:sz w:val="24"/>
        </w:rPr>
        <w:t xml:space="preserve">Примечание - Высота компактной части струи принимается равной 0,8 от высоты вертикальной струи.</w:t>
      </w:r>
    </w:p>
    <w:p>
      <w:pPr>
        <w:pStyle w:val="0"/>
        <w:jc w:val="both"/>
      </w:pPr>
      <w:r>
        <w:rPr>
          <w:sz w:val="24"/>
        </w:rPr>
      </w:r>
    </w:p>
    <w:p>
      <w:pPr>
        <w:pStyle w:val="0"/>
        <w:ind w:firstLine="540"/>
        <w:jc w:val="both"/>
      </w:pPr>
      <w:r>
        <w:rPr>
          <w:sz w:val="24"/>
        </w:rPr>
        <w:t xml:space="preserve">(по СП 10.13130.2009, </w:t>
      </w:r>
      <w:hyperlink w:history="0" r:id="rId109" w:tooltip="&quot;СП 10.13130.2009. Системы противопожарной защиты. Внутренний противопожарный водопровод. Требования пожарной безопасности&quot; (утв. Приказом МЧС России от 25.03.2009 N 180) (ред. от 09.12.2010) ------------ Утратил силу или отменен {КонсультантПлюс}">
        <w:r>
          <w:rPr>
            <w:sz w:val="24"/>
            <w:color w:val="0000ff"/>
          </w:rPr>
          <w:t xml:space="preserve">пункт 3.3</w:t>
        </w:r>
      </w:hyperlink>
      <w:r>
        <w:rPr>
          <w:sz w:val="24"/>
        </w:rPr>
        <w:t xml:space="preserve">)</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дренчерный ороситель</w:t>
            </w:r>
            <w:r>
              <w:rPr>
                <w:sz w:val="24"/>
              </w:rPr>
              <w:t xml:space="preserve">: Ороситель с открытым выходным отверстием.</w:t>
            </w:r>
          </w:p>
          <w:p>
            <w:pPr>
              <w:pStyle w:val="0"/>
              <w:ind w:firstLine="539"/>
              <w:jc w:val="both"/>
            </w:pPr>
            <w:r>
              <w:rPr>
                <w:sz w:val="24"/>
              </w:rPr>
              <w:t xml:space="preserve">[ГОСТ Р 51043-2002, </w:t>
            </w:r>
            <w:hyperlink w:history="0" r:id="rId110"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пункт 3.1.3</w:t>
              </w:r>
            </w:hyperlink>
            <w:r>
              <w:rPr>
                <w:sz w:val="24"/>
              </w:rPr>
              <w:t xml:space="preserve">]</w:t>
            </w:r>
          </w:p>
        </w:tc>
      </w:tr>
    </w:tbl>
    <w:p>
      <w:pPr>
        <w:pStyle w:val="0"/>
        <w:spacing w:before="240" w:lineRule="auto"/>
        <w:ind w:firstLine="540"/>
        <w:jc w:val="both"/>
      </w:pPr>
      <w:r>
        <w:rPr>
          <w:sz w:val="24"/>
        </w:rPr>
        <w:t xml:space="preserve">3.1.11 </w:t>
      </w:r>
      <w:r>
        <w:rPr>
          <w:sz w:val="24"/>
          <w:b w:val="on"/>
        </w:rPr>
        <w:t xml:space="preserve">единый энергетический центр</w:t>
      </w:r>
      <w:r>
        <w:rPr>
          <w:sz w:val="24"/>
        </w:rPr>
        <w:t xml:space="preserve">; ЭЦ: Совокупность устройств и оборудования, вырабатывающего теплоту и холод для нужд теплоснабжения и холодоснабжения высотного здания или комплекса, размещаемого в едином блоке помещений.</w:t>
      </w:r>
    </w:p>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канализационная сеть</w:t>
            </w:r>
            <w:r>
              <w:rPr>
                <w:sz w:val="24"/>
              </w:rPr>
              <w:t xml:space="preserve">: Система трубопроводов, каналов или лотков и сооружений на них для сбора и отведения сточных вод.</w:t>
            </w:r>
          </w:p>
          <w:p>
            <w:pPr>
              <w:pStyle w:val="0"/>
              <w:ind w:firstLine="539"/>
              <w:jc w:val="both"/>
            </w:pPr>
            <w:r>
              <w:rPr>
                <w:sz w:val="24"/>
              </w:rPr>
              <w:t xml:space="preserve">[ГОСТ 25150-82, </w:t>
            </w:r>
            <w:hyperlink w:history="0" r:id="rId111"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статья 14</w:t>
              </w:r>
            </w:hyperlink>
            <w:r>
              <w:rPr>
                <w:sz w:val="24"/>
              </w:rPr>
              <w:t xml:space="preserve">]</w:t>
            </w:r>
          </w:p>
        </w:tc>
      </w:tr>
    </w:tbl>
    <w:p>
      <w:pPr>
        <w:pStyle w:val="0"/>
        <w:spacing w:before="240" w:lineRule="auto"/>
        <w:ind w:firstLine="540"/>
        <w:jc w:val="both"/>
      </w:pPr>
      <w:r>
        <w:rPr>
          <w:sz w:val="24"/>
        </w:rPr>
        <w:t xml:space="preserve">3.1.13 </w:t>
      </w:r>
      <w:r>
        <w:rPr>
          <w:sz w:val="24"/>
          <w:b w:val="on"/>
        </w:rPr>
        <w:t xml:space="preserve">многофункциональное высотное здание</w:t>
      </w:r>
      <w:r>
        <w:rPr>
          <w:sz w:val="24"/>
        </w:rPr>
        <w:t xml:space="preserve">: Здание высотой более 75 м, включающее в себя помещения различного функционального назначения (например, жилые, гостиничные, в том числе апартаментные, офисные, торговые, спортивные, развлекательные и другие).</w:t>
      </w:r>
    </w:p>
    <w:p>
      <w:pPr>
        <w:pStyle w:val="0"/>
        <w:spacing w:before="240" w:lineRule="auto"/>
        <w:ind w:firstLine="540"/>
        <w:jc w:val="both"/>
      </w:pPr>
      <w:r>
        <w:rPr>
          <w:sz w:val="24"/>
        </w:rPr>
        <w:t xml:space="preserve">3.1.14 </w:t>
      </w:r>
      <w:r>
        <w:rPr>
          <w:sz w:val="24"/>
          <w:b w:val="on"/>
        </w:rPr>
        <w:t xml:space="preserve">однофункциональное высотное здание</w:t>
      </w:r>
      <w:r>
        <w:rPr>
          <w:sz w:val="24"/>
        </w:rPr>
        <w:t xml:space="preserve">: Общественное здание высотой более 55 м и жилое здание высотой более 75 м, включающее в себя помещения преимущественного одного функционального назначения: жилое, офисное, административное.</w:t>
      </w:r>
    </w:p>
    <w:p>
      <w:pPr>
        <w:pStyle w:val="0"/>
        <w:spacing w:before="240" w:lineRule="auto"/>
        <w:ind w:firstLine="540"/>
        <w:jc w:val="both"/>
      </w:pPr>
      <w:r>
        <w:rPr>
          <w:sz w:val="24"/>
        </w:rPr>
        <w:t xml:space="preserve">3.1.15 </w:t>
      </w:r>
      <w:r>
        <w:rPr>
          <w:sz w:val="24"/>
          <w:b w:val="on"/>
        </w:rPr>
        <w:t xml:space="preserve">пожарный отсек</w:t>
      </w:r>
      <w:r>
        <w:rPr>
          <w:sz w:val="24"/>
        </w:rPr>
        <w:t xml:space="preserve">: Часть здания, выделенная противопожарными стенами и противопожарными перекрытиями или покрытием, с пределами огнестойкости конструкций, обеспечивающими нераспространение пожара за границы пожарного отсека в течение всей продолжительности пожара.</w:t>
      </w:r>
    </w:p>
    <w:p>
      <w:pPr>
        <w:pStyle w:val="0"/>
        <w:spacing w:before="240" w:lineRule="auto"/>
        <w:ind w:firstLine="540"/>
        <w:jc w:val="both"/>
      </w:pPr>
      <w:r>
        <w:rPr>
          <w:sz w:val="24"/>
        </w:rPr>
        <w:t xml:space="preserve">3.1.16 </w:t>
      </w:r>
      <w:r>
        <w:rPr>
          <w:sz w:val="24"/>
          <w:b w:val="on"/>
        </w:rPr>
        <w:t xml:space="preserve">пожаробезопасная зона</w:t>
      </w:r>
      <w:r>
        <w:rPr>
          <w:sz w:val="24"/>
        </w:rPr>
        <w:t xml:space="preserve">: Часть пожарного отсека высотного здания, выделенная противопожарными преградами, в котором обеспечивается защита людей от воздействия опасных факторов пожара.</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пожарный кран;</w:t>
            </w:r>
            <w:r>
              <w:rPr>
                <w:sz w:val="24"/>
              </w:rPr>
              <w:t xml:space="preserve"> ПК: Комплект, состоящий из клапана ПК, установленного на внутреннем противопожарном водопроводе и оборудованного пожарной соединительной головкой, а также пожарного рукава с ручным пожарным стволом.</w:t>
            </w:r>
          </w:p>
          <w:p>
            <w:pPr>
              <w:pStyle w:val="0"/>
              <w:ind w:firstLine="539"/>
              <w:jc w:val="both"/>
            </w:pPr>
            <w:r>
              <w:rPr>
                <w:sz w:val="24"/>
              </w:rPr>
              <w:t xml:space="preserve">[ГОСТ Р 51844-2009, </w:t>
            </w:r>
            <w:hyperlink w:history="0" r:id="rId112"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пункт 3.3</w:t>
              </w:r>
            </w:hyperlink>
            <w:r>
              <w:rPr>
                <w:sz w:val="24"/>
              </w:rPr>
              <w:t xml:space="preserve">]</w:t>
            </w:r>
          </w:p>
        </w:tc>
      </w:tr>
    </w:tbl>
    <w:p>
      <w:pPr>
        <w:pStyle w:val="0"/>
        <w:spacing w:before="240" w:lineRule="auto"/>
        <w:ind w:firstLine="540"/>
        <w:jc w:val="both"/>
      </w:pPr>
      <w:r>
        <w:rPr>
          <w:sz w:val="24"/>
        </w:rPr>
        <w:t xml:space="preserve">3.1.18 </w:t>
      </w:r>
      <w:r>
        <w:rPr>
          <w:sz w:val="24"/>
          <w:b w:val="on"/>
        </w:rPr>
        <w:t xml:space="preserve">пожарный стояк:</w:t>
      </w:r>
      <w:r>
        <w:rPr>
          <w:sz w:val="24"/>
        </w:rPr>
        <w:t xml:space="preserve"> Распределительный трубопровод внутреннего противопожарного водопровода с размещенными на нем пожарными кранами.</w:t>
      </w:r>
    </w:p>
    <w:p>
      <w:pPr>
        <w:pStyle w:val="0"/>
        <w:spacing w:before="240" w:lineRule="auto"/>
        <w:ind w:firstLine="540"/>
        <w:jc w:val="both"/>
      </w:pPr>
      <w:r>
        <w:rPr>
          <w:sz w:val="24"/>
        </w:rPr>
        <w:t xml:space="preserve">Примечание - Пожарные стояки предназначены для применения пожарными подразделениями при тушении пожаров.</w:t>
      </w:r>
    </w:p>
    <w:p>
      <w:pPr>
        <w:pStyle w:val="0"/>
        <w:jc w:val="both"/>
      </w:pPr>
      <w:r>
        <w:rPr>
          <w:sz w:val="24"/>
        </w:rPr>
      </w:r>
    </w:p>
    <w:p>
      <w:pPr>
        <w:pStyle w:val="0"/>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пожарный шкаф:</w:t>
            </w:r>
            <w:r>
              <w:rPr>
                <w:sz w:val="24"/>
              </w:rPr>
              <w:t xml:space="preserve"> Вид пожарного инвентаря, предназначенного для размещения и обеспечения сохранности технических средств, применяемых во время пожара.</w:t>
            </w:r>
          </w:p>
          <w:p>
            <w:pPr>
              <w:pStyle w:val="0"/>
              <w:ind w:firstLine="539"/>
              <w:jc w:val="both"/>
            </w:pPr>
            <w:r>
              <w:rPr>
                <w:sz w:val="24"/>
              </w:rPr>
              <w:t xml:space="preserve">[ГОСТ Р 51844-2009, </w:t>
            </w:r>
            <w:hyperlink w:history="0" r:id="rId113"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пункт 3.1</w:t>
              </w:r>
            </w:hyperlink>
            <w:r>
              <w:rPr>
                <w:sz w:val="24"/>
              </w:rPr>
              <w:t xml:space="preserve">]</w:t>
            </w:r>
          </w:p>
        </w:tc>
      </w:tr>
    </w:tbl>
    <w:p>
      <w:pPr>
        <w:pStyle w:val="0"/>
        <w:spacing w:before="240" w:lineRule="auto"/>
        <w:ind w:firstLine="540"/>
        <w:jc w:val="both"/>
      </w:pPr>
      <w:r>
        <w:rPr>
          <w:sz w:val="24"/>
        </w:rPr>
        <w:t xml:space="preserve">3.1.20 </w:t>
      </w:r>
      <w:r>
        <w:rPr>
          <w:sz w:val="24"/>
          <w:b w:val="on"/>
        </w:rPr>
        <w:t xml:space="preserve">предел огнестойкости конструкций (заполнения проемов противопожарных преград):</w:t>
      </w:r>
      <w:r>
        <w:rPr>
          <w:sz w:val="24"/>
        </w:rPr>
        <w:t xml:space="preserve"> Промежуток времени от начала огневого воздействия в условиях стандартных испытаний до наступления одного из нормированных для конкретной конструкции предельных состояний: потери несущей способности (R), потери теплоизолирующей способности (I), потери целостности (E).</w:t>
      </w:r>
    </w:p>
    <w:p>
      <w:pPr>
        <w:pStyle w:val="0"/>
        <w:spacing w:before="240" w:lineRule="auto"/>
        <w:ind w:firstLine="540"/>
        <w:jc w:val="both"/>
      </w:pPr>
      <w:r>
        <w:rPr>
          <w:sz w:val="24"/>
        </w:rPr>
        <w:t xml:space="preserve">3.1.21 </w:t>
      </w:r>
      <w:r>
        <w:rPr>
          <w:sz w:val="24"/>
          <w:b w:val="on"/>
        </w:rPr>
        <w:t xml:space="preserve">системы автоматизации:</w:t>
      </w:r>
      <w:r>
        <w:rPr>
          <w:sz w:val="24"/>
        </w:rPr>
        <w:t xml:space="preserve"> Технические средства или совокупность технических и программных средств, обеспечивающих:</w:t>
      </w:r>
    </w:p>
    <w:p>
      <w:pPr>
        <w:pStyle w:val="0"/>
        <w:spacing w:before="240" w:lineRule="auto"/>
        <w:ind w:firstLine="540"/>
        <w:jc w:val="both"/>
      </w:pPr>
      <w:r>
        <w:rPr>
          <w:sz w:val="24"/>
        </w:rPr>
        <w:t xml:space="preserve">получение и представление информации о состоянии объекта автоматизации, ходе и параметрах протекающих процессов;</w:t>
      </w:r>
    </w:p>
    <w:p>
      <w:pPr>
        <w:pStyle w:val="0"/>
        <w:spacing w:before="240" w:lineRule="auto"/>
        <w:ind w:firstLine="540"/>
        <w:jc w:val="both"/>
      </w:pPr>
      <w:r>
        <w:rPr>
          <w:sz w:val="24"/>
        </w:rPr>
        <w:t xml:space="preserve">выработку и реализацию управляющих воздействий на объект автоматизации.</w:t>
      </w:r>
    </w:p>
    <w:p>
      <w:pPr>
        <w:pStyle w:val="0"/>
        <w:spacing w:before="240" w:lineRule="auto"/>
        <w:ind w:firstLine="540"/>
        <w:jc w:val="both"/>
      </w:pPr>
      <w:r>
        <w:rPr>
          <w:sz w:val="24"/>
        </w:rPr>
        <w:t xml:space="preserve">Примечание - Объекты автоматизации - сооружения, оборудование и коммуникации технологических и инженерных систем и происходящие в них процессы.</w:t>
      </w:r>
    </w:p>
    <w:p>
      <w:pPr>
        <w:pStyle w:val="0"/>
        <w:jc w:val="both"/>
      </w:pPr>
      <w:r>
        <w:rPr>
          <w:sz w:val="24"/>
        </w:rPr>
      </w:r>
    </w:p>
    <w:p>
      <w:pPr>
        <w:pStyle w:val="0"/>
        <w:ind w:firstLine="540"/>
        <w:jc w:val="both"/>
      </w:pPr>
      <w:r>
        <w:rPr>
          <w:sz w:val="24"/>
        </w:rPr>
        <w:t xml:space="preserve">3.1.22 </w:t>
      </w:r>
      <w:r>
        <w:rPr>
          <w:sz w:val="24"/>
          <w:b w:val="on"/>
        </w:rPr>
        <w:t xml:space="preserve">система электрооборудования (электроустановка):</w:t>
      </w:r>
      <w:r>
        <w:rPr>
          <w:sz w:val="24"/>
        </w:rPr>
        <w:t xml:space="preserve"> Совокупность взаимосвязанного электрического оборудования, имеющего согласованные характеристики, и предназначенного для производства, преобразования, передачи, распределения или потребления электрической энергии.</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спринклерная система пожаротушения:</w:t>
            </w:r>
            <w:r>
              <w:rPr>
                <w:sz w:val="24"/>
              </w:rPr>
              <w:t xml:space="preserve"> Система водяного пожаротушения, оборудованная нормально закрытыми спринклерными оросителями, вскрывающимися при достижении определенной температуры.</w:t>
            </w:r>
          </w:p>
          <w:p>
            <w:pPr>
              <w:pStyle w:val="0"/>
              <w:ind w:firstLine="539"/>
              <w:jc w:val="both"/>
            </w:pPr>
            <w:r>
              <w:rPr>
                <w:sz w:val="24"/>
              </w:rPr>
              <w:t xml:space="preserve">[ГОСТ 12.2.047-86, </w:t>
            </w:r>
            <w:hyperlink w:history="0" r:id="rId114"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статья 114</w:t>
              </w:r>
            </w:hyperlink>
            <w:r>
              <w:rPr>
                <w:sz w:val="24"/>
              </w:rPr>
              <w:t xml:space="preserve">]</w:t>
            </w:r>
          </w:p>
        </w:tc>
      </w:tr>
    </w:tbl>
    <w:p>
      <w:pPr>
        <w:pStyle w:val="0"/>
        <w:spacing w:before="240" w:lineRule="auto"/>
        <w:ind w:firstLine="540"/>
        <w:jc w:val="both"/>
      </w:pPr>
      <w:r>
        <w:rPr>
          <w:sz w:val="24"/>
        </w:rPr>
        <w:t xml:space="preserve">3.1.24 </w:t>
      </w:r>
      <w:r>
        <w:rPr>
          <w:sz w:val="24"/>
          <w:b w:val="on"/>
        </w:rPr>
        <w:t xml:space="preserve">срок службы сети:</w:t>
      </w:r>
      <w:r>
        <w:rPr>
          <w:sz w:val="24"/>
        </w:rPr>
        <w:t xml:space="preserve"> Период времени в календарных годах со дня ввода сети в эксплуатацию, по истечении которого следует провести экспертное обследование технического состояния всех элементов, для определения допустимости параметров и условий дальнейшей эксплуатации или необходимости демонтажа и замены элементов сети.</w:t>
      </w:r>
    </w:p>
    <w:p>
      <w:pPr>
        <w:pStyle w:val="0"/>
        <w:spacing w:before="240" w:lineRule="auto"/>
        <w:ind w:firstLine="540"/>
        <w:jc w:val="both"/>
      </w:pPr>
      <w:r>
        <w:rPr>
          <w:sz w:val="24"/>
        </w:rPr>
        <w:t xml:space="preserve">3.1.25 </w:t>
      </w:r>
      <w:r>
        <w:rPr>
          <w:sz w:val="24"/>
          <w:b w:val="on"/>
        </w:rPr>
        <w:t xml:space="preserve">теплоснабжение:</w:t>
      </w:r>
      <w:r>
        <w:rPr>
          <w:sz w:val="24"/>
        </w:rPr>
        <w:t xml:space="preserve"> Процесс генерации, транспортирования и распределения теплоты от источника теплоты к потребителям теплоты.</w:t>
      </w:r>
    </w:p>
    <w:p>
      <w:pPr>
        <w:pStyle w:val="0"/>
        <w:spacing w:before="240" w:lineRule="auto"/>
        <w:ind w:firstLine="540"/>
        <w:jc w:val="both"/>
      </w:pPr>
      <w:r>
        <w:rPr>
          <w:sz w:val="24"/>
        </w:rPr>
        <w:t xml:space="preserve">3.1.25а </w:t>
      </w:r>
      <w:r>
        <w:rPr>
          <w:sz w:val="24"/>
          <w:b w:val="on"/>
        </w:rPr>
        <w:t xml:space="preserve">техническое пространство:</w:t>
      </w:r>
      <w:r>
        <w:rPr>
          <w:sz w:val="24"/>
        </w:rPr>
        <w:t xml:space="preserve"> Часть здания высотой до 1,8 м (этажом не является), располагаемое в здании и предназначенное для прокладки сетей инженерно-технического обеспечения.</w:t>
      </w:r>
    </w:p>
    <w:p>
      <w:pPr>
        <w:pStyle w:val="0"/>
        <w:jc w:val="both"/>
      </w:pPr>
      <w:r>
        <w:rPr>
          <w:sz w:val="24"/>
        </w:rPr>
        <w:t xml:space="preserve">(п. 3.1.25а введен </w:t>
      </w:r>
      <w:hyperlink w:history="0" r:id="rId11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3.1.26 </w:t>
      </w:r>
      <w:r>
        <w:rPr>
          <w:sz w:val="24"/>
          <w:b w:val="on"/>
        </w:rPr>
        <w:t xml:space="preserve">устройство систем:</w:t>
      </w:r>
      <w:r>
        <w:rPr>
          <w:sz w:val="24"/>
        </w:rPr>
        <w:t xml:space="preserve"> Комплекс работ по созданию инженерных систем высотных зданий от этапа проектирования до этапа сдачи техническому заказчику.</w:t>
      </w:r>
    </w:p>
    <w:p>
      <w:pPr>
        <w:pStyle w:val="0"/>
        <w:spacing w:before="240" w:lineRule="auto"/>
        <w:ind w:firstLine="540"/>
        <w:jc w:val="both"/>
      </w:pPr>
      <w:r>
        <w:rPr>
          <w:sz w:val="24"/>
        </w:rPr>
        <w:t xml:space="preserve">3.1.27 </w:t>
      </w:r>
      <w:r>
        <w:rPr>
          <w:sz w:val="24"/>
          <w:b w:val="on"/>
        </w:rPr>
        <w:t xml:space="preserve">центральный пункт управления,</w:t>
      </w:r>
      <w:r>
        <w:rPr>
          <w:sz w:val="24"/>
        </w:rPr>
        <w:t xml:space="preserve"> ЦПУ: Функциональная единица объекта, в состав которой входит группа служебных помещений, включая аппаратную(ые) контроля и управления, вспомогательные и подсобные помещения, предназначенная для обеспечения дистанционного контроля и управления инженерными системами объекта.</w:t>
      </w:r>
    </w:p>
    <w:p>
      <w:pPr>
        <w:pStyle w:val="0"/>
        <w:spacing w:before="240" w:lineRule="auto"/>
        <w:ind w:firstLine="540"/>
        <w:jc w:val="both"/>
      </w:pPr>
      <w:r>
        <w:rPr>
          <w:sz w:val="24"/>
        </w:rPr>
        <w:t xml:space="preserve">Примечание - В зависимости от функционального назначения различают ЦПУ систем жизнеобеспечения (ЦПУ СЖ), ЦПУ системы обеспечения безопасности (ЦПУ СБ), ЦПУ системами противопожарной защиты (ЦПУ СПЗ).</w:t>
      </w:r>
    </w:p>
    <w:p>
      <w:pPr>
        <w:pStyle w:val="0"/>
        <w:jc w:val="both"/>
      </w:pPr>
      <w:r>
        <w:rPr>
          <w:sz w:val="24"/>
        </w:rPr>
      </w:r>
    </w:p>
    <w:p>
      <w:pPr>
        <w:pStyle w:val="0"/>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электропроводка:</w:t>
            </w:r>
            <w:r>
              <w:rPr>
                <w:sz w:val="24"/>
              </w:rPr>
              <w:t xml:space="preserve"> Совокупность одного или более изолированных проводов, кабелей или шин и частей для их прокладки, крепления и, при необходимости, механической защиты.</w:t>
            </w:r>
          </w:p>
          <w:p>
            <w:pPr>
              <w:pStyle w:val="0"/>
              <w:ind w:firstLine="539"/>
              <w:jc w:val="both"/>
            </w:pPr>
            <w:r>
              <w:rPr>
                <w:sz w:val="24"/>
              </w:rPr>
              <w:t xml:space="preserve">[ГОСТ Р МЭК 60050-826-2009, </w:t>
            </w:r>
            <w:hyperlink w:history="0" r:id="rId116"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статья 826-15-01</w:t>
              </w:r>
            </w:hyperlink>
            <w:r>
              <w:rPr>
                <w:sz w:val="24"/>
              </w:rPr>
              <w:t xml:space="preserve">]</w:t>
            </w:r>
          </w:p>
        </w:tc>
      </w:tr>
    </w:tbl>
    <w:p>
      <w:pPr>
        <w:pStyle w:val="0"/>
        <w:spacing w:before="240" w:lineRule="auto"/>
        <w:ind w:firstLine="540"/>
        <w:jc w:val="both"/>
      </w:pPr>
      <w:r>
        <w:rPr>
          <w:sz w:val="24"/>
        </w:rPr>
        <w:t xml:space="preserve">3.2 В своде правил применены следующие обозначения и сокращения:</w:t>
      </w:r>
    </w:p>
    <w:p>
      <w:pPr>
        <w:pStyle w:val="0"/>
        <w:spacing w:before="240" w:lineRule="auto"/>
        <w:ind w:firstLine="540"/>
        <w:jc w:val="both"/>
      </w:pPr>
      <w:r>
        <w:rPr>
          <w:sz w:val="24"/>
        </w:rPr>
        <w:t xml:space="preserve">АБХМ - абсорбционная холодильная машина;</w:t>
      </w:r>
    </w:p>
    <w:p>
      <w:pPr>
        <w:pStyle w:val="0"/>
        <w:spacing w:before="240" w:lineRule="auto"/>
        <w:ind w:firstLine="540"/>
        <w:jc w:val="both"/>
      </w:pPr>
      <w:r>
        <w:rPr>
          <w:sz w:val="24"/>
        </w:rPr>
        <w:t xml:space="preserve">АВР - автоматическое включение резерва;</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исключено с 21.02.2022. - </w:t>
      </w:r>
      <w:hyperlink w:history="0" r:id="rId11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АСКУЭ - автоматизированная система коммерческого учета энергоресурсов;</w:t>
      </w:r>
    </w:p>
    <w:p>
      <w:pPr>
        <w:pStyle w:val="0"/>
        <w:spacing w:before="240" w:lineRule="auto"/>
        <w:ind w:firstLine="540"/>
        <w:jc w:val="both"/>
      </w:pPr>
      <w:r>
        <w:rPr>
          <w:sz w:val="24"/>
        </w:rPr>
        <w:t xml:space="preserve">АСУ АПЗ - автоматизированная система управления активной противопожарной защитой;</w:t>
      </w:r>
    </w:p>
    <w:p>
      <w:pPr>
        <w:pStyle w:val="0"/>
        <w:spacing w:before="240" w:lineRule="auto"/>
        <w:ind w:firstLine="540"/>
        <w:jc w:val="both"/>
      </w:pPr>
      <w:r>
        <w:rPr>
          <w:sz w:val="24"/>
        </w:rPr>
        <w:t xml:space="preserve">АСУД - автоматизированная система управления и диспетчеризации инженерного оборудования здания;</w:t>
      </w:r>
    </w:p>
    <w:p>
      <w:pPr>
        <w:pStyle w:val="0"/>
        <w:spacing w:before="240" w:lineRule="auto"/>
        <w:ind w:firstLine="540"/>
        <w:jc w:val="both"/>
      </w:pPr>
      <w:r>
        <w:rPr>
          <w:sz w:val="24"/>
        </w:rPr>
        <w:t xml:space="preserve">АУПТ - автоматические установки пожаротушения;</w:t>
      </w:r>
    </w:p>
    <w:p>
      <w:pPr>
        <w:pStyle w:val="0"/>
        <w:spacing w:before="240" w:lineRule="auto"/>
        <w:ind w:firstLine="540"/>
        <w:jc w:val="both"/>
      </w:pPr>
      <w:r>
        <w:rPr>
          <w:sz w:val="24"/>
        </w:rPr>
        <w:t xml:space="preserve">ВВОУ - вторичный волоконно-оптический узел;</w:t>
      </w:r>
    </w:p>
    <w:p>
      <w:pPr>
        <w:pStyle w:val="0"/>
        <w:spacing w:before="240" w:lineRule="auto"/>
        <w:ind w:firstLine="540"/>
        <w:jc w:val="both"/>
      </w:pPr>
      <w:r>
        <w:rPr>
          <w:sz w:val="24"/>
        </w:rPr>
        <w:t xml:space="preserve">ВОС - волоконно-оптическая сеть;</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ДАК - допустимая аварийная концентрация;</w:t>
      </w:r>
    </w:p>
    <w:p>
      <w:pPr>
        <w:pStyle w:val="0"/>
        <w:spacing w:before="240" w:lineRule="auto"/>
        <w:ind w:firstLine="540"/>
        <w:jc w:val="both"/>
      </w:pPr>
      <w:r>
        <w:rPr>
          <w:sz w:val="24"/>
        </w:rPr>
        <w:t xml:space="preserve">ДГУ - дизель-генераторные установки;</w:t>
      </w:r>
    </w:p>
    <w:p>
      <w:pPr>
        <w:pStyle w:val="0"/>
        <w:spacing w:before="240" w:lineRule="auto"/>
        <w:ind w:firstLine="540"/>
        <w:jc w:val="both"/>
      </w:pPr>
      <w:r>
        <w:rPr>
          <w:sz w:val="24"/>
        </w:rPr>
        <w:t xml:space="preserve">ДЭС - дизельная электростанция;</w:t>
      </w:r>
    </w:p>
    <w:p>
      <w:pPr>
        <w:pStyle w:val="0"/>
        <w:spacing w:before="240" w:lineRule="auto"/>
        <w:ind w:firstLine="540"/>
        <w:jc w:val="both"/>
      </w:pPr>
      <w:r>
        <w:rPr>
          <w:sz w:val="24"/>
        </w:rPr>
        <w:t xml:space="preserve">ЕСОДУ - единая система оперативно-диспетчерского управления;</w:t>
      </w:r>
    </w:p>
    <w:p>
      <w:pPr>
        <w:pStyle w:val="0"/>
        <w:spacing w:before="240" w:lineRule="auto"/>
        <w:ind w:firstLine="540"/>
        <w:jc w:val="both"/>
      </w:pPr>
      <w:r>
        <w:rPr>
          <w:sz w:val="24"/>
        </w:rPr>
        <w:t xml:space="preserve">ИБП - источник бесперебойного питания;</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КПУ - квартирные переговорные устройства;</w:t>
      </w:r>
    </w:p>
    <w:p>
      <w:pPr>
        <w:pStyle w:val="0"/>
        <w:spacing w:before="240" w:lineRule="auto"/>
        <w:ind w:firstLine="540"/>
        <w:jc w:val="both"/>
      </w:pPr>
      <w:r>
        <w:rPr>
          <w:sz w:val="24"/>
        </w:rPr>
        <w:t xml:space="preserve">ЛВС - локальная вычислительная сеть;</w:t>
      </w:r>
    </w:p>
    <w:p>
      <w:pPr>
        <w:pStyle w:val="0"/>
        <w:spacing w:before="240" w:lineRule="auto"/>
        <w:ind w:firstLine="540"/>
        <w:jc w:val="both"/>
      </w:pPr>
      <w:r>
        <w:rPr>
          <w:sz w:val="24"/>
        </w:rPr>
        <w:t xml:space="preserve">ОДС - объединенная диспетчерская служба;</w:t>
      </w:r>
    </w:p>
    <w:p>
      <w:pPr>
        <w:pStyle w:val="0"/>
        <w:spacing w:before="240" w:lineRule="auto"/>
        <w:ind w:firstLine="540"/>
        <w:jc w:val="both"/>
      </w:pPr>
      <w:r>
        <w:rPr>
          <w:sz w:val="24"/>
        </w:rPr>
        <w:t xml:space="preserve">ОСО - объектовая система оповещения;</w:t>
      </w:r>
    </w:p>
    <w:p>
      <w:pPr>
        <w:pStyle w:val="0"/>
        <w:spacing w:before="240" w:lineRule="auto"/>
        <w:ind w:firstLine="540"/>
        <w:jc w:val="both"/>
      </w:pPr>
      <w:r>
        <w:rPr>
          <w:sz w:val="24"/>
        </w:rPr>
        <w:t xml:space="preserve">ПУЭ - Правила устройства электроустановок;</w:t>
      </w:r>
    </w:p>
    <w:p>
      <w:pPr>
        <w:pStyle w:val="0"/>
        <w:spacing w:before="240" w:lineRule="auto"/>
        <w:ind w:firstLine="540"/>
        <w:jc w:val="both"/>
      </w:pPr>
      <w:r>
        <w:rPr>
          <w:sz w:val="24"/>
        </w:rPr>
        <w:t xml:space="preserve">исключено с 21.02.2022. - </w:t>
      </w:r>
      <w:hyperlink w:history="0" r:id="rId11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исключено с 21.02.2022. - </w:t>
      </w:r>
      <w:hyperlink w:history="0" r:id="rId1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РТП - распределительная трансформаторная подстанция;</w:t>
      </w:r>
    </w:p>
    <w:p>
      <w:pPr>
        <w:pStyle w:val="0"/>
        <w:spacing w:before="240" w:lineRule="auto"/>
        <w:ind w:firstLine="540"/>
        <w:jc w:val="both"/>
      </w:pPr>
      <w:r>
        <w:rPr>
          <w:sz w:val="24"/>
        </w:rPr>
        <w:t xml:space="preserve">СБ - система безопасности;</w:t>
      </w:r>
    </w:p>
    <w:p>
      <w:pPr>
        <w:pStyle w:val="0"/>
        <w:jc w:val="both"/>
      </w:pPr>
      <w:r>
        <w:rPr>
          <w:sz w:val="24"/>
        </w:rPr>
        <w:t xml:space="preserve">(введено </w:t>
      </w:r>
      <w:hyperlink w:history="0" r:id="rId12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СКС - структурированная кабельная система;</w:t>
      </w:r>
    </w:p>
    <w:p>
      <w:pPr>
        <w:pStyle w:val="0"/>
        <w:spacing w:before="240" w:lineRule="auto"/>
        <w:ind w:firstLine="540"/>
        <w:jc w:val="both"/>
      </w:pPr>
      <w:r>
        <w:rPr>
          <w:sz w:val="24"/>
        </w:rPr>
        <w:t xml:space="preserve">СКУД - система контроля и управления доступом;</w:t>
      </w:r>
    </w:p>
    <w:p>
      <w:pPr>
        <w:pStyle w:val="0"/>
        <w:spacing w:before="240" w:lineRule="auto"/>
        <w:ind w:firstLine="540"/>
        <w:jc w:val="both"/>
      </w:pPr>
      <w:r>
        <w:rPr>
          <w:sz w:val="24"/>
        </w:rPr>
        <w:t xml:space="preserve">СКТВ - система кабельного телевидения;</w:t>
      </w:r>
    </w:p>
    <w:p>
      <w:pPr>
        <w:pStyle w:val="0"/>
        <w:spacing w:before="240" w:lineRule="auto"/>
        <w:ind w:firstLine="540"/>
        <w:jc w:val="both"/>
      </w:pPr>
      <w:r>
        <w:rPr>
          <w:sz w:val="24"/>
        </w:rPr>
        <w:t xml:space="preserve">СМИК - система мониторинга инженерных конструкций;</w:t>
      </w:r>
    </w:p>
    <w:p>
      <w:pPr>
        <w:pStyle w:val="0"/>
        <w:spacing w:before="240" w:lineRule="auto"/>
        <w:ind w:firstLine="540"/>
        <w:jc w:val="both"/>
      </w:pPr>
      <w:r>
        <w:rPr>
          <w:sz w:val="24"/>
        </w:rPr>
        <w:t xml:space="preserve">СМИС - система мониторинга инженерных систем;</w:t>
      </w:r>
    </w:p>
    <w:p>
      <w:pPr>
        <w:pStyle w:val="0"/>
        <w:spacing w:before="240" w:lineRule="auto"/>
        <w:ind w:firstLine="540"/>
        <w:jc w:val="both"/>
      </w:pPr>
      <w:r>
        <w:rPr>
          <w:sz w:val="24"/>
        </w:rPr>
        <w:t xml:space="preserve">СОВ - система охраны входов;</w:t>
      </w:r>
    </w:p>
    <w:p>
      <w:pPr>
        <w:pStyle w:val="0"/>
        <w:spacing w:before="240" w:lineRule="auto"/>
        <w:ind w:firstLine="540"/>
        <w:jc w:val="both"/>
      </w:pPr>
      <w:r>
        <w:rPr>
          <w:sz w:val="24"/>
        </w:rPr>
        <w:t xml:space="preserve">СОС - система охранной сигнализации;</w:t>
      </w:r>
    </w:p>
    <w:p>
      <w:pPr>
        <w:pStyle w:val="0"/>
        <w:spacing w:before="240" w:lineRule="auto"/>
        <w:ind w:firstLine="540"/>
        <w:jc w:val="both"/>
      </w:pPr>
      <w:r>
        <w:rPr>
          <w:sz w:val="24"/>
        </w:rPr>
        <w:t xml:space="preserve">СОТ - система охранного телевидения;</w:t>
      </w:r>
    </w:p>
    <w:p>
      <w:pPr>
        <w:pStyle w:val="0"/>
        <w:spacing w:before="240" w:lineRule="auto"/>
        <w:ind w:firstLine="540"/>
        <w:jc w:val="both"/>
      </w:pPr>
      <w:r>
        <w:rPr>
          <w:sz w:val="24"/>
        </w:rPr>
        <w:t xml:space="preserve">СОРС - системы оперативной радиосвязи;</w:t>
      </w:r>
    </w:p>
    <w:p>
      <w:pPr>
        <w:pStyle w:val="0"/>
        <w:spacing w:before="240" w:lineRule="auto"/>
        <w:ind w:firstLine="540"/>
        <w:jc w:val="both"/>
      </w:pPr>
      <w:r>
        <w:rPr>
          <w:sz w:val="24"/>
        </w:rPr>
        <w:t xml:space="preserve">СОУЭ - система оповещения и управления эвакуацией;</w:t>
      </w:r>
    </w:p>
    <w:p>
      <w:pPr>
        <w:pStyle w:val="0"/>
        <w:spacing w:before="240" w:lineRule="auto"/>
        <w:ind w:firstLine="540"/>
        <w:jc w:val="both"/>
      </w:pPr>
      <w:r>
        <w:rPr>
          <w:sz w:val="24"/>
        </w:rPr>
        <w:t xml:space="preserve">СПА - система пожарной автоматики;</w:t>
      </w:r>
    </w:p>
    <w:p>
      <w:pPr>
        <w:pStyle w:val="0"/>
        <w:jc w:val="both"/>
      </w:pPr>
      <w:r>
        <w:rPr>
          <w:sz w:val="24"/>
        </w:rPr>
        <w:t xml:space="preserve">(введено </w:t>
      </w:r>
      <w:hyperlink w:history="0" r:id="rId12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СПЗ - система противопожарной защиты;</w:t>
      </w:r>
    </w:p>
    <w:p>
      <w:pPr>
        <w:pStyle w:val="0"/>
        <w:spacing w:before="240" w:lineRule="auto"/>
        <w:ind w:firstLine="540"/>
        <w:jc w:val="both"/>
      </w:pPr>
      <w:r>
        <w:rPr>
          <w:sz w:val="24"/>
        </w:rPr>
        <w:t xml:space="preserve">СПС - система пожарной сигнализации;</w:t>
      </w:r>
    </w:p>
    <w:p>
      <w:pPr>
        <w:pStyle w:val="0"/>
        <w:jc w:val="both"/>
      </w:pPr>
      <w:r>
        <w:rPr>
          <w:sz w:val="24"/>
        </w:rPr>
        <w:t xml:space="preserve">(введено </w:t>
      </w:r>
      <w:hyperlink w:history="0" r:id="rId12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СТК - система телекоммуникаций;</w:t>
      </w:r>
    </w:p>
    <w:p>
      <w:pPr>
        <w:pStyle w:val="0"/>
        <w:spacing w:before="240" w:lineRule="auto"/>
        <w:ind w:firstLine="540"/>
        <w:jc w:val="both"/>
      </w:pPr>
      <w:r>
        <w:rPr>
          <w:sz w:val="24"/>
        </w:rPr>
        <w:t xml:space="preserve">СТУ - специальные технические условия;</w:t>
      </w:r>
    </w:p>
    <w:p>
      <w:pPr>
        <w:pStyle w:val="0"/>
        <w:spacing w:before="240" w:lineRule="auto"/>
        <w:ind w:firstLine="540"/>
        <w:jc w:val="both"/>
      </w:pPr>
      <w:r>
        <w:rPr>
          <w:sz w:val="24"/>
        </w:rPr>
        <w:t xml:space="preserve">ТВС - тревожно-вызывная сигнализация;</w:t>
      </w:r>
    </w:p>
    <w:p>
      <w:pPr>
        <w:pStyle w:val="0"/>
        <w:spacing w:before="240" w:lineRule="auto"/>
        <w:ind w:firstLine="540"/>
        <w:jc w:val="both"/>
      </w:pPr>
      <w:r>
        <w:rPr>
          <w:sz w:val="24"/>
        </w:rPr>
        <w:t xml:space="preserve">ТЗ - техническое задание;</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 - тепловые сети;</w:t>
      </w:r>
    </w:p>
    <w:p>
      <w:pPr>
        <w:pStyle w:val="0"/>
        <w:spacing w:before="240" w:lineRule="auto"/>
        <w:ind w:firstLine="540"/>
        <w:jc w:val="both"/>
      </w:pPr>
      <w:r>
        <w:rPr>
          <w:sz w:val="24"/>
        </w:rPr>
        <w:t xml:space="preserve">ТУ - технические условия;</w:t>
      </w:r>
    </w:p>
    <w:p>
      <w:pPr>
        <w:pStyle w:val="0"/>
        <w:spacing w:before="240" w:lineRule="auto"/>
        <w:ind w:firstLine="540"/>
        <w:jc w:val="both"/>
      </w:pPr>
      <w:r>
        <w:rPr>
          <w:sz w:val="24"/>
        </w:rPr>
        <w:t xml:space="preserve">УЗО - устройство защитного отключения;</w:t>
      </w:r>
    </w:p>
    <w:p>
      <w:pPr>
        <w:pStyle w:val="0"/>
        <w:spacing w:before="240" w:lineRule="auto"/>
        <w:ind w:firstLine="540"/>
        <w:jc w:val="both"/>
      </w:pPr>
      <w:r>
        <w:rPr>
          <w:sz w:val="24"/>
        </w:rPr>
        <w:t xml:space="preserve">УПАТС - учрежденческо-производственная автоматическая телефонная станция;</w:t>
      </w:r>
    </w:p>
    <w:p>
      <w:pPr>
        <w:pStyle w:val="0"/>
        <w:spacing w:before="240" w:lineRule="auto"/>
        <w:ind w:firstLine="540"/>
        <w:jc w:val="both"/>
      </w:pPr>
      <w:r>
        <w:rPr>
          <w:sz w:val="24"/>
        </w:rPr>
        <w:t xml:space="preserve">УКВ ЧМ - ультракороткие волны с частотной модуляцией;</w:t>
      </w:r>
    </w:p>
    <w:p>
      <w:pPr>
        <w:pStyle w:val="0"/>
        <w:spacing w:before="240" w:lineRule="auto"/>
        <w:ind w:firstLine="540"/>
        <w:jc w:val="both"/>
      </w:pPr>
      <w:r>
        <w:rPr>
          <w:sz w:val="24"/>
        </w:rPr>
        <w:t xml:space="preserve">УПУ - устройства преграждающие управляемые;</w:t>
      </w:r>
    </w:p>
    <w:p>
      <w:pPr>
        <w:pStyle w:val="0"/>
        <w:spacing w:before="240" w:lineRule="auto"/>
        <w:ind w:firstLine="540"/>
        <w:jc w:val="both"/>
      </w:pPr>
      <w:r>
        <w:rPr>
          <w:sz w:val="24"/>
        </w:rPr>
        <w:t xml:space="preserve">ХС - холодоснабжение;</w:t>
      </w:r>
    </w:p>
    <w:p>
      <w:pPr>
        <w:pStyle w:val="0"/>
        <w:spacing w:before="240" w:lineRule="auto"/>
        <w:ind w:firstLine="540"/>
        <w:jc w:val="both"/>
      </w:pPr>
      <w:r>
        <w:rPr>
          <w:sz w:val="24"/>
        </w:rPr>
        <w:t xml:space="preserve">исключено с 21.02.2022. - </w:t>
      </w:r>
      <w:hyperlink w:history="0" r:id="rId12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ЦПУ - центральный пункт управления;</w:t>
      </w:r>
    </w:p>
    <w:p>
      <w:pPr>
        <w:pStyle w:val="0"/>
        <w:spacing w:before="240" w:lineRule="auto"/>
        <w:ind w:firstLine="540"/>
        <w:jc w:val="both"/>
      </w:pPr>
      <w:r>
        <w:rPr>
          <w:sz w:val="24"/>
        </w:rPr>
        <w:t xml:space="preserve">ЦПУ СБ - центральный пункт управления системами безопасности здания;</w:t>
      </w:r>
    </w:p>
    <w:p>
      <w:pPr>
        <w:pStyle w:val="0"/>
        <w:spacing w:before="240" w:lineRule="auto"/>
        <w:ind w:firstLine="540"/>
        <w:jc w:val="both"/>
      </w:pPr>
      <w:r>
        <w:rPr>
          <w:sz w:val="24"/>
        </w:rPr>
        <w:t xml:space="preserve">ЦПУ СПЗ - центральный пункт управления системами противопожарной защиты (пожарный пост);</w:t>
      </w:r>
    </w:p>
    <w:p>
      <w:pPr>
        <w:pStyle w:val="0"/>
        <w:spacing w:before="240" w:lineRule="auto"/>
        <w:ind w:firstLine="540"/>
        <w:jc w:val="both"/>
      </w:pPr>
      <w:r>
        <w:rPr>
          <w:sz w:val="24"/>
        </w:rPr>
        <w:t xml:space="preserve">ЦПУ ИС - центральный пункт управления инженерными системами здания (центральная диспетчерская);</w:t>
      </w:r>
    </w:p>
    <w:p>
      <w:pPr>
        <w:pStyle w:val="0"/>
        <w:spacing w:before="240" w:lineRule="auto"/>
        <w:ind w:firstLine="540"/>
        <w:jc w:val="both"/>
      </w:pPr>
      <w:r>
        <w:rPr>
          <w:sz w:val="24"/>
        </w:rPr>
        <w:t xml:space="preserve">ЦТП - центральный тепловой пункт;</w:t>
      </w:r>
    </w:p>
    <w:p>
      <w:pPr>
        <w:pStyle w:val="0"/>
        <w:spacing w:before="240" w:lineRule="auto"/>
        <w:ind w:firstLine="540"/>
        <w:jc w:val="both"/>
      </w:pPr>
      <w:r>
        <w:rPr>
          <w:sz w:val="24"/>
        </w:rPr>
        <w:t xml:space="preserve">ЦУЗ - центр управления здания;</w:t>
      </w:r>
    </w:p>
    <w:p>
      <w:pPr>
        <w:pStyle w:val="0"/>
        <w:spacing w:before="240" w:lineRule="auto"/>
        <w:ind w:firstLine="540"/>
        <w:jc w:val="both"/>
      </w:pPr>
      <w:r>
        <w:rPr>
          <w:sz w:val="24"/>
        </w:rPr>
        <w:t xml:space="preserve">ЧС - чрезвычайная ситуация;</w:t>
      </w:r>
    </w:p>
    <w:p>
      <w:pPr>
        <w:pStyle w:val="0"/>
        <w:spacing w:before="240" w:lineRule="auto"/>
        <w:ind w:firstLine="540"/>
        <w:jc w:val="both"/>
      </w:pPr>
      <w:r>
        <w:rPr>
          <w:sz w:val="24"/>
        </w:rPr>
        <w:t xml:space="preserve">ШГРП - шкафной газорегуляторный пункт;</w:t>
      </w:r>
    </w:p>
    <w:p>
      <w:pPr>
        <w:pStyle w:val="0"/>
        <w:spacing w:before="240" w:lineRule="auto"/>
        <w:ind w:firstLine="540"/>
        <w:jc w:val="both"/>
      </w:pPr>
      <w:r>
        <w:rPr>
          <w:sz w:val="24"/>
        </w:rPr>
        <w:t xml:space="preserve">ЭЦ - энергетический центр.</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инженерно-технического обеспечения высотных зданий для обеспечения комплексной безопасности зданий согласно </w:t>
      </w:r>
      <w:hyperlink w:history="0" w:anchor="P308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3089" w:tooltip="[4] Федеральный закон от 30 марта 1999 г. N 52-ФЗ &quot;О санитарно-эпидемиологическом благополучии населения&quot;">
        <w:r>
          <w:rPr>
            <w:sz w:val="24"/>
            <w:color w:val="0000ff"/>
          </w:rPr>
          <w:t xml:space="preserve">[4]</w:t>
        </w:r>
      </w:hyperlink>
      <w:r>
        <w:rPr>
          <w:sz w:val="24"/>
        </w:rPr>
        <w:t xml:space="preserve">, повышения энергетической их энергоэффективности и сокращения расхода невозобновляемых природных ресурсов при строительстве и эксплуатации.</w:t>
      </w:r>
    </w:p>
    <w:p>
      <w:pPr>
        <w:pStyle w:val="0"/>
        <w:jc w:val="both"/>
      </w:pPr>
      <w:r>
        <w:rPr>
          <w:sz w:val="24"/>
        </w:rPr>
        <w:t xml:space="preserve">(п. 4.1 в ред. </w:t>
      </w:r>
      <w:hyperlink w:history="0" r:id="rId12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4.2 Достижение заданных параметров микроклимата в жилых, общественных, административных и производственных помещениях и зданиях для расчетных режимов холодного и теплого периодов года должно подтверждаться расчетами или методами математического моделирования.</w:t>
      </w:r>
    </w:p>
    <w:p>
      <w:pPr>
        <w:pStyle w:val="0"/>
        <w:jc w:val="both"/>
      </w:pPr>
      <w:r>
        <w:rPr>
          <w:sz w:val="24"/>
        </w:rPr>
        <w:t xml:space="preserve">(п. 4.2 введен </w:t>
      </w:r>
      <w:hyperlink w:history="0" r:id="rId12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4.3 Положения и схемные решения настоящего свода правил могут использоваться также при проектировании систем инженерно-технического обеспечения зданий высотой менее 75 м.</w:t>
      </w:r>
    </w:p>
    <w:p>
      <w:pPr>
        <w:pStyle w:val="0"/>
        <w:jc w:val="both"/>
      </w:pPr>
      <w:r>
        <w:rPr>
          <w:sz w:val="24"/>
        </w:rPr>
        <w:t xml:space="preserve">(п. 4.3 введен </w:t>
      </w:r>
      <w:hyperlink w:history="0" r:id="rId12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5 Системы теплоснабжения</w:t>
      </w:r>
    </w:p>
    <w:p>
      <w:pPr>
        <w:pStyle w:val="0"/>
        <w:jc w:val="both"/>
      </w:pPr>
      <w:r>
        <w:rPr>
          <w:sz w:val="24"/>
        </w:rPr>
      </w:r>
    </w:p>
    <w:bookmarkStart w:id="279" w:name="P279"/>
    <w:bookmarkEnd w:id="279"/>
    <w:p>
      <w:pPr>
        <w:pStyle w:val="0"/>
        <w:ind w:firstLine="540"/>
        <w:jc w:val="both"/>
      </w:pPr>
      <w:r>
        <w:rPr>
          <w:sz w:val="24"/>
        </w:rPr>
        <w:t xml:space="preserve">5.1 При теплоснабжении высотного здания от централизованного источника теплоты для систем внутреннего теплоснабжения (отопления, вентиляции, кондиционирования и горячего водоснабжения) должна быть обеспечена бесперебойная подача теплоты при авариях (отказах) в наружных тепловых сетях или источниках централизованной системы теплоснабжения по одному из следующих способов:</w:t>
      </w:r>
    </w:p>
    <w:p>
      <w:pPr>
        <w:pStyle w:val="0"/>
        <w:spacing w:before="240" w:lineRule="auto"/>
        <w:ind w:firstLine="540"/>
        <w:jc w:val="both"/>
      </w:pPr>
      <w:r>
        <w:rPr>
          <w:sz w:val="24"/>
        </w:rPr>
        <w:t xml:space="preserve">- устройство резервного источника теплоты;</w:t>
      </w:r>
    </w:p>
    <w:p>
      <w:pPr>
        <w:pStyle w:val="0"/>
        <w:spacing w:before="240" w:lineRule="auto"/>
        <w:ind w:firstLine="540"/>
        <w:jc w:val="both"/>
      </w:pPr>
      <w:r>
        <w:rPr>
          <w:sz w:val="24"/>
        </w:rPr>
        <w:t xml:space="preserve">- организация двух (основного и резервного) независимых вводов от разных магистралей тепловых сетей общего пользования;</w:t>
      </w:r>
    </w:p>
    <w:p>
      <w:pPr>
        <w:pStyle w:val="0"/>
        <w:spacing w:before="240" w:lineRule="auto"/>
        <w:ind w:firstLine="540"/>
        <w:jc w:val="both"/>
      </w:pPr>
      <w:r>
        <w:rPr>
          <w:sz w:val="24"/>
        </w:rPr>
        <w:t xml:space="preserve">- организация одного рабочего ввода от кольцующих перемычек на тепловых сетях.</w:t>
      </w:r>
    </w:p>
    <w:p>
      <w:pPr>
        <w:pStyle w:val="0"/>
        <w:jc w:val="both"/>
      </w:pPr>
      <w:r>
        <w:rPr>
          <w:sz w:val="24"/>
        </w:rPr>
        <w:t xml:space="preserve">(в ред. </w:t>
      </w:r>
      <w:hyperlink w:history="0" r:id="rId12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Способ резервирования подачи теплоты и пропускную способность резервного ввода следует проектировать согласно </w:t>
      </w:r>
      <w:hyperlink w:history="0" r:id="rId128"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СП 124.13330</w:t>
        </w:r>
      </w:hyperlink>
      <w:r>
        <w:rPr>
          <w:sz w:val="24"/>
        </w:rPr>
        <w:t xml:space="preserve">.</w:t>
      </w:r>
    </w:p>
    <w:p>
      <w:pPr>
        <w:pStyle w:val="0"/>
        <w:spacing w:before="240" w:lineRule="auto"/>
        <w:ind w:firstLine="540"/>
        <w:jc w:val="both"/>
      </w:pPr>
      <w:r>
        <w:rPr>
          <w:sz w:val="24"/>
        </w:rPr>
        <w:t xml:space="preserve">Если по техническим условиям теплоснабжающей организации эти требования не могут быть обеспечены или инвестиционные затраты экономически не оправданы, по заданию на проектирование теплоснабжение может быть осуществлено от собственного автономного источника теплоснабжения на газовом топливе в пристроенном или крышном варианте, а также в комбинации с другими источниками энергии, соответствующими требованиям </w:t>
      </w:r>
      <w:hyperlink w:history="0" w:anchor="P308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w:t>
      </w:r>
      <w:hyperlink w:history="0" w:anchor="P3089" w:tooltip="[4] Федеральный закон от 30 марта 1999 г. N 52-ФЗ &quot;О санитарно-эпидемиологическом благополучии населения&quot;">
        <w:r>
          <w:rPr>
            <w:sz w:val="24"/>
            <w:color w:val="0000ff"/>
          </w:rPr>
          <w:t xml:space="preserve">[4]</w:t>
        </w:r>
      </w:hyperlink>
      <w:r>
        <w:rPr>
          <w:sz w:val="24"/>
        </w:rPr>
        <w:t xml:space="preserve">, </w:t>
      </w:r>
      <w:hyperlink w:history="0" w:anchor="P3090" w:tooltip="[5]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[5]</w:t>
        </w:r>
      </w:hyperlink>
      <w:r>
        <w:rPr>
          <w:sz w:val="24"/>
        </w:rPr>
        <w:t xml:space="preserve"> в части воздействия на окружающую среду, энергоэффективности и безопасности </w:t>
      </w:r>
      <w:hyperlink w:history="0" w:anchor="P308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308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w:t>
      </w:r>
    </w:p>
    <w:p>
      <w:pPr>
        <w:pStyle w:val="0"/>
        <w:jc w:val="both"/>
      </w:pPr>
      <w:r>
        <w:rPr>
          <w:sz w:val="24"/>
        </w:rPr>
        <w:t xml:space="preserve">(в ред. </w:t>
      </w:r>
      <w:hyperlink w:history="0" r:id="rId12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3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Проектированию АИТ должно предшествовать технико-экономическое обоснование.</w:t>
      </w:r>
    </w:p>
    <w:p>
      <w:pPr>
        <w:pStyle w:val="0"/>
        <w:spacing w:before="240" w:lineRule="auto"/>
        <w:ind w:firstLine="540"/>
        <w:jc w:val="both"/>
      </w:pPr>
      <w:r>
        <w:rPr>
          <w:sz w:val="24"/>
        </w:rPr>
        <w:t xml:space="preserve">Возможные схемы теплоснабжения высотного здания приведены на рисунках </w:t>
      </w:r>
      <w:hyperlink w:history="0" w:anchor="P279" w:tooltip="5.1 При теплоснабжении высотного здания от централизованного источника теплоты для систем внутреннего теплоснабжения (отопления, вентиляции, кондиционирования и горячего водоснабжения) должна быть обеспечена бесперебойная подача теплоты при авариях (отказах) в наружных тепловых сетях или источниках централизованной системы теплоснабжения по одному из следующих способов:">
        <w:r>
          <w:rPr>
            <w:sz w:val="24"/>
            <w:color w:val="0000ff"/>
          </w:rPr>
          <w:t xml:space="preserve">5.1</w:t>
        </w:r>
      </w:hyperlink>
      <w:r>
        <w:rPr>
          <w:sz w:val="24"/>
        </w:rPr>
        <w:t xml:space="preserve">, </w:t>
      </w:r>
      <w:hyperlink w:history="0" w:anchor="P302"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w:t>
      </w:r>
    </w:p>
    <w:p>
      <w:pPr>
        <w:pStyle w:val="0"/>
        <w:jc w:val="both"/>
      </w:pPr>
      <w:r>
        <w:rPr>
          <w:sz w:val="24"/>
        </w:rPr>
      </w:r>
    </w:p>
    <w:p>
      <w:pPr>
        <w:pStyle w:val="0"/>
        <w:jc w:val="center"/>
      </w:pPr>
      <w:r>
        <w:rPr>
          <w:position w:val="-533"/>
        </w:rPr>
        <w:drawing>
          <wp:inline distT="0" distB="0" distL="0" distR="0">
            <wp:extent cx="5401945" cy="6922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5401945" cy="6922770"/>
                    </a:xfrm>
                    <a:prstGeom prst="rect">
                      <a:avLst/>
                    </a:prstGeom>
                    <a:noFill/>
                    <a:ln>
                      <a:noFill/>
                    </a:ln>
                  </pic:spPr>
                </pic:pic>
              </a:graphicData>
            </a:graphic>
          </wp:inline>
        </w:drawing>
      </w:r>
    </w:p>
    <w:p>
      <w:pPr>
        <w:pStyle w:val="0"/>
        <w:jc w:val="both"/>
      </w:pPr>
      <w:r>
        <w:rPr>
          <w:sz w:val="24"/>
        </w:rPr>
      </w:r>
    </w:p>
    <w:bookmarkStart w:id="292" w:name="P292"/>
    <w:bookmarkEnd w:id="292"/>
    <w:p>
      <w:pPr>
        <w:pStyle w:val="0"/>
        <w:jc w:val="center"/>
      </w:pPr>
      <w:r>
        <w:rPr>
          <w:sz w:val="24"/>
        </w:rPr>
        <w:t xml:space="preserve">Рисунок 5.1 - Схема теплоснабжения высотного здания</w:t>
      </w:r>
    </w:p>
    <w:p>
      <w:pPr>
        <w:pStyle w:val="0"/>
        <w:jc w:val="center"/>
      </w:pPr>
      <w:r>
        <w:rPr>
          <w:sz w:val="24"/>
        </w:rPr>
        <w:t xml:space="preserve">от центрального источника</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592"/>
        </w:rPr>
        <w:drawing>
          <wp:inline distT="0" distB="0" distL="0" distR="0">
            <wp:extent cx="5006975" cy="7679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5006975" cy="7679690"/>
                    </a:xfrm>
                    <a:prstGeom prst="rect">
                      <a:avLst/>
                    </a:prstGeom>
                    <a:noFill/>
                    <a:ln>
                      <a:noFill/>
                    </a:ln>
                  </pic:spPr>
                </pic:pic>
              </a:graphicData>
            </a:graphic>
          </wp:inline>
        </w:drawing>
      </w:r>
    </w:p>
    <w:p>
      <w:pPr>
        <w:pStyle w:val="0"/>
        <w:jc w:val="both"/>
      </w:pPr>
      <w:r>
        <w:rPr>
          <w:sz w:val="24"/>
        </w:rPr>
      </w:r>
    </w:p>
    <w:bookmarkStart w:id="299" w:name="P299"/>
    <w:bookmarkEnd w:id="299"/>
    <w:p>
      <w:pPr>
        <w:pStyle w:val="0"/>
        <w:jc w:val="center"/>
      </w:pPr>
      <w:r>
        <w:rPr>
          <w:sz w:val="24"/>
        </w:rPr>
        <w:t xml:space="preserve">Рисунок 5.2 - Схема теплоснабжения высотного здания</w:t>
      </w:r>
    </w:p>
    <w:p>
      <w:pPr>
        <w:pStyle w:val="0"/>
        <w:jc w:val="center"/>
      </w:pPr>
      <w:r>
        <w:rPr>
          <w:sz w:val="24"/>
        </w:rPr>
        <w:t xml:space="preserve">от автономного источника (АИТ, ЭЦ)</w:t>
      </w:r>
    </w:p>
    <w:p>
      <w:pPr>
        <w:pStyle w:val="0"/>
        <w:jc w:val="both"/>
      </w:pPr>
      <w:r>
        <w:rPr>
          <w:sz w:val="24"/>
        </w:rPr>
      </w:r>
    </w:p>
    <w:bookmarkStart w:id="302" w:name="P302"/>
    <w:bookmarkEnd w:id="302"/>
    <w:p>
      <w:pPr>
        <w:pStyle w:val="0"/>
        <w:ind w:firstLine="540"/>
        <w:jc w:val="both"/>
      </w:pPr>
      <w:r>
        <w:rPr>
          <w:sz w:val="24"/>
        </w:rPr>
        <w:t xml:space="preserve">5.2 Категория потребителей теплоты высотного здания принимается в соответствии с </w:t>
      </w:r>
      <w:hyperlink w:history="0" r:id="rId133"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СП 124.13330</w:t>
        </w:r>
      </w:hyperlink>
      <w:r>
        <w:rPr>
          <w:sz w:val="24"/>
        </w:rPr>
        <w:t xml:space="preserve">:</w:t>
      </w:r>
    </w:p>
    <w:p>
      <w:pPr>
        <w:pStyle w:val="0"/>
        <w:jc w:val="both"/>
      </w:pPr>
      <w:r>
        <w:rPr>
          <w:sz w:val="24"/>
        </w:rPr>
        <w:t xml:space="preserve">(в ред. </w:t>
      </w:r>
      <w:hyperlink w:history="0" r:id="rId13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первая группа потребителей высотного здания - системы отопления, вентиляции и кондиционирования помещений, для которых при аварийном прекращении теплоснабжения не допускаются перерывы в подаче расчетного количества теплоты и снижение температуры воздуха ниже минимально допустимых по </w:t>
      </w:r>
      <w:hyperlink w:history="0" r:id="rId13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Примечание - Перечень указанных помещений и минимально допустимые температуры воздуха в помещениях необходимо приводить в задании на проектирование;</w:t>
      </w:r>
    </w:p>
    <w:p>
      <w:pPr>
        <w:pStyle w:val="0"/>
        <w:jc w:val="both"/>
      </w:pPr>
      <w:r>
        <w:rPr>
          <w:sz w:val="24"/>
        </w:rPr>
      </w:r>
    </w:p>
    <w:p>
      <w:pPr>
        <w:pStyle w:val="0"/>
        <w:ind w:firstLine="540"/>
        <w:jc w:val="both"/>
      </w:pPr>
      <w:r>
        <w:rPr>
          <w:sz w:val="24"/>
        </w:rPr>
        <w:t xml:space="preserve">вторая группа потребителей высотного здания - здания, для которых допускается снижение температуры в отапливаемых помещениях на период ликвидации аварии (не более нормативного времени на устранение аварии согласно </w:t>
      </w:r>
      <w:hyperlink w:history="0" r:id="rId136"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СП 124.13330</w:t>
        </w:r>
      </w:hyperlink>
      <w:r>
        <w:rPr>
          <w:sz w:val="24"/>
        </w:rPr>
        <w:t xml:space="preserve">)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общественных и административно-бытовых помещениях;</w:t>
      </w:r>
    </w:p>
    <w:p>
      <w:pPr>
        <w:pStyle w:val="0"/>
        <w:spacing w:before="240" w:lineRule="auto"/>
        <w:ind w:firstLine="540"/>
        <w:jc w:val="both"/>
      </w:pPr>
      <w:r>
        <w:rPr>
          <w:sz w:val="24"/>
        </w:rPr>
        <w:t xml:space="preserve">8 °C - в производственных помещениях.</w:t>
      </w:r>
    </w:p>
    <w:p>
      <w:pPr>
        <w:pStyle w:val="0"/>
        <w:jc w:val="both"/>
      </w:pPr>
      <w:r>
        <w:rPr>
          <w:sz w:val="24"/>
        </w:rPr>
        <w:t xml:space="preserve">(п. 5.2 в ред. </w:t>
      </w:r>
      <w:hyperlink w:history="0" r:id="rId13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5.3 Внутренние системы теплоснабжения высотного здания, высотой 200 м и более, следует проектировать, обеспечивая требуемые параметры и бесперебойную подачу теплоты при авариях (отказах) оборудования систем трансформации и распределения теплоты по потребителям в течение ремонтно-восстановительного периода на тепловых сетях централизованного теплоснабжения:</w:t>
      </w:r>
    </w:p>
    <w:p>
      <w:pPr>
        <w:pStyle w:val="0"/>
        <w:jc w:val="both"/>
      </w:pPr>
      <w:r>
        <w:rPr>
          <w:sz w:val="24"/>
        </w:rPr>
        <w:t xml:space="preserve">(в ред. </w:t>
      </w:r>
      <w:hyperlink w:history="0" r:id="rId13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3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от основного ввода должна быть обеспечена подача теплоты в количестве 100% расчетного значения;</w:t>
      </w:r>
    </w:p>
    <w:p>
      <w:pPr>
        <w:pStyle w:val="0"/>
        <w:spacing w:before="240" w:lineRule="auto"/>
        <w:ind w:firstLine="540"/>
        <w:jc w:val="both"/>
      </w:pPr>
      <w:r>
        <w:rPr>
          <w:sz w:val="24"/>
        </w:rPr>
        <w:t xml:space="preserve">от резервного ввода должна быть обеспечена подача теплоты в случае аварии (отказе) на источнике теплоты или в тепловых сетях основного ввода на период проведения ремонтно-восстановительных работ.</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Подача теплоты от резервного ввода должна быть предусмотрена в количестве расчетного значения для потребителей теплоты первой и второй категорий и обеспечивать поддержание температуры воздуха в отапливаемых помещениях не ниже, указанной в </w:t>
      </w:r>
      <w:hyperlink w:history="0" w:anchor="P302"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 По заданию на проектирование допускается увеличивать подачу теплоты от резервного ввода.</w:t>
      </w:r>
    </w:p>
    <w:p>
      <w:pPr>
        <w:pStyle w:val="0"/>
        <w:spacing w:before="240" w:lineRule="auto"/>
        <w:ind w:firstLine="540"/>
        <w:jc w:val="both"/>
      </w:pPr>
      <w:r>
        <w:rPr>
          <w:sz w:val="24"/>
        </w:rPr>
        <w:t xml:space="preserve">2 К началу использования помещений высотного здания после проведения ремонтно-восстановительных работ температура воздуха в этих помещениях должна соответствовать ГОСТ 30494-2011 </w:t>
      </w:r>
      <w:hyperlink w:history="0" r:id="rId14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(пункт 4.4)</w:t>
        </w:r>
      </w:hyperlink>
      <w:r>
        <w:rPr>
          <w:sz w:val="24"/>
        </w:rPr>
        <w:t xml:space="preserve">.</w:t>
      </w:r>
    </w:p>
    <w:p>
      <w:pPr>
        <w:pStyle w:val="0"/>
        <w:spacing w:before="240" w:lineRule="auto"/>
        <w:ind w:firstLine="540"/>
        <w:jc w:val="both"/>
      </w:pPr>
      <w:r>
        <w:rPr>
          <w:sz w:val="24"/>
        </w:rPr>
        <w:t xml:space="preserve">3 Трубопроводы систем внутреннего теплоснабжения между ЦТП и зональными ИТП, а также между зональными ИТП следует выполнять из бесшовных горячедеформированных труб и резервировать либо одним трубопроводом, либо двумя по заданию на проектирование.</w:t>
      </w:r>
    </w:p>
    <w:p>
      <w:pPr>
        <w:pStyle w:val="0"/>
        <w:jc w:val="both"/>
      </w:pPr>
      <w:r>
        <w:rPr>
          <w:sz w:val="24"/>
        </w:rPr>
        <w:t xml:space="preserve">(примечания в ред. </w:t>
      </w:r>
      <w:hyperlink w:history="0" r:id="rId14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jc w:val="both"/>
      </w:pPr>
      <w:r>
        <w:rPr>
          <w:sz w:val="24"/>
        </w:rPr>
      </w:r>
    </w:p>
    <w:p>
      <w:pPr>
        <w:pStyle w:val="0"/>
        <w:ind w:firstLine="540"/>
        <w:jc w:val="both"/>
      </w:pPr>
      <w:r>
        <w:rPr>
          <w:sz w:val="24"/>
        </w:rPr>
        <w:t xml:space="preserve">По заданию на проектирование допускается увеличивать подачу теплоты от резервного ввода.</w:t>
      </w:r>
    </w:p>
    <w:p>
      <w:pPr>
        <w:pStyle w:val="0"/>
        <w:spacing w:before="240" w:lineRule="auto"/>
        <w:ind w:firstLine="540"/>
        <w:jc w:val="both"/>
      </w:pPr>
      <w:r>
        <w:rPr>
          <w:sz w:val="24"/>
        </w:rPr>
        <w:t xml:space="preserve">5.4 При отсутствии в высотном здании потребителей первой категории допускается организация теплоснабжения без устройства резервного ввода тепловых сетей. Для потребителей второй категории выполнение требований </w:t>
      </w:r>
      <w:hyperlink w:history="0" w:anchor="P302"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 должно быть подтверждено расчетом (аккумулирующая способность ограждений, бытовые тепловыделения, отключение систем вентиляции и ГВС и тому подобное), либо установкой дополнительного источника теплоты на нужды отопления.</w:t>
      </w:r>
    </w:p>
    <w:p>
      <w:pPr>
        <w:pStyle w:val="0"/>
        <w:jc w:val="both"/>
      </w:pPr>
      <w:r>
        <w:rPr>
          <w:sz w:val="24"/>
        </w:rPr>
        <w:t xml:space="preserve">(в ред. </w:t>
      </w:r>
      <w:hyperlink w:history="0" r:id="rId14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ЦТП следует оборудовать в высотном здании или высотном комплексе при наличии отдельных зональных или групповых ИТП, размещаемых на технических этажах по высоте для соблюдения требований </w:t>
      </w:r>
      <w:hyperlink w:history="0" w:anchor="P328" w:tooltip="5.6 Системы внутреннего теплоснабжения необходимо делить по высоте зданий на зоны (зонировать). Высоту зоны следует определять исходя из значения допустимого гидростатического давления в нижних элементах систем теплоснабжения каждой зоны.">
        <w:r>
          <w:rPr>
            <w:sz w:val="24"/>
            <w:color w:val="0000ff"/>
          </w:rPr>
          <w:t xml:space="preserve">5.6</w:t>
        </w:r>
      </w:hyperlink>
      <w:r>
        <w:rPr>
          <w:sz w:val="24"/>
        </w:rPr>
        <w:t xml:space="preserve"> (см. </w:t>
      </w:r>
      <w:hyperlink w:history="0" w:anchor="P292" w:tooltip="Рисунок 5.1 - Схема теплоснабжения высотного здания">
        <w:r>
          <w:rPr>
            <w:sz w:val="24"/>
            <w:color w:val="0000ff"/>
          </w:rPr>
          <w:t xml:space="preserve">рисунки 5.1</w:t>
        </w:r>
      </w:hyperlink>
      <w:r>
        <w:rPr>
          <w:sz w:val="24"/>
        </w:rPr>
        <w:t xml:space="preserve">, </w:t>
      </w:r>
      <w:hyperlink w:history="0" w:anchor="P299" w:tooltip="Рисунок 5.2 - Схема теплоснабжения высотного здания">
        <w:r>
          <w:rPr>
            <w:sz w:val="24"/>
            <w:color w:val="0000ff"/>
          </w:rPr>
          <w:t xml:space="preserve">5.2</w:t>
        </w:r>
      </w:hyperlink>
      <w:r>
        <w:rPr>
          <w:sz w:val="24"/>
        </w:rPr>
        <w:t xml:space="preserve">).</w:t>
      </w:r>
    </w:p>
    <w:p>
      <w:pPr>
        <w:pStyle w:val="0"/>
        <w:jc w:val="both"/>
      </w:pPr>
      <w:r>
        <w:rPr>
          <w:sz w:val="24"/>
        </w:rPr>
        <w:t xml:space="preserve">(п. 5.4 в ред. </w:t>
      </w:r>
      <w:hyperlink w:history="0" r:id="rId14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5.5 Допускается предусматривать резервные электроподогреватели или тепловые насосы для системы ГВС.</w:t>
      </w:r>
    </w:p>
    <w:bookmarkStart w:id="328" w:name="P328"/>
    <w:bookmarkEnd w:id="328"/>
    <w:p>
      <w:pPr>
        <w:pStyle w:val="0"/>
        <w:spacing w:before="240" w:lineRule="auto"/>
        <w:ind w:firstLine="540"/>
        <w:jc w:val="both"/>
      </w:pPr>
      <w:r>
        <w:rPr>
          <w:sz w:val="24"/>
        </w:rPr>
        <w:t xml:space="preserve">5.6 Системы внутреннего теплоснабжения необходимо делить по высоте зданий на зоны (зонировать). Высоту зоны следует определять исходя из значения допустимого гидростатического давления в нижних элементах систем теплоснабжения каждой зоны.</w:t>
      </w:r>
    </w:p>
    <w:p>
      <w:pPr>
        <w:pStyle w:val="0"/>
        <w:spacing w:before="240" w:lineRule="auto"/>
        <w:ind w:firstLine="540"/>
        <w:jc w:val="both"/>
      </w:pPr>
      <w:r>
        <w:rPr>
          <w:sz w:val="24"/>
        </w:rPr>
        <w:t xml:space="preserve">Создаваемое в любой точке внутренних систем теплоснабжения давление каждой зоны при гидродинамическом режиме (как при расчетных значениях расхода и температуры воды, так и при возможных отклонениях от них) должно обеспечивать заполнение систем водой, предотвращать вскипание воды и не превышать значения, допустимого по прочности для оборудования (теплообменников, баков, насосов и др.), арматуры и трубопроводов.</w:t>
      </w:r>
    </w:p>
    <w:p>
      <w:pPr>
        <w:pStyle w:val="0"/>
        <w:spacing w:before="240" w:lineRule="auto"/>
        <w:ind w:firstLine="540"/>
        <w:jc w:val="both"/>
      </w:pPr>
      <w:r>
        <w:rPr>
          <w:sz w:val="24"/>
        </w:rPr>
        <w:t xml:space="preserve">5.7 Теплообменники, насосы и другое оборудование АИТ, ЭЦ, ЦТП и ИТП, а также арматуру и трубопроводы следует выбирать с учетом гидростатического и рабочего давления в системе теплоснабжения, а также предельного пробного давления при гидравлическом испытании. В соответствии с </w:t>
      </w:r>
      <w:hyperlink w:history="0" r:id="rId144"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 рабочее давление в системах следует принимать на 10% ниже допустимого рабочего давления для всех элементов систем.</w:t>
      </w:r>
    </w:p>
    <w:p>
      <w:pPr>
        <w:pStyle w:val="0"/>
        <w:spacing w:before="240" w:lineRule="auto"/>
        <w:ind w:firstLine="540"/>
        <w:jc w:val="both"/>
      </w:pPr>
      <w:r>
        <w:rPr>
          <w:sz w:val="24"/>
        </w:rPr>
        <w:t xml:space="preserve">5.8 Подачу теплоносителя в каждую зону высотного здания следует осуществлять по последовательной (каскадной) или параллельной схеме через теплообменники с автоматическим регулированием температуры теплоносителя (</w:t>
      </w:r>
      <w:hyperlink w:history="0" w:anchor="P292" w:tooltip="Рисунок 5.1 - Схема теплоснабжения высотного здания">
        <w:r>
          <w:rPr>
            <w:sz w:val="24"/>
            <w:color w:val="0000ff"/>
          </w:rPr>
          <w:t xml:space="preserve">рисунки 5.1</w:t>
        </w:r>
      </w:hyperlink>
      <w:r>
        <w:rPr>
          <w:sz w:val="24"/>
        </w:rPr>
        <w:t xml:space="preserve">, </w:t>
      </w:r>
      <w:hyperlink w:history="0" w:anchor="P299" w:tooltip="Рисунок 5.2 - Схема теплоснабжения высотного здания">
        <w:r>
          <w:rPr>
            <w:sz w:val="24"/>
            <w:color w:val="0000ff"/>
          </w:rPr>
          <w:t xml:space="preserve">5.2</w:t>
        </w:r>
      </w:hyperlink>
      <w:r>
        <w:rPr>
          <w:sz w:val="24"/>
        </w:rPr>
        <w:t xml:space="preserve">).</w:t>
      </w:r>
    </w:p>
    <w:p>
      <w:pPr>
        <w:pStyle w:val="0"/>
        <w:spacing w:before="240" w:lineRule="auto"/>
        <w:ind w:firstLine="540"/>
        <w:jc w:val="both"/>
      </w:pPr>
      <w:r>
        <w:rPr>
          <w:sz w:val="24"/>
        </w:rPr>
        <w:t xml:space="preserve">Температура теплоносителя во внутренних системах теплоснабжения с трубопроводами из стальных труб может быть более 95 °C, но не более 110 °C. При этом должны быть предусмотрены мероприятия, обеспечивающие невскипание перемещаемой воды по высоте здания. Трубопроводы из стальных труб с теплоносителем температурой более 95 °C следует прокладывать в самостоятельных шахтах либо в общих с другими трубопроводами выгороженных шахтах.</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Места прокладки указанных трубопроводов должны быть доступны представителям эксплуатирующей организации.</w:t>
      </w:r>
    </w:p>
    <w:p>
      <w:pPr>
        <w:pStyle w:val="0"/>
        <w:spacing w:before="240" w:lineRule="auto"/>
        <w:ind w:firstLine="540"/>
        <w:jc w:val="both"/>
      </w:pPr>
      <w:r>
        <w:rPr>
          <w:sz w:val="24"/>
        </w:rPr>
        <w:t xml:space="preserve">2 Следует предусматривать конструктивные и технические решения, исключающие возможность распространения пара за пределы технических помещений при повреждении трубопроводов.</w:t>
      </w:r>
    </w:p>
    <w:p>
      <w:pPr>
        <w:pStyle w:val="0"/>
        <w:jc w:val="both"/>
      </w:pPr>
      <w:r>
        <w:rPr>
          <w:sz w:val="24"/>
        </w:rPr>
        <w:t xml:space="preserve">(в ред. </w:t>
      </w:r>
      <w:hyperlink w:history="0" r:id="rId14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5.9 Для повышения надежности работы внутренних систем теплоснабжения высотных зданий оборудование необходимо резервировать по следующей схеме:</w:t>
      </w:r>
    </w:p>
    <w:p>
      <w:pPr>
        <w:pStyle w:val="0"/>
        <w:spacing w:before="240" w:lineRule="auto"/>
        <w:ind w:firstLine="540"/>
        <w:jc w:val="both"/>
      </w:pPr>
      <w:r>
        <w:rPr>
          <w:sz w:val="24"/>
        </w:rPr>
        <w:t xml:space="preserve">Для систем отопления, вентиляции, кондиционирования и ГВС в каждом контуре приготовления теплоносителя следует устанавливать не менее двух теплообменников (рабочий + резервный), поверхность нагрева каждого из которых должна обеспечивать 100% требуемого расхода теплоты.</w:t>
      </w:r>
    </w:p>
    <w:p>
      <w:pPr>
        <w:pStyle w:val="0"/>
        <w:spacing w:before="240" w:lineRule="auto"/>
        <w:ind w:firstLine="540"/>
        <w:jc w:val="both"/>
      </w:pPr>
      <w:r>
        <w:rPr>
          <w:sz w:val="24"/>
        </w:rPr>
        <w:t xml:space="preserve">Для систем ГВС допускается не предусматривать резервирование теплообменников при установке в контуре приготовления теплоносителя резервных емкостных водонагревателей, тепловых насосов или других альтернативных источников.</w:t>
      </w:r>
    </w:p>
    <w:p>
      <w:pPr>
        <w:pStyle w:val="0"/>
        <w:spacing w:before="240" w:lineRule="auto"/>
        <w:ind w:firstLine="540"/>
        <w:jc w:val="both"/>
      </w:pPr>
      <w:r>
        <w:rPr>
          <w:sz w:val="24"/>
        </w:rPr>
        <w:t xml:space="preserve">Для офисных высотных зданий допускается приготовление горячей воды в емкостных водоподогревателях, располагаемых на обслуживаемых этажах (в подшивных потолках санузлов, выделенных нишах и т.п.).</w:t>
      </w:r>
    </w:p>
    <w:p>
      <w:pPr>
        <w:pStyle w:val="0"/>
        <w:spacing w:before="240" w:lineRule="auto"/>
        <w:ind w:firstLine="540"/>
        <w:jc w:val="both"/>
      </w:pPr>
      <w:r>
        <w:rPr>
          <w:sz w:val="24"/>
        </w:rPr>
        <w:t xml:space="preserve">Для систем вентиляции и кондиционирования возможна установка в контуре приготовления теплоносителя трех теплообменников (два рабочих + один резервный), поверхность нагрева каждого должна обеспечивать 50% расчетного расхода теплоты. Допускается не предусматривать резервирование теплообменников, если системы вентиляции и кондиционирования обслуживают только стилобатную часть высотного здания или комплекса.</w:t>
      </w:r>
    </w:p>
    <w:p>
      <w:pPr>
        <w:pStyle w:val="0"/>
        <w:spacing w:before="240" w:lineRule="auto"/>
        <w:ind w:firstLine="540"/>
        <w:jc w:val="both"/>
      </w:pPr>
      <w:r>
        <w:rPr>
          <w:sz w:val="24"/>
        </w:rPr>
        <w:t xml:space="preserve">При каскадной схеме теплоснабжения для приготовления теплоносителя верхних зон допускается установка трех теплообменников (два рабочих + один резервный), поверхность нагрева каждого теплообменника должна обеспечивать 50% расчетного расхода теплоты или определяться по техническому заданию.</w:t>
      </w:r>
    </w:p>
    <w:p>
      <w:pPr>
        <w:pStyle w:val="0"/>
        <w:spacing w:before="240" w:lineRule="auto"/>
        <w:ind w:firstLine="540"/>
        <w:jc w:val="both"/>
      </w:pPr>
      <w:r>
        <w:rPr>
          <w:sz w:val="24"/>
        </w:rPr>
        <w:t xml:space="preserve">При расчете поверхности нагрева водо-водяных подогревателей по каждой системе теплопотребления необходимо предусматривать запас поверхности нагрева 30%.</w:t>
      </w:r>
    </w:p>
    <w:p>
      <w:pPr>
        <w:pStyle w:val="0"/>
        <w:jc w:val="both"/>
      </w:pPr>
      <w:r>
        <w:rPr>
          <w:sz w:val="24"/>
        </w:rPr>
        <w:t xml:space="preserve">(абзац введен </w:t>
      </w:r>
      <w:hyperlink w:history="0" r:id="rId14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 в ред. </w:t>
      </w:r>
      <w:hyperlink w:history="0" r:id="rId14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5.10 Напор циркуляционных, подпиточных, подкачивающих и смесительных насосов следует определять согласно </w:t>
      </w:r>
      <w:hyperlink w:history="0" r:id="rId14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14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С учетом режима работы внутренних систем теплоснабжения количество установленных насосов должно быть не менее двух (один рабочий + один резервный).</w:t>
      </w:r>
    </w:p>
    <w:p>
      <w:pPr>
        <w:pStyle w:val="0"/>
        <w:spacing w:before="240" w:lineRule="auto"/>
        <w:ind w:firstLine="540"/>
        <w:jc w:val="both"/>
      </w:pPr>
      <w:r>
        <w:rPr>
          <w:sz w:val="24"/>
        </w:rPr>
        <w:t xml:space="preserve">Давление теплоносителя во всасывающих патрубках насосов должно быть не ниже давления кавитации и не выше значения, допускаемого по условиям прочности конструкций насосов.</w:t>
      </w:r>
    </w:p>
    <w:p>
      <w:pPr>
        <w:pStyle w:val="0"/>
        <w:jc w:val="both"/>
      </w:pPr>
      <w:r>
        <w:rPr>
          <w:sz w:val="24"/>
        </w:rPr>
        <w:t xml:space="preserve">(п. 5.10 в ред. </w:t>
      </w:r>
      <w:hyperlink w:history="0" r:id="rId15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5.11 Подпитку внутренних систем теплоснабжения следует осуществлять от обратной магистрали наружной тепловой сети при централизованном теплоснабжении. Допускается осуществлять подпитку от системы хозяйственно-питьевого водопровода через специальные баки, с разрывом струи, предусматривая устройство водоподготовки.</w:t>
      </w:r>
    </w:p>
    <w:p>
      <w:pPr>
        <w:pStyle w:val="0"/>
        <w:spacing w:before="240" w:lineRule="auto"/>
        <w:ind w:firstLine="540"/>
        <w:jc w:val="both"/>
      </w:pPr>
      <w:r>
        <w:rPr>
          <w:sz w:val="24"/>
        </w:rPr>
        <w:t xml:space="preserve">5.12 На трубопроводах внутренних систем теплоснабжения следует предусматривать компенсацию тепловых удлинений. Применение сальниковых компенсаторов не допускается.</w:t>
      </w:r>
    </w:p>
    <w:p>
      <w:pPr>
        <w:pStyle w:val="0"/>
        <w:spacing w:before="240" w:lineRule="auto"/>
        <w:ind w:firstLine="540"/>
        <w:jc w:val="both"/>
      </w:pPr>
      <w:r>
        <w:rPr>
          <w:sz w:val="24"/>
        </w:rPr>
        <w:t xml:space="preserve">5.13 Оборудование внутренних систем теплоснабжения предпочтительно располагать в помещении ЦТП или ИТП.</w:t>
      </w:r>
    </w:p>
    <w:p>
      <w:pPr>
        <w:pStyle w:val="0"/>
        <w:spacing w:before="240" w:lineRule="auto"/>
        <w:ind w:firstLine="540"/>
        <w:jc w:val="both"/>
      </w:pPr>
      <w:r>
        <w:rPr>
          <w:sz w:val="24"/>
        </w:rPr>
        <w:t xml:space="preserve">Исходя из конструктивных особенностей высотного здания (наличия техэтажей по высоте), оборудование для приготовления теплоносителя каждой зоны возможно устанавливать на технических этажах в отдельных помещениях. В этих помещениях допускается размещать оборудование систем вентиляции, а также насосные установки и баки хозяйственно-питьевого и внутреннего противопожарного водопроводов.</w:t>
      </w:r>
    </w:p>
    <w:p>
      <w:pPr>
        <w:pStyle w:val="0"/>
        <w:spacing w:before="240" w:lineRule="auto"/>
        <w:ind w:firstLine="540"/>
        <w:jc w:val="both"/>
      </w:pPr>
      <w:r>
        <w:rPr>
          <w:sz w:val="24"/>
        </w:rPr>
        <w:t xml:space="preserve">5.14 При опорожнении внутренних систем теплоснабжения каждой зоны сброс воды рекомендуется выполнять отдельными трубопроводами для систем первичного (греющего) и вторичного (нагреваемого) контуров отопления и вентиляции непосредственно в приямок ЦТП (ИТП) с разрывом струи.</w:t>
      </w:r>
    </w:p>
    <w:p>
      <w:pPr>
        <w:pStyle w:val="0"/>
        <w:spacing w:before="240" w:lineRule="auto"/>
        <w:ind w:firstLine="540"/>
        <w:jc w:val="both"/>
      </w:pPr>
      <w:r>
        <w:rPr>
          <w:sz w:val="24"/>
        </w:rPr>
        <w:t xml:space="preserve">При этом точкой разрыва струи следует считать дренажный приямок ЦТП (ИТП).</w:t>
      </w:r>
    </w:p>
    <w:p>
      <w:pPr>
        <w:pStyle w:val="0"/>
        <w:spacing w:before="240" w:lineRule="auto"/>
        <w:ind w:firstLine="540"/>
        <w:jc w:val="both"/>
      </w:pPr>
      <w:r>
        <w:rPr>
          <w:sz w:val="24"/>
        </w:rPr>
        <w:t xml:space="preserve">Примечание - Системы ХВС и ГВС рекомендуется оборудовать самостоятельным дренажным (сбросным) трубопроводом с отводом воды в приямок.</w:t>
      </w:r>
    </w:p>
    <w:p>
      <w:pPr>
        <w:pStyle w:val="0"/>
        <w:jc w:val="both"/>
      </w:pPr>
      <w:r>
        <w:rPr>
          <w:sz w:val="24"/>
        </w:rPr>
      </w:r>
    </w:p>
    <w:p>
      <w:pPr>
        <w:pStyle w:val="0"/>
        <w:ind w:firstLine="540"/>
        <w:jc w:val="both"/>
      </w:pPr>
      <w:r>
        <w:rPr>
          <w:sz w:val="24"/>
        </w:rPr>
        <w:t xml:space="preserve">Производительность дренажных насосов следует принимать не ниже аварийного сброса объема первичной воды.</w:t>
      </w:r>
    </w:p>
    <w:p>
      <w:pPr>
        <w:pStyle w:val="0"/>
        <w:spacing w:before="240" w:lineRule="auto"/>
        <w:ind w:firstLine="540"/>
        <w:jc w:val="both"/>
      </w:pPr>
      <w:r>
        <w:rPr>
          <w:sz w:val="24"/>
        </w:rPr>
        <w:t xml:space="preserve">Рабочую температуру теплоносителя для выбора дренажных насосов принимают не менее 70 °C.</w:t>
      </w:r>
    </w:p>
    <w:p>
      <w:pPr>
        <w:pStyle w:val="0"/>
        <w:spacing w:before="240" w:lineRule="auto"/>
        <w:ind w:firstLine="540"/>
        <w:jc w:val="both"/>
      </w:pPr>
      <w:r>
        <w:rPr>
          <w:sz w:val="24"/>
        </w:rPr>
        <w:t xml:space="preserve">5.15 Системы внутреннего теплоснабжения высотных зданий следует присоединять по независимой схеме.</w:t>
      </w:r>
    </w:p>
    <w:p>
      <w:pPr>
        <w:pStyle w:val="0"/>
        <w:jc w:val="both"/>
      </w:pPr>
      <w:r>
        <w:rPr>
          <w:sz w:val="24"/>
        </w:rPr>
        <w:t xml:space="preserve">(п. 5.15 в ред. </w:t>
      </w:r>
      <w:hyperlink w:history="0" r:id="rId15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5.16 При централизованном теплоснабжении необходимо устанавливать узел учета теплоты в ЦТП или ИТП.</w:t>
      </w:r>
    </w:p>
    <w:p>
      <w:pPr>
        <w:pStyle w:val="0"/>
        <w:spacing w:before="240" w:lineRule="auto"/>
        <w:ind w:firstLine="540"/>
        <w:jc w:val="both"/>
      </w:pPr>
      <w:r>
        <w:rPr>
          <w:sz w:val="24"/>
        </w:rPr>
        <w:t xml:space="preserve">В соответствии с ТЗ для различных групп помещений в составе здания-комплекса допускается устанавливать индивидуальные узлы учета теплоты, располагаемые в ЦТП, ИТП, ЭЦ, на технических этажах, в выделенных шкафах и т.д.</w:t>
      </w:r>
    </w:p>
    <w:p>
      <w:pPr>
        <w:pStyle w:val="0"/>
        <w:spacing w:before="240" w:lineRule="auto"/>
        <w:ind w:firstLine="540"/>
        <w:jc w:val="both"/>
      </w:pPr>
      <w:r>
        <w:rPr>
          <w:sz w:val="24"/>
        </w:rPr>
        <w:t xml:space="preserve">В соответствии с требованиями [</w:t>
      </w:r>
      <w:hyperlink w:history="0" w:anchor="P308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w:t>
      </w:r>
      <w:hyperlink w:history="0" r:id="rId152" w:tooltip="Федеральный закон от 23.11.2009 N 261-ФЗ (ред. от 23.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статья 11, пункт 6</w:t>
        </w:r>
      </w:hyperlink>
      <w:r>
        <w:rPr>
          <w:sz w:val="24"/>
        </w:rPr>
        <w:t xml:space="preserve">] следует предусматривать общий и индивидуальный (поквартирный) учет теплоты для жилых зданий.</w:t>
      </w:r>
    </w:p>
    <w:p>
      <w:pPr>
        <w:pStyle w:val="0"/>
        <w:jc w:val="both"/>
      </w:pPr>
      <w:r>
        <w:rPr>
          <w:sz w:val="24"/>
        </w:rPr>
        <w:t xml:space="preserve">(в ред. </w:t>
      </w:r>
      <w:hyperlink w:history="0" r:id="rId15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5.17 Надежная работа внутренних систем теплоснабжения высотного здания без постоянного присутствия обслуживающего персонала должна быть обеспечена системами автоматизации ЦТП, ИТП или ЭЦ.</w:t>
      </w:r>
    </w:p>
    <w:p>
      <w:pPr>
        <w:pStyle w:val="0"/>
        <w:jc w:val="both"/>
      </w:pPr>
      <w:r>
        <w:rPr>
          <w:sz w:val="24"/>
        </w:rPr>
        <w:t xml:space="preserve">(в ред. </w:t>
      </w:r>
      <w:hyperlink w:history="0" r:id="rId15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Мониторинг оборудования, параметров теплоносителей и аварийно-предупредительной сигнализации, а также дистанционное управление оборудованием в ЦТП, ИТП или ЭЦ следует осуществлять из диспетчерского пункта высотного здания.</w:t>
      </w:r>
    </w:p>
    <w:p>
      <w:pPr>
        <w:pStyle w:val="0"/>
        <w:spacing w:before="240" w:lineRule="auto"/>
        <w:ind w:firstLine="540"/>
        <w:jc w:val="both"/>
      </w:pPr>
      <w:r>
        <w:rPr>
          <w:sz w:val="24"/>
        </w:rPr>
        <w:t xml:space="preserve">5.18 Помещения центрального/индивидуального теплового пункта и размещенное в них оборудование, арматура и трубопроводы должны отвечать требованиям безопасной эксплуатации и обеспечивать возможность монтажа, демонтажа оборудования и его замену.</w:t>
      </w:r>
    </w:p>
    <w:p>
      <w:pPr>
        <w:pStyle w:val="0"/>
        <w:spacing w:before="240" w:lineRule="auto"/>
        <w:ind w:firstLine="540"/>
        <w:jc w:val="both"/>
      </w:pPr>
      <w:r>
        <w:rPr>
          <w:sz w:val="24"/>
        </w:rPr>
        <w:t xml:space="preserve">Центральный тепловой пункт высотных жилых и общественных зданий следует размещать в выделенных помещениях в пределах зданий на любом уровне, не выше первого.</w:t>
      </w:r>
    </w:p>
    <w:p>
      <w:pPr>
        <w:pStyle w:val="0"/>
        <w:spacing w:before="240" w:lineRule="auto"/>
        <w:ind w:firstLine="540"/>
        <w:jc w:val="both"/>
      </w:pPr>
      <w:r>
        <w:rPr>
          <w:sz w:val="24"/>
        </w:rPr>
        <w:t xml:space="preserve">Объемно-планировочные решения тепловых пунктов следует принимать в соответствии с требованиями </w:t>
      </w:r>
      <w:hyperlink w:history="0" r:id="rId15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Не допускается размещение помещений ЦТП на деформационных швах зданий.</w:t>
      </w:r>
    </w:p>
    <w:p>
      <w:pPr>
        <w:pStyle w:val="0"/>
        <w:spacing w:before="240" w:lineRule="auto"/>
        <w:ind w:firstLine="540"/>
        <w:jc w:val="both"/>
      </w:pPr>
      <w:r>
        <w:rPr>
          <w:sz w:val="24"/>
        </w:rPr>
        <w:t xml:space="preserve">Допускается предусматривать эвакуационный выход из помещения теплового пункта (ИТП, ЦТП) через помещение для хранения автомобилей или в лестничную клетку подземной стоянки автомобилей без устройства отдельного выхода наружу.</w:t>
      </w:r>
    </w:p>
    <w:p>
      <w:pPr>
        <w:pStyle w:val="0"/>
        <w:spacing w:before="240" w:lineRule="auto"/>
        <w:ind w:firstLine="540"/>
        <w:jc w:val="both"/>
      </w:pPr>
      <w:r>
        <w:rPr>
          <w:sz w:val="24"/>
        </w:rPr>
        <w:t xml:space="preserve">Высоту помещений от отметки чистого пола до низа выступающих конструкций перекрытия (в свету) рекомендуется принимать не менее: для подземных ЦТП - 3,6 м; для ИТП - 2,5 м.</w:t>
      </w:r>
    </w:p>
    <w:p>
      <w:pPr>
        <w:pStyle w:val="0"/>
        <w:spacing w:before="240" w:lineRule="auto"/>
        <w:ind w:firstLine="540"/>
        <w:jc w:val="both"/>
      </w:pPr>
      <w:r>
        <w:rPr>
          <w:sz w:val="24"/>
        </w:rPr>
        <w:t xml:space="preserve">При размещении ИТП на технических этажах под (или над) жилыми (рабочими) помещениями следует предусматривать мероприятия по снижению уровня шума в прилегающих помещениях до значений, установленных действующими нормативными документами.</w:t>
      </w:r>
    </w:p>
    <w:p>
      <w:pPr>
        <w:pStyle w:val="0"/>
        <w:jc w:val="both"/>
      </w:pPr>
      <w:r>
        <w:rPr>
          <w:sz w:val="24"/>
        </w:rPr>
        <w:t xml:space="preserve">(п. 5.18 в ред. </w:t>
      </w:r>
      <w:hyperlink w:history="0" r:id="rId15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5.19 Расчетные тепловые нагрузки для расчета и выбора оборудования ЦТП и ИТП следует определять суммой максимальных часовых расходов теплоты на отопление, вентиляцию и кондиционирование при параметрах наружного воздуха, максимального часового расхода на ГВС, а также максимального часового расхода теплоты на технологические цели с учетом коэффициента неодновременности потребления теплоты.</w:t>
      </w:r>
    </w:p>
    <w:p>
      <w:pPr>
        <w:pStyle w:val="0"/>
        <w:spacing w:before="240" w:lineRule="auto"/>
        <w:ind w:firstLine="540"/>
        <w:jc w:val="both"/>
      </w:pPr>
      <w:r>
        <w:rPr>
          <w:sz w:val="24"/>
        </w:rPr>
        <w:t xml:space="preserve">В помещениях тепловых пунктов допускается размещать оборудование систем хозяйственно-питьевого и противопожарного водоснабжения здания, в том числе насосные установки. Оборудование систем водоснабжения должно обеспечивать стабильное давление в системе водоснабжения здания.</w:t>
      </w:r>
    </w:p>
    <w:p>
      <w:pPr>
        <w:pStyle w:val="0"/>
        <w:jc w:val="both"/>
      </w:pPr>
      <w:r>
        <w:rPr>
          <w:sz w:val="24"/>
        </w:rPr>
        <w:t xml:space="preserve">(п. 5.19 в ред. </w:t>
      </w:r>
      <w:hyperlink w:history="0" r:id="rId15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5.20 Не допускается применение пластиковых трубопроводов в помещении ЦТП/ИТП.</w:t>
      </w:r>
    </w:p>
    <w:p>
      <w:pPr>
        <w:pStyle w:val="0"/>
        <w:jc w:val="both"/>
      </w:pPr>
      <w:r>
        <w:rPr>
          <w:sz w:val="24"/>
        </w:rPr>
        <w:t xml:space="preserve">(п. 5.20 введен </w:t>
      </w:r>
      <w:hyperlink w:history="0" r:id="rId15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6 Автономные источники теплоты</w:t>
      </w:r>
    </w:p>
    <w:p>
      <w:pPr>
        <w:pStyle w:val="0"/>
        <w:jc w:val="both"/>
      </w:pPr>
      <w:r>
        <w:rPr>
          <w:sz w:val="24"/>
        </w:rPr>
      </w:r>
    </w:p>
    <w:p>
      <w:pPr>
        <w:pStyle w:val="0"/>
        <w:ind w:firstLine="540"/>
        <w:jc w:val="both"/>
      </w:pPr>
      <w:r>
        <w:rPr>
          <w:sz w:val="24"/>
        </w:rPr>
        <w:t xml:space="preserve">6.1 Оборудование АИТ, мощности АИТ и схемы регулирования отпуска теплоты следует рассчитывать и выбирать исходя из обеспечения максимальной энергетической эффективности системы теплоснабжения. Общая тепловая мощность устанавливаемых котлов и единичная производительность каждого не нормируются.</w:t>
      </w:r>
    </w:p>
    <w:p>
      <w:pPr>
        <w:pStyle w:val="0"/>
        <w:spacing w:before="240" w:lineRule="auto"/>
        <w:ind w:firstLine="540"/>
        <w:jc w:val="both"/>
      </w:pPr>
      <w:r>
        <w:rPr>
          <w:sz w:val="24"/>
        </w:rPr>
        <w:t xml:space="preserve">Значение тепловой мощности АИТ подбирают с учетом соответствия расчету потребления теплоты для конкретного здания (комплекса):</w:t>
      </w:r>
    </w:p>
    <w:p>
      <w:pPr>
        <w:pStyle w:val="0"/>
        <w:spacing w:before="240" w:lineRule="auto"/>
        <w:ind w:firstLine="540"/>
        <w:jc w:val="both"/>
      </w:pPr>
      <w:r>
        <w:rPr>
          <w:sz w:val="24"/>
        </w:rPr>
        <w:t xml:space="preserve">суммы расчетных часовых расходов тепловой энергии на отопление, вентиляцию, кондиционирование и горячее водоснабжение потребителей высотного здания или комплекса;</w:t>
      </w:r>
    </w:p>
    <w:p>
      <w:pPr>
        <w:pStyle w:val="0"/>
        <w:spacing w:before="240" w:lineRule="auto"/>
        <w:ind w:firstLine="540"/>
        <w:jc w:val="both"/>
      </w:pPr>
      <w:r>
        <w:rPr>
          <w:sz w:val="24"/>
        </w:rPr>
        <w:t xml:space="preserve">расчетных расходов тепла на технологические нужды (при наличии);</w:t>
      </w:r>
    </w:p>
    <w:p>
      <w:pPr>
        <w:pStyle w:val="0"/>
        <w:spacing w:before="240" w:lineRule="auto"/>
        <w:ind w:firstLine="540"/>
        <w:jc w:val="both"/>
      </w:pPr>
      <w:r>
        <w:rPr>
          <w:sz w:val="24"/>
        </w:rPr>
        <w:t xml:space="preserve">расходов тепловой энергии на собственные нужды АИТ (при наличии).</w:t>
      </w:r>
    </w:p>
    <w:p>
      <w:pPr>
        <w:pStyle w:val="0"/>
        <w:spacing w:before="240" w:lineRule="auto"/>
        <w:ind w:firstLine="540"/>
        <w:jc w:val="both"/>
      </w:pPr>
      <w:r>
        <w:rPr>
          <w:sz w:val="24"/>
        </w:rPr>
        <w:t xml:space="preserve">6.2 Число устанавливаемых котлов (теплогазогенератов) в АИТ должно быть не менее трех. При выходе из строя одного из них, другие котлы должны обеспечивать не менее 70% расчетной тепловой нагрузки комплекса на период проведения ремонтно-восстановительных работ. При этом при наличии в здании потребителей первой категории должно быть обеспечено 100% покрытие потребности их в тепловой энергии.</w:t>
      </w:r>
    </w:p>
    <w:p>
      <w:pPr>
        <w:pStyle w:val="0"/>
        <w:spacing w:before="240" w:lineRule="auto"/>
        <w:ind w:firstLine="540"/>
        <w:jc w:val="both"/>
      </w:pPr>
      <w:r>
        <w:rPr>
          <w:sz w:val="24"/>
        </w:rPr>
        <w:t xml:space="preserve">6.3 Для теплоснабжения и холодоснабжения в помещении АИТ могут быть установлены абсорбционные холодильные машины (АБХМ) и другое оборудование, вырабатывающее теплоту и холод, которые могут быть объединены в единый энергетический центр (ЭЦ) высотного здания или комплекса. При этом в холодный период года допускается работа АБХМ для выработки тепловой энергии.</w:t>
      </w:r>
    </w:p>
    <w:p>
      <w:pPr>
        <w:pStyle w:val="0"/>
        <w:spacing w:before="240" w:lineRule="auto"/>
        <w:ind w:firstLine="540"/>
        <w:jc w:val="both"/>
      </w:pPr>
      <w:r>
        <w:rPr>
          <w:sz w:val="24"/>
        </w:rPr>
        <w:t xml:space="preserve">Конфигурацию АИТ с применением АБХМ определяют в проектной документации.</w:t>
      </w:r>
    </w:p>
    <w:p>
      <w:pPr>
        <w:pStyle w:val="0"/>
        <w:spacing w:before="240" w:lineRule="auto"/>
        <w:ind w:firstLine="540"/>
        <w:jc w:val="both"/>
      </w:pPr>
      <w:r>
        <w:rPr>
          <w:sz w:val="24"/>
        </w:rPr>
        <w:t xml:space="preserve">Тепловую схему ЭЦ определяют в проектной документации с учетом взаимозаменяемости.</w:t>
      </w:r>
    </w:p>
    <w:p>
      <w:pPr>
        <w:pStyle w:val="0"/>
        <w:spacing w:before="240" w:lineRule="auto"/>
        <w:ind w:firstLine="540"/>
        <w:jc w:val="both"/>
      </w:pPr>
      <w:r>
        <w:rPr>
          <w:sz w:val="24"/>
        </w:rPr>
        <w:t xml:space="preserve">При размещении ЭЦ в крышном варианте необходимо учесть весовую нагрузку оборудования ЭЦ на несущие конструкции высотного здания.</w:t>
      </w:r>
    </w:p>
    <w:p>
      <w:pPr>
        <w:pStyle w:val="0"/>
        <w:spacing w:before="240" w:lineRule="auto"/>
        <w:ind w:firstLine="540"/>
        <w:jc w:val="both"/>
      </w:pPr>
      <w:r>
        <w:rPr>
          <w:sz w:val="24"/>
        </w:rPr>
        <w:t xml:space="preserve">Горелочные устройства ЭЦ должны обеспечивать эмиссию вредных выбросов.</w:t>
      </w:r>
    </w:p>
    <w:p>
      <w:pPr>
        <w:pStyle w:val="0"/>
        <w:spacing w:before="240" w:lineRule="auto"/>
        <w:ind w:firstLine="540"/>
        <w:jc w:val="both"/>
      </w:pPr>
      <w:r>
        <w:rPr>
          <w:sz w:val="24"/>
        </w:rPr>
        <w:t xml:space="preserve">Примечание - Подбор АБХМ осуществляют из условия максимальной выработки холода. При подборе числа и мощности котлов, устанавливаемых в ЭЦ, учитывают тепловую мощность АБХМ.</w:t>
      </w:r>
    </w:p>
    <w:p>
      <w:pPr>
        <w:pStyle w:val="0"/>
        <w:jc w:val="both"/>
      </w:pPr>
      <w:r>
        <w:rPr>
          <w:sz w:val="24"/>
        </w:rPr>
        <w:t xml:space="preserve">(п. 6.3 в ред. </w:t>
      </w:r>
      <w:hyperlink w:history="0" r:id="rId15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6.4 При оборудовании АИТ автоматизированными водогрейными котлами, работающими на газовом топливе, следует применять котлы с коэффициентом полезного действия не ниже 92% и температурой нагрева воды до 115 °C. Удельная строительная нагрузка не должна быть выше 1,5 - 2 кг на 1 кВт тепловой мощности котла.</w:t>
      </w:r>
    </w:p>
    <w:p>
      <w:pPr>
        <w:pStyle w:val="0"/>
        <w:jc w:val="both"/>
      </w:pPr>
      <w:r>
        <w:rPr>
          <w:sz w:val="24"/>
        </w:rPr>
        <w:t xml:space="preserve">(в ред. </w:t>
      </w:r>
      <w:hyperlink w:history="0" r:id="rId16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Горелки котлов должны обеспечивать эмиссию вредных выбросов не более: 0 ppm или следы - для CO; 30 ppm - для NO</w:t>
      </w:r>
      <w:r>
        <w:rPr>
          <w:sz w:val="24"/>
          <w:vertAlign w:val="subscript"/>
        </w:rPr>
        <w:t xml:space="preserve">x</w:t>
      </w:r>
      <w:r>
        <w:rPr>
          <w:sz w:val="24"/>
        </w:rPr>
        <w:t xml:space="preserve">. Горелкам АБХМ допускается небольшое увеличение эмиссии CO и NO</w:t>
      </w:r>
      <w:r>
        <w:rPr>
          <w:sz w:val="24"/>
          <w:vertAlign w:val="subscript"/>
        </w:rPr>
        <w:t xml:space="preserve">x</w:t>
      </w:r>
      <w:r>
        <w:rPr>
          <w:sz w:val="24"/>
        </w:rPr>
        <w:t xml:space="preserve">. По уровню выбросов вредных веществ горелки должны соответствовать требованиям гигиенических нормативов </w:t>
      </w:r>
      <w:hyperlink w:history="0" r:id="rId161" w:tooltip="Постановление Главного государственного санитарного врача РФ от 30.05.2003 N 114 (ред. от 30.08.2016) &quot;О введении в действие ГН 2.1.6.1338-03&quot; (вместе с &quot;ГН 2.1.6.1338-03. Предельно допустимые концентрации (ПДК) загрязняющих веществ в атмосферном воздухе населенных мест. Гигиенические нормативы&quot;, утв. Главным государственным санитарным врачом РФ 21.05.2003) (Зарегистрировано в Минюсте России 11.06.2003 N 4679) ------------ Утратил силу или отменен {КонсультантПлюс}">
        <w:r>
          <w:rPr>
            <w:sz w:val="24"/>
            <w:color w:val="0000ff"/>
          </w:rPr>
          <w:t xml:space="preserve">ГН 2.1.6.1338-03</w:t>
        </w:r>
      </w:hyperlink>
      <w:r>
        <w:rPr>
          <w:sz w:val="24"/>
        </w:rPr>
        <w:t xml:space="preserve"> </w:t>
      </w:r>
      <w:hyperlink w:history="0" w:anchor="P3081" w:tooltip="БИБЛИОГРАФИЯ">
        <w:r>
          <w:rPr>
            <w:sz w:val="24"/>
            <w:color w:val="0000ff"/>
          </w:rPr>
          <w:t xml:space="preserve">[5]</w:t>
        </w:r>
      </w:hyperlink>
      <w:r>
        <w:rPr>
          <w:sz w:val="24"/>
        </w:rPr>
        <w:t xml:space="preserve">.</w:t>
      </w:r>
    </w:p>
    <w:p>
      <w:pPr>
        <w:pStyle w:val="0"/>
        <w:jc w:val="both"/>
      </w:pPr>
      <w:r>
        <w:rPr>
          <w:sz w:val="24"/>
        </w:rPr>
        <w:t xml:space="preserve">(в ред. </w:t>
      </w:r>
      <w:hyperlink w:history="0" r:id="rId16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Применение абсорбционных холодильных машин в АИТ допускается с увеличением строительной нагрузки более 2 кг на 1 кВт тепловой или холодильной мощности.</w:t>
      </w:r>
    </w:p>
    <w:p>
      <w:pPr>
        <w:pStyle w:val="0"/>
        <w:spacing w:before="240" w:lineRule="auto"/>
        <w:ind w:firstLine="540"/>
        <w:jc w:val="both"/>
      </w:pPr>
      <w:r>
        <w:rPr>
          <w:sz w:val="24"/>
        </w:rPr>
        <w:t xml:space="preserve">При использовании в качестве источника тепла АБХМ прямого горения допускается применять автоматизированные АБХМ, работающие на газообразном топливе, со следующими техническими характеристиками:</w:t>
      </w:r>
    </w:p>
    <w:p>
      <w:pPr>
        <w:pStyle w:val="0"/>
        <w:spacing w:before="240" w:lineRule="auto"/>
        <w:ind w:firstLine="540"/>
        <w:jc w:val="both"/>
      </w:pPr>
      <w:r>
        <w:rPr>
          <w:sz w:val="24"/>
        </w:rPr>
        <w:t xml:space="preserve">коэффициент полезного действия по теплу не ниже 90%;</w:t>
      </w:r>
    </w:p>
    <w:p>
      <w:pPr>
        <w:pStyle w:val="0"/>
        <w:spacing w:before="240" w:lineRule="auto"/>
        <w:ind w:firstLine="540"/>
        <w:jc w:val="both"/>
      </w:pPr>
      <w:r>
        <w:rPr>
          <w:sz w:val="24"/>
        </w:rPr>
        <w:t xml:space="preserve">температура подогрева воды до 115 °C.</w:t>
      </w:r>
    </w:p>
    <w:p>
      <w:pPr>
        <w:pStyle w:val="0"/>
        <w:spacing w:before="240" w:lineRule="auto"/>
        <w:ind w:firstLine="540"/>
        <w:jc w:val="both"/>
      </w:pPr>
      <w:r>
        <w:rPr>
          <w:sz w:val="24"/>
        </w:rPr>
        <w:t xml:space="preserve">Предельно допустимые выбросы от работающих котлов или АБХМ не должны превышать предельных значений, установленных </w:t>
      </w:r>
      <w:hyperlink w:history="0" r:id="rId163" w:tooltip="Постановление Главного государственного санитарного врача РФ от 28.01.2021 N 3 (ред. от 25.06.2025)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w:t>
        </w:r>
      </w:hyperlink>
      <w:r>
        <w:rPr>
          <w:sz w:val="24"/>
        </w:rPr>
        <w:t xml:space="preserve">.</w:t>
      </w:r>
    </w:p>
    <w:p>
      <w:pPr>
        <w:pStyle w:val="0"/>
        <w:jc w:val="both"/>
      </w:pPr>
      <w:r>
        <w:rPr>
          <w:sz w:val="24"/>
        </w:rPr>
        <w:t xml:space="preserve">(в ред. </w:t>
      </w:r>
      <w:hyperlink w:history="0" r:id="rId16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6.5 Автономный источник теплоты в соответствии с проектной документацией может быть расположен в отдельно стоящем здании с соблюдением необходимых расстояний между АИТ и высотными зданиями или в здании, пристроенном к высотному зданию.</w:t>
      </w:r>
    </w:p>
    <w:p>
      <w:pPr>
        <w:pStyle w:val="0"/>
        <w:jc w:val="both"/>
      </w:pPr>
      <w:r>
        <w:rPr>
          <w:sz w:val="24"/>
        </w:rPr>
        <w:t xml:space="preserve">(в ред. </w:t>
      </w:r>
      <w:hyperlink w:history="0" r:id="rId16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АИТ или ЭЦ допускается размещать на крыше высотного здания или крыше самой высокой стилобатной части.</w:t>
      </w:r>
    </w:p>
    <w:p>
      <w:pPr>
        <w:pStyle w:val="0"/>
        <w:spacing w:before="240" w:lineRule="auto"/>
        <w:ind w:firstLine="540"/>
        <w:jc w:val="both"/>
      </w:pPr>
      <w:r>
        <w:rPr>
          <w:sz w:val="24"/>
        </w:rPr>
        <w:t xml:space="preserve">АИТ или ЭЦ не допускается размещать над жилыми помещениями или помещениями с массовым пребыванием людей.</w:t>
      </w:r>
    </w:p>
    <w:p>
      <w:pPr>
        <w:pStyle w:val="0"/>
        <w:spacing w:before="240" w:lineRule="auto"/>
        <w:ind w:firstLine="540"/>
        <w:jc w:val="both"/>
      </w:pPr>
      <w:r>
        <w:rPr>
          <w:sz w:val="24"/>
        </w:rPr>
        <w:t xml:space="preserve">При крышном варианте АИТ или ЭЦ в высотном здании следует предусматривать грузовой лифт для подъема разборных узлов оборудования АИТ или ЭЦ, масса которых не должна превышать 500 кг.</w:t>
      </w:r>
    </w:p>
    <w:p>
      <w:pPr>
        <w:pStyle w:val="0"/>
        <w:spacing w:before="240" w:lineRule="auto"/>
        <w:ind w:firstLine="540"/>
        <w:jc w:val="both"/>
      </w:pPr>
      <w:r>
        <w:rPr>
          <w:sz w:val="24"/>
        </w:rPr>
        <w:t xml:space="preserve">При крышном варианте АИТ или ЭЦ в высотном здании следует предусматривать грузовой лифт, если масса неразборных узлов оборудования АИТ или ЭЦ превышает 200 кг.</w:t>
      </w:r>
    </w:p>
    <w:p>
      <w:pPr>
        <w:pStyle w:val="0"/>
        <w:jc w:val="both"/>
      </w:pPr>
      <w:r>
        <w:rPr>
          <w:sz w:val="24"/>
        </w:rPr>
        <w:t xml:space="preserve">(в ред. </w:t>
      </w:r>
      <w:hyperlink w:history="0" r:id="rId16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6.6 К АИТ или ЭЦ, размещенным на крыше высотного здания, следует подводить газ среднего давления через наружный шкафной газорегуляторный пункт (ШГРП).</w:t>
      </w:r>
    </w:p>
    <w:p>
      <w:pPr>
        <w:pStyle w:val="0"/>
        <w:jc w:val="both"/>
      </w:pPr>
      <w:r>
        <w:rPr>
          <w:sz w:val="24"/>
        </w:rPr>
        <w:t xml:space="preserve">(в ред. </w:t>
      </w:r>
      <w:hyperlink w:history="0" r:id="rId16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Системы газоснабжения АИТ или ЭЦ необходимо проектировать в соответствии с </w:t>
      </w:r>
      <w:hyperlink w:history="0" r:id="rId168"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jc w:val="both"/>
      </w:pPr>
      <w:r>
        <w:rPr>
          <w:sz w:val="24"/>
        </w:rPr>
        <w:t xml:space="preserve">(в ред. </w:t>
      </w:r>
      <w:hyperlink w:history="0" r:id="rId16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На пункте редуцирования по </w:t>
      </w:r>
      <w:hyperlink w:history="0" r:id="rId170" w:tooltip="&quot;ГОСТ 34011-2024. Межгосударственный стандарт. Системы газораспределительные. Пункты газорегуляторные блочные. Пункты редуцирования газа шкафные. Общие технические требования&quot; (введен в действие Приказом Росстандарта от 13.06.2024 N 785-ст) {КонсультантПлюс}">
        <w:r>
          <w:rPr>
            <w:sz w:val="24"/>
            <w:color w:val="0000ff"/>
          </w:rPr>
          <w:t xml:space="preserve">ГОСТ 34011</w:t>
        </w:r>
      </w:hyperlink>
      <w:r>
        <w:rPr>
          <w:sz w:val="24"/>
        </w:rPr>
        <w:t xml:space="preserve"> следует предусматривать две линии редуцирования со снижением давления до требуемого значения.</w:t>
      </w:r>
    </w:p>
    <w:p>
      <w:pPr>
        <w:pStyle w:val="0"/>
        <w:jc w:val="both"/>
      </w:pPr>
      <w:r>
        <w:rPr>
          <w:sz w:val="24"/>
        </w:rPr>
        <w:t xml:space="preserve">(в ред. </w:t>
      </w:r>
      <w:hyperlink w:history="0" r:id="rId17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6.7 Газопроводы, ведущие к АИТ или ЭЦ, следует прокладывать снаружи здания, как правило, по глухому участку наружной стены с пределом огнестойкости не менее REI 60 или в специальной проветриваемой (вентилируемой) нише, или шахте вдоль фасада здания, оборудованной, в случае необходимости, сигнализатором загазованности с доступом для осмотра и ревизии газопровода, при этом, для осмотра и ревизии газопровода должно быть предусмотрено подъемное устройство или обеспечен доступ изнутри здания. Газопровод следует выполнять из коррозионно-стойкой стали.</w:t>
      </w:r>
    </w:p>
    <w:p>
      <w:pPr>
        <w:pStyle w:val="0"/>
        <w:jc w:val="both"/>
      </w:pPr>
      <w:r>
        <w:rPr>
          <w:sz w:val="24"/>
        </w:rPr>
        <w:t xml:space="preserve">(в ред. </w:t>
      </w:r>
      <w:hyperlink w:history="0" r:id="rId17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7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Для повышения безопасности эксплуатации наружный газопровод следует оборудовать автоматическим запорным клапаном, устанавливаемым в нижней части фасадного участка (у цокольного ввода магистрального газопровода) газопровода.</w:t>
      </w:r>
    </w:p>
    <w:p>
      <w:pPr>
        <w:pStyle w:val="0"/>
        <w:jc w:val="both"/>
      </w:pPr>
      <w:r>
        <w:rPr>
          <w:sz w:val="24"/>
        </w:rPr>
        <w:t xml:space="preserve">(в ред. </w:t>
      </w:r>
      <w:hyperlink w:history="0" r:id="rId17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 этом следует учесть, что за счет разницы удельных масс природного газа и воздуха необходимо предусмотреть соответствующую настройку сбросных клапанов на отметке размещения ШГРП.</w:t>
      </w:r>
    </w:p>
    <w:p>
      <w:pPr>
        <w:pStyle w:val="0"/>
        <w:spacing w:before="240" w:lineRule="auto"/>
        <w:ind w:firstLine="540"/>
        <w:jc w:val="both"/>
      </w:pPr>
      <w:r>
        <w:rPr>
          <w:sz w:val="24"/>
        </w:rPr>
        <w:t xml:space="preserve">Примечание - Электромагнитный предохранительный сбросной и запорный клапаны должны срабатывать по сигналу датчиков загазованности или датчиков воспламенения в высотном здании или в помещениях АИТ.</w:t>
      </w:r>
    </w:p>
    <w:p>
      <w:pPr>
        <w:pStyle w:val="0"/>
        <w:jc w:val="both"/>
      </w:pPr>
      <w:r>
        <w:rPr>
          <w:sz w:val="24"/>
        </w:rPr>
      </w:r>
    </w:p>
    <w:p>
      <w:pPr>
        <w:pStyle w:val="0"/>
        <w:ind w:firstLine="540"/>
        <w:jc w:val="both"/>
      </w:pPr>
      <w:r>
        <w:rPr>
          <w:sz w:val="24"/>
        </w:rPr>
        <w:t xml:space="preserve">6.8 Применение АИТ, установленного на крыше, допускается при условии, что загрязнение окружающего атмосферного воздуха не будет превышать гигиенических нормативов (ПДК) загрязняющих веществ в атмосферном воздухе населенных мест по </w:t>
      </w:r>
      <w:hyperlink w:history="0" r:id="rId175" w:tooltip="Постановление Главного государственного санитарного врача РФ от 28.01.2021 N 3 (ред. от 25.06.2025)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w:t>
        </w:r>
      </w:hyperlink>
      <w:r>
        <w:rPr>
          <w:sz w:val="24"/>
        </w:rPr>
        <w:t xml:space="preserve">.</w:t>
      </w:r>
    </w:p>
    <w:p>
      <w:pPr>
        <w:pStyle w:val="0"/>
        <w:jc w:val="both"/>
      </w:pPr>
      <w:r>
        <w:rPr>
          <w:sz w:val="24"/>
        </w:rPr>
        <w:t xml:space="preserve">(в ред. </w:t>
      </w:r>
      <w:hyperlink w:history="0" r:id="rId17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Помещения АИТ, установленного на крыше, должны предусматриваться одноэтажными.</w:t>
      </w:r>
    </w:p>
    <w:p>
      <w:pPr>
        <w:pStyle w:val="0"/>
        <w:spacing w:before="240" w:lineRule="auto"/>
        <w:ind w:firstLine="540"/>
        <w:jc w:val="both"/>
      </w:pPr>
      <w:r>
        <w:rPr>
          <w:sz w:val="24"/>
        </w:rPr>
        <w:t xml:space="preserve">В АИТ, установленном на крыше, следует размещать санузел с умывальником, вспомогательные помещения не предусматриваются.</w:t>
      </w:r>
    </w:p>
    <w:p>
      <w:pPr>
        <w:pStyle w:val="0"/>
        <w:spacing w:before="240" w:lineRule="auto"/>
        <w:ind w:firstLine="540"/>
        <w:jc w:val="both"/>
      </w:pPr>
      <w:r>
        <w:rPr>
          <w:sz w:val="24"/>
        </w:rPr>
        <w:t xml:space="preserve">Полы помещения АИТ, выполненные из материалов с нескользкой поверхностью, должны быть с гидроизоляцией.</w:t>
      </w:r>
    </w:p>
    <w:p>
      <w:pPr>
        <w:pStyle w:val="0"/>
        <w:spacing w:before="240" w:lineRule="auto"/>
        <w:ind w:firstLine="540"/>
        <w:jc w:val="both"/>
      </w:pPr>
      <w:r>
        <w:rPr>
          <w:sz w:val="24"/>
        </w:rPr>
        <w:t xml:space="preserve">6.9 Площадь оконных проемов (легко сбрасываемых при аварии конструкций) помещения АИТ следует выбирать из условия требуемой естественной освещенности, но не менее 0,05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На оконных проемах рекомендуется устанавливать защитные сетки для предохранения от разброса стекол при возможном взрыве газа.</w:t>
      </w:r>
    </w:p>
    <w:p>
      <w:pPr>
        <w:pStyle w:val="0"/>
        <w:spacing w:before="240" w:lineRule="auto"/>
        <w:ind w:firstLine="540"/>
        <w:jc w:val="both"/>
      </w:pPr>
      <w:r>
        <w:rPr>
          <w:sz w:val="24"/>
        </w:rPr>
        <w:t xml:space="preserve">Противопожарную защиту ЭЦ (АИТ), установленного на крыше, следует выполнять с учетом конструктивных особенностей конкретного здания.</w:t>
      </w:r>
    </w:p>
    <w:p>
      <w:pPr>
        <w:pStyle w:val="0"/>
        <w:spacing w:before="240" w:lineRule="auto"/>
        <w:ind w:firstLine="540"/>
        <w:jc w:val="both"/>
      </w:pPr>
      <w:r>
        <w:rPr>
          <w:sz w:val="24"/>
        </w:rPr>
        <w:t xml:space="preserve">6.10 Вокруг помещения АИТ, расположенного на крыше, необходимо обеспечить проход шириной не менее 1 м для возможного транспортирования оборудования АИТ.</w:t>
      </w:r>
    </w:p>
    <w:p>
      <w:pPr>
        <w:pStyle w:val="0"/>
        <w:spacing w:before="240" w:lineRule="auto"/>
        <w:ind w:firstLine="540"/>
        <w:jc w:val="both"/>
      </w:pPr>
      <w:r>
        <w:rPr>
          <w:sz w:val="24"/>
        </w:rPr>
        <w:t xml:space="preserve">6.11 При наличии в высотном здании лифта, предназначенного для обслуживания АИТ или ЭЦ, расположенного на крыше, его габариты, грузоподъемность и размеры проема кабины должны обеспечивать подъем оборудования АИТ или ЭЦ.</w:t>
      </w:r>
    </w:p>
    <w:p>
      <w:pPr>
        <w:pStyle w:val="0"/>
        <w:spacing w:before="240" w:lineRule="auto"/>
        <w:ind w:firstLine="540"/>
        <w:jc w:val="both"/>
      </w:pPr>
      <w:r>
        <w:rPr>
          <w:sz w:val="24"/>
        </w:rPr>
        <w:t xml:space="preserve">Для оперативного доступа к АИТ на крыше здания, доставки грузов и блоков оборудования возможно устройство маршевых лестниц от последней отметки грузового лифта до выхода на кровлю. От выхода на кровлю до входа в котельную должна быть устроена дорожка шириной 1 м с твердым несгораемым покрытием.</w:t>
      </w:r>
    </w:p>
    <w:p>
      <w:pPr>
        <w:pStyle w:val="0"/>
        <w:spacing w:before="240" w:lineRule="auto"/>
        <w:ind w:firstLine="540"/>
        <w:jc w:val="both"/>
      </w:pPr>
      <w:r>
        <w:rPr>
          <w:sz w:val="24"/>
        </w:rPr>
        <w:t xml:space="preserve">6.12 Габариты помещения АИТ следует определять с учетом размещения оборудования, проходов и площадок для безопасной эксплуатации, сервисного обслуживания, ремонта и замены оборудования.</w:t>
      </w:r>
    </w:p>
    <w:p>
      <w:pPr>
        <w:pStyle w:val="0"/>
        <w:spacing w:before="240" w:lineRule="auto"/>
        <w:ind w:firstLine="540"/>
        <w:jc w:val="both"/>
      </w:pPr>
      <w:r>
        <w:rPr>
          <w:sz w:val="24"/>
        </w:rPr>
        <w:t xml:space="preserve">6.13 Помещение АИТ должно быть оборудовано системами отопления, вентиляции, водоснабжения, водоотведения, электрооборудования, а также системами:</w:t>
      </w:r>
    </w:p>
    <w:p>
      <w:pPr>
        <w:pStyle w:val="0"/>
        <w:spacing w:before="240" w:lineRule="auto"/>
        <w:ind w:firstLine="540"/>
        <w:jc w:val="both"/>
      </w:pPr>
      <w:r>
        <w:rPr>
          <w:sz w:val="24"/>
        </w:rPr>
        <w:t xml:space="preserve">телефонной связи;</w:t>
      </w:r>
    </w:p>
    <w:p>
      <w:pPr>
        <w:pStyle w:val="0"/>
        <w:spacing w:before="240" w:lineRule="auto"/>
        <w:ind w:firstLine="540"/>
        <w:jc w:val="both"/>
      </w:pPr>
      <w:r>
        <w:rPr>
          <w:sz w:val="24"/>
        </w:rPr>
        <w:t xml:space="preserve">автоматической пожарной сигнализации;</w:t>
      </w:r>
    </w:p>
    <w:p>
      <w:pPr>
        <w:pStyle w:val="0"/>
        <w:spacing w:before="240" w:lineRule="auto"/>
        <w:ind w:firstLine="540"/>
        <w:jc w:val="both"/>
      </w:pPr>
      <w:r>
        <w:rPr>
          <w:sz w:val="24"/>
        </w:rPr>
        <w:t xml:space="preserve">автоматического пожаротушения;</w:t>
      </w:r>
    </w:p>
    <w:p>
      <w:pPr>
        <w:pStyle w:val="0"/>
        <w:spacing w:before="240" w:lineRule="auto"/>
        <w:ind w:firstLine="540"/>
        <w:jc w:val="both"/>
      </w:pPr>
      <w:r>
        <w:rPr>
          <w:sz w:val="24"/>
        </w:rPr>
        <w:t xml:space="preserve">охранной сигнализации.</w:t>
      </w:r>
    </w:p>
    <w:p>
      <w:pPr>
        <w:pStyle w:val="0"/>
        <w:spacing w:before="240" w:lineRule="auto"/>
        <w:ind w:firstLine="540"/>
        <w:jc w:val="both"/>
      </w:pPr>
      <w:r>
        <w:rPr>
          <w:sz w:val="24"/>
        </w:rPr>
        <w:t xml:space="preserve">Системы автоматической пожарной сигнализации и установки автоматического пожаротушения следует сблокировать с быстродействующими электромагнитными клапанами, установленными на вводе газопровода в АИТ.</w:t>
      </w:r>
    </w:p>
    <w:p>
      <w:pPr>
        <w:pStyle w:val="0"/>
        <w:spacing w:before="240" w:lineRule="auto"/>
        <w:ind w:firstLine="540"/>
        <w:jc w:val="both"/>
      </w:pPr>
      <w:r>
        <w:rPr>
          <w:sz w:val="24"/>
        </w:rPr>
        <w:t xml:space="preserve">Предел огнестойкости несущих и ограждающих конструкций помещения АИТ должен быть не менее EI 45 (классификация по ГОСТ 30247.0-94, </w:t>
      </w:r>
      <w:hyperlink w:history="0" r:id="rId177"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раздел 10</w:t>
        </w:r>
      </w:hyperlink>
      <w:r>
        <w:rPr>
          <w:sz w:val="24"/>
        </w:rPr>
        <w:t xml:space="preserve">) и класса К0 по пожарной опасности.</w:t>
      </w:r>
    </w:p>
    <w:p>
      <w:pPr>
        <w:pStyle w:val="0"/>
        <w:jc w:val="both"/>
      </w:pPr>
      <w:r>
        <w:rPr>
          <w:sz w:val="24"/>
        </w:rPr>
        <w:t xml:space="preserve">(в ред. </w:t>
      </w:r>
      <w:hyperlink w:history="0" r:id="rId17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6.14 Для снижения уровня шума и вибраций от оборудования котельной (насосы, горелки котлов, дымовые трубы) необходимо соблюдать требования </w:t>
      </w:r>
      <w:hyperlink w:history="0" r:id="rId179" w:tooltip="&quot;СП 77.13330.2016. Свод правил. Системы автоматизации. Актуализированная редакция СНиП 3.05.07-85&quot; (утв. Приказом Минстроя России от 20.10.2016 N 727/пр) {КонсультантПлюс}">
        <w:r>
          <w:rPr>
            <w:sz w:val="24"/>
            <w:color w:val="0000ff"/>
          </w:rPr>
          <w:t xml:space="preserve">СП 77.13330</w:t>
        </w:r>
      </w:hyperlink>
      <w:r>
        <w:rPr>
          <w:sz w:val="24"/>
        </w:rPr>
        <w:t xml:space="preserve">, а также:</w:t>
      </w:r>
    </w:p>
    <w:p>
      <w:pPr>
        <w:pStyle w:val="0"/>
        <w:spacing w:before="240" w:lineRule="auto"/>
        <w:ind w:firstLine="540"/>
        <w:jc w:val="both"/>
      </w:pPr>
      <w:r>
        <w:rPr>
          <w:sz w:val="24"/>
        </w:rPr>
        <w:t xml:space="preserve">устраивать плавающий пол;</w:t>
      </w:r>
    </w:p>
    <w:p>
      <w:pPr>
        <w:pStyle w:val="0"/>
        <w:spacing w:before="240" w:lineRule="auto"/>
        <w:ind w:firstLine="540"/>
        <w:jc w:val="both"/>
      </w:pPr>
      <w:r>
        <w:rPr>
          <w:sz w:val="24"/>
        </w:rPr>
        <w:t xml:space="preserve">устанавливать акустические гильзы на вводе коммуникаций в помещение АИТ;</w:t>
      </w:r>
    </w:p>
    <w:p>
      <w:pPr>
        <w:pStyle w:val="0"/>
        <w:spacing w:before="240" w:lineRule="auto"/>
        <w:ind w:firstLine="540"/>
        <w:jc w:val="both"/>
      </w:pPr>
      <w:r>
        <w:rPr>
          <w:sz w:val="24"/>
        </w:rPr>
        <w:t xml:space="preserve">крепить трубопроводы к стенам с помощью хомутов через упругие прокладки.</w:t>
      </w:r>
    </w:p>
    <w:p>
      <w:pPr>
        <w:pStyle w:val="0"/>
        <w:spacing w:before="240" w:lineRule="auto"/>
        <w:ind w:firstLine="540"/>
        <w:jc w:val="both"/>
      </w:pPr>
      <w:r>
        <w:rPr>
          <w:sz w:val="24"/>
        </w:rPr>
        <w:t xml:space="preserve">6.15 Помещение АИТ следует оснащать средствами пожаротушения в соответствии с требованиями </w:t>
      </w:r>
      <w:hyperlink w:history="0" r:id="rId18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jc w:val="both"/>
      </w:pPr>
      <w:r>
        <w:rPr>
          <w:sz w:val="24"/>
        </w:rPr>
        <w:t xml:space="preserve">(в ред. </w:t>
      </w:r>
      <w:hyperlink w:history="0" r:id="rId18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На лестничных площадках, выходящих на крышу здания, следует предусмотреть шкафы с пожарными кранами.</w:t>
      </w:r>
    </w:p>
    <w:p>
      <w:pPr>
        <w:pStyle w:val="0"/>
        <w:spacing w:before="240" w:lineRule="auto"/>
        <w:ind w:firstLine="540"/>
        <w:jc w:val="both"/>
      </w:pPr>
      <w:r>
        <w:rPr>
          <w:sz w:val="24"/>
        </w:rPr>
        <w:t xml:space="preserve">6.16 Системы газоснабжения АИТ, использующие в качестве топлива природный газ и обеспеченные автоматической системой безопасности, контроля и регулирования, должны соответствовать требованиям </w:t>
      </w:r>
      <w:hyperlink w:history="0" r:id="rId182"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 и настоящего свода правил.</w:t>
      </w:r>
    </w:p>
    <w:p>
      <w:pPr>
        <w:pStyle w:val="0"/>
        <w:jc w:val="both"/>
      </w:pPr>
      <w:r>
        <w:rPr>
          <w:sz w:val="24"/>
        </w:rPr>
        <w:t xml:space="preserve">(в ред. </w:t>
      </w:r>
      <w:hyperlink w:history="0" r:id="rId18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6.17 Давление газа в газопроводах, проходящих в помещении АИТ, не должно превышать максимально допустимого давления, указанного в технических данных котельного оборудования (котла).</w:t>
      </w:r>
    </w:p>
    <w:p>
      <w:pPr>
        <w:pStyle w:val="0"/>
        <w:spacing w:before="240" w:lineRule="auto"/>
        <w:ind w:firstLine="540"/>
        <w:jc w:val="both"/>
      </w:pPr>
      <w:r>
        <w:rPr>
          <w:sz w:val="24"/>
        </w:rPr>
        <w:t xml:space="preserve">Подключение к газопроводу других потребителей не допускается.</w:t>
      </w:r>
    </w:p>
    <w:p>
      <w:pPr>
        <w:pStyle w:val="0"/>
        <w:spacing w:before="240" w:lineRule="auto"/>
        <w:ind w:firstLine="540"/>
        <w:jc w:val="both"/>
      </w:pPr>
      <w:r>
        <w:rPr>
          <w:sz w:val="24"/>
        </w:rPr>
        <w:t xml:space="preserve">Перед вводом газопровода в помещение АИТ необходимо установить ШГРП. При размещении ШГРП необходимо обеспечивать доступ для его регулярного контроля и осмотра.</w:t>
      </w:r>
    </w:p>
    <w:p>
      <w:pPr>
        <w:pStyle w:val="0"/>
        <w:spacing w:before="240" w:lineRule="auto"/>
        <w:ind w:firstLine="540"/>
        <w:jc w:val="both"/>
      </w:pPr>
      <w:r>
        <w:rPr>
          <w:sz w:val="24"/>
        </w:rPr>
        <w:t xml:space="preserve">ШГРП допускается устанавливать на стене АИТ. Допускается установка газораспределительного устройства (ГРУ) внутри помещения АИТ.</w:t>
      </w:r>
    </w:p>
    <w:p>
      <w:pPr>
        <w:pStyle w:val="0"/>
        <w:spacing w:before="240" w:lineRule="auto"/>
        <w:ind w:firstLine="540"/>
        <w:jc w:val="both"/>
      </w:pPr>
      <w:r>
        <w:rPr>
          <w:sz w:val="24"/>
        </w:rPr>
        <w:t xml:space="preserve">6.18 Газопроводы следует прокладывать открыто, обеспечивая доступ для их регулярного осмотра и контроля.</w:t>
      </w:r>
    </w:p>
    <w:p>
      <w:pPr>
        <w:pStyle w:val="0"/>
        <w:jc w:val="both"/>
      </w:pPr>
      <w:r>
        <w:rPr>
          <w:sz w:val="24"/>
        </w:rPr>
        <w:t xml:space="preserve">(п. 6.18 в ред. </w:t>
      </w:r>
      <w:hyperlink w:history="0" r:id="rId18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6.19 При применении в АИТ конденсационной техники для выработки тепла, конденсат от котлов допускается сбрасывать в хозяйственно-бытовую канализацию здания после его нейтрализации.</w:t>
      </w:r>
    </w:p>
    <w:p>
      <w:pPr>
        <w:pStyle w:val="0"/>
        <w:jc w:val="both"/>
      </w:pPr>
      <w:r>
        <w:rPr>
          <w:sz w:val="24"/>
        </w:rPr>
        <w:t xml:space="preserve">(п. 6.19 в ред. </w:t>
      </w:r>
      <w:hyperlink w:history="0" r:id="rId18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6.20 Продувочные и сбросные газопроводы от АИТ и ШГРП (при его наличии) следует выводить наружу в места, в которых должны быть обеспечены безопасные условия для рассеивания газа, но не менее чем на 1 м выше карниза крыши помещения АИТ. Расстояние от концевых участков продувочных и сбросных трубопроводов до мест расположения воздухозаборных отверстий систем противодымной приточной вентиляции должно быть не менее 3 м.</w:t>
      </w:r>
    </w:p>
    <w:p>
      <w:pPr>
        <w:pStyle w:val="0"/>
        <w:spacing w:before="240" w:lineRule="auto"/>
        <w:ind w:firstLine="540"/>
        <w:jc w:val="both"/>
      </w:pPr>
      <w:r>
        <w:rPr>
          <w:sz w:val="24"/>
        </w:rPr>
        <w:t xml:space="preserve">6.21 Отвод газов (продуктов горения) для котлов, работающих под наддувом, следует выполнять через индивидуальные дымовые трубы.</w:t>
      </w:r>
    </w:p>
    <w:p>
      <w:pPr>
        <w:pStyle w:val="0"/>
        <w:spacing w:before="240" w:lineRule="auto"/>
        <w:ind w:firstLine="540"/>
        <w:jc w:val="both"/>
      </w:pPr>
      <w:r>
        <w:rPr>
          <w:sz w:val="24"/>
        </w:rPr>
        <w:t xml:space="preserve">Отвод газов для котлов с атмосферными горелками допускается выполнять в общий газоход в соответствии с аэродинамическим расчетом. Высота труб должна быть выше:</w:t>
      </w:r>
    </w:p>
    <w:p>
      <w:pPr>
        <w:pStyle w:val="0"/>
        <w:jc w:val="both"/>
      </w:pPr>
      <w:r>
        <w:rPr>
          <w:sz w:val="24"/>
        </w:rPr>
        <w:t xml:space="preserve">(в ред. </w:t>
      </w:r>
      <w:hyperlink w:history="0" r:id="rId18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границы ветрового подпора;</w:t>
      </w:r>
    </w:p>
    <w:p>
      <w:pPr>
        <w:pStyle w:val="0"/>
        <w:spacing w:before="240" w:lineRule="auto"/>
        <w:ind w:firstLine="540"/>
        <w:jc w:val="both"/>
      </w:pPr>
      <w:r>
        <w:rPr>
          <w:sz w:val="24"/>
        </w:rPr>
        <w:t xml:space="preserve">карниза крыши помещения АИТ не менее чем на 0,5 м;</w:t>
      </w:r>
    </w:p>
    <w:p>
      <w:pPr>
        <w:pStyle w:val="0"/>
        <w:spacing w:before="240" w:lineRule="auto"/>
        <w:ind w:firstLine="540"/>
        <w:jc w:val="both"/>
      </w:pPr>
      <w:r>
        <w:rPr>
          <w:sz w:val="24"/>
        </w:rPr>
        <w:t xml:space="preserve">крыши наиболее высокой части здания в зоне влияния источника выброса АИТ по фактору загрязнений атмосферы не менее чем на 2 м.</w:t>
      </w:r>
    </w:p>
    <w:p>
      <w:pPr>
        <w:pStyle w:val="0"/>
        <w:spacing w:before="240" w:lineRule="auto"/>
        <w:ind w:firstLine="540"/>
        <w:jc w:val="both"/>
      </w:pPr>
      <w:r>
        <w:rPr>
          <w:sz w:val="24"/>
        </w:rPr>
        <w:t xml:space="preserve">6.22 Газоходы и дымовые трубы следует предусматривать газоплотными, стальными, с тепловой изоляцией и покровным слоем из негорючих материалов, с люками для осмотра и прочистки. Температура на поверхности покровного слоя тепловой изоляции должна быть не более 50 °C.</w:t>
      </w:r>
    </w:p>
    <w:p>
      <w:pPr>
        <w:pStyle w:val="0"/>
        <w:spacing w:before="240" w:lineRule="auto"/>
        <w:ind w:firstLine="540"/>
        <w:jc w:val="both"/>
      </w:pPr>
      <w:r>
        <w:rPr>
          <w:sz w:val="24"/>
        </w:rPr>
        <w:t xml:space="preserve">6.23 Для достижения максимального значения энергетической эффективности системы теплоснабжения в АИТ высотного здания следует применять схему количественного регулирования отпуска теплоты (при постоянной температуре в подающем трубопроводе и переменном расходе приготавливаемой воды).</w:t>
      </w:r>
    </w:p>
    <w:p>
      <w:pPr>
        <w:pStyle w:val="0"/>
        <w:spacing w:before="240" w:lineRule="auto"/>
        <w:ind w:firstLine="540"/>
        <w:jc w:val="both"/>
      </w:pPr>
      <w:r>
        <w:rPr>
          <w:sz w:val="24"/>
        </w:rPr>
        <w:t xml:space="preserve">В ИТП высотного здания, обеспечивающих теплоснабжение отдельных зон по высоте, следует применять схему количественно-качественного регулирования потребления теплоты с применением циркуляционных насосов с регулируемым приводом.</w:t>
      </w:r>
    </w:p>
    <w:p>
      <w:pPr>
        <w:pStyle w:val="0"/>
        <w:spacing w:before="240" w:lineRule="auto"/>
        <w:ind w:firstLine="540"/>
        <w:jc w:val="both"/>
      </w:pPr>
      <w:r>
        <w:rPr>
          <w:sz w:val="24"/>
        </w:rPr>
        <w:t xml:space="preserve">Число насосов должно соответствовать режиму работы систем теплоснабжения и возможного изменения расхода теплоносителя, при этом должно быть предусмотрено 100%-ное резервирование.</w:t>
      </w:r>
    </w:p>
    <w:p>
      <w:pPr>
        <w:pStyle w:val="0"/>
        <w:jc w:val="both"/>
      </w:pPr>
      <w:r>
        <w:rPr>
          <w:sz w:val="24"/>
        </w:rPr>
        <w:t xml:space="preserve">(в ред. </w:t>
      </w:r>
      <w:hyperlink w:history="0" r:id="rId18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6.24 Для предотвращения опорожнения котла на подающем и обратном трубопроводах воды на выходе из АИТ следует устанавливать автоматические запорные клапаны.</w:t>
      </w:r>
    </w:p>
    <w:p>
      <w:pPr>
        <w:pStyle w:val="0"/>
        <w:spacing w:before="240" w:lineRule="auto"/>
        <w:ind w:firstLine="540"/>
        <w:jc w:val="both"/>
      </w:pPr>
      <w:r>
        <w:rPr>
          <w:sz w:val="24"/>
        </w:rPr>
        <w:t xml:space="preserve">6.25 Для подпитки первичного контура и заполнения внутренних систем в АИТ следует предусматривать водоподготовительную установку (ВПУ) и бак запаса химически очищенной воды.</w:t>
      </w:r>
    </w:p>
    <w:p>
      <w:pPr>
        <w:pStyle w:val="0"/>
        <w:spacing w:before="240" w:lineRule="auto"/>
        <w:ind w:firstLine="540"/>
        <w:jc w:val="both"/>
      </w:pPr>
      <w:r>
        <w:rPr>
          <w:sz w:val="24"/>
        </w:rPr>
        <w:t xml:space="preserve">Качество воды должно соответствовать требованиям, установленным для каждого типа котла.</w:t>
      </w:r>
    </w:p>
    <w:p>
      <w:pPr>
        <w:pStyle w:val="0"/>
        <w:jc w:val="both"/>
      </w:pPr>
      <w:r>
        <w:rPr>
          <w:sz w:val="24"/>
        </w:rPr>
        <w:t xml:space="preserve">(п. 6.25 в ред. </w:t>
      </w:r>
      <w:hyperlink w:history="0" r:id="rId18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6.26 В соответствии с требованиями [</w:t>
      </w:r>
      <w:hyperlink w:history="0" w:anchor="P3091" w:tooltip="[6] ПУЭ Правила устройства электроустановок (7-е изд.)">
        <w:r>
          <w:rPr>
            <w:sz w:val="24"/>
            <w:color w:val="0000ff"/>
          </w:rPr>
          <w:t xml:space="preserve">6</w:t>
        </w:r>
      </w:hyperlink>
      <w:r>
        <w:rPr>
          <w:sz w:val="24"/>
        </w:rPr>
        <w:t xml:space="preserve">, </w:t>
      </w:r>
      <w:hyperlink w:history="0" r:id="rId189"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1.2.18</w:t>
        </w:r>
      </w:hyperlink>
      <w:r>
        <w:rPr>
          <w:sz w:val="24"/>
        </w:rPr>
        <w:t xml:space="preserve">] по первой категории надежности следует выполнять электроснабжение:</w:t>
      </w:r>
    </w:p>
    <w:p>
      <w:pPr>
        <w:pStyle w:val="0"/>
        <w:jc w:val="both"/>
      </w:pPr>
      <w:r>
        <w:rPr>
          <w:sz w:val="24"/>
        </w:rPr>
        <w:t xml:space="preserve">(в ред. </w:t>
      </w:r>
      <w:hyperlink w:history="0" r:id="rId19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 электроприемников систем контроля загазованности помещения АИТ;</w:t>
      </w:r>
    </w:p>
    <w:p>
      <w:pPr>
        <w:pStyle w:val="0"/>
        <w:spacing w:before="240" w:lineRule="auto"/>
        <w:ind w:firstLine="540"/>
        <w:jc w:val="both"/>
      </w:pPr>
      <w:r>
        <w:rPr>
          <w:sz w:val="24"/>
        </w:rPr>
        <w:t xml:space="preserve">- охранной сигнализации;</w:t>
      </w:r>
    </w:p>
    <w:p>
      <w:pPr>
        <w:pStyle w:val="0"/>
        <w:spacing w:before="240" w:lineRule="auto"/>
        <w:ind w:firstLine="540"/>
        <w:jc w:val="both"/>
      </w:pPr>
      <w:r>
        <w:rPr>
          <w:sz w:val="24"/>
        </w:rPr>
        <w:t xml:space="preserve">- аварийного освещения;</w:t>
      </w:r>
    </w:p>
    <w:p>
      <w:pPr>
        <w:pStyle w:val="0"/>
        <w:spacing w:before="240" w:lineRule="auto"/>
        <w:ind w:firstLine="540"/>
        <w:jc w:val="both"/>
      </w:pPr>
      <w:r>
        <w:rPr>
          <w:sz w:val="24"/>
        </w:rPr>
        <w:t xml:space="preserve">- вытяжных вентиляторов систем вентиляции, обслуживающих АИТ.</w:t>
      </w:r>
    </w:p>
    <w:p>
      <w:pPr>
        <w:pStyle w:val="0"/>
        <w:spacing w:before="240" w:lineRule="auto"/>
        <w:ind w:firstLine="540"/>
        <w:jc w:val="both"/>
      </w:pPr>
      <w:r>
        <w:rPr>
          <w:sz w:val="24"/>
        </w:rPr>
        <w:t xml:space="preserve">Электроснабжение всех противопожарных систем следует выполнять по особой группе первой категории надежности электроснабжения.</w:t>
      </w:r>
    </w:p>
    <w:p>
      <w:pPr>
        <w:pStyle w:val="0"/>
        <w:spacing w:before="240" w:lineRule="auto"/>
        <w:ind w:firstLine="540"/>
        <w:jc w:val="both"/>
      </w:pPr>
      <w:r>
        <w:rPr>
          <w:sz w:val="24"/>
        </w:rPr>
        <w:t xml:space="preserve">6.27 Электродвигатели, пусковую аппаратуру, аппараты управления, светильники и проводки следует выбирать в соответствии с характеристикой помещения АИТ и учетом условий среды.</w:t>
      </w:r>
    </w:p>
    <w:p>
      <w:pPr>
        <w:pStyle w:val="0"/>
        <w:spacing w:before="240" w:lineRule="auto"/>
        <w:ind w:firstLine="540"/>
        <w:jc w:val="both"/>
      </w:pPr>
      <w:r>
        <w:rPr>
          <w:sz w:val="24"/>
        </w:rPr>
        <w:t xml:space="preserve">Электродвигатели вытяжных вентиляторов систем вентиляции, обслуживающих АИТ и пусковую аппаратуру оборудования, необходимо применять как для помещений класса B-1. Пусковая аппаратура электродвигателей должна быть установлена в помещении АИТ.</w:t>
      </w:r>
    </w:p>
    <w:p>
      <w:pPr>
        <w:pStyle w:val="0"/>
        <w:jc w:val="both"/>
      </w:pPr>
      <w:r>
        <w:rPr>
          <w:sz w:val="24"/>
        </w:rPr>
        <w:t xml:space="preserve">(в ред. </w:t>
      </w:r>
      <w:hyperlink w:history="0" r:id="rId19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6.28 В помещении АИТ кроме основного электрического освещения следует выполнять отдельную групповую линию освещения основных проходов. Электропроводка и светильники отдельной групповой линии освещения должны соответствовать классу помещений В-1а. Выключатели следует устанавливать вне помещения АИТ.</w:t>
      </w:r>
    </w:p>
    <w:p>
      <w:pPr>
        <w:pStyle w:val="0"/>
        <w:spacing w:before="240" w:lineRule="auto"/>
        <w:ind w:firstLine="540"/>
        <w:jc w:val="both"/>
      </w:pPr>
      <w:r>
        <w:rPr>
          <w:sz w:val="24"/>
        </w:rPr>
        <w:t xml:space="preserve">6.29 Систему вентиляции АИТ следует выполнять отдельной от систем вентиляции здания.</w:t>
      </w:r>
    </w:p>
    <w:p>
      <w:pPr>
        <w:pStyle w:val="0"/>
        <w:spacing w:before="240" w:lineRule="auto"/>
        <w:ind w:firstLine="540"/>
        <w:jc w:val="both"/>
      </w:pPr>
      <w:r>
        <w:rPr>
          <w:sz w:val="24"/>
        </w:rPr>
        <w:t xml:space="preserve">6.30 Расход приточного воздуха следует определять расчетом, но не менее трехкратного воздухообмена, с учетом требуемого расхода воздуха на горение топлива.</w:t>
      </w:r>
    </w:p>
    <w:p>
      <w:pPr>
        <w:pStyle w:val="0"/>
        <w:jc w:val="both"/>
      </w:pPr>
      <w:r>
        <w:rPr>
          <w:sz w:val="24"/>
        </w:rPr>
      </w:r>
    </w:p>
    <w:p>
      <w:pPr>
        <w:pStyle w:val="2"/>
        <w:outlineLvl w:val="1"/>
        <w:ind w:firstLine="540"/>
        <w:jc w:val="both"/>
      </w:pPr>
      <w:r>
        <w:rPr>
          <w:sz w:val="24"/>
        </w:rPr>
        <w:t xml:space="preserve">7 Системы отопления</w:t>
      </w:r>
    </w:p>
    <w:p>
      <w:pPr>
        <w:pStyle w:val="0"/>
        <w:jc w:val="both"/>
      </w:pPr>
      <w:r>
        <w:rPr>
          <w:sz w:val="24"/>
        </w:rPr>
      </w:r>
    </w:p>
    <w:p>
      <w:pPr>
        <w:pStyle w:val="0"/>
        <w:ind w:firstLine="540"/>
        <w:jc w:val="both"/>
      </w:pPr>
      <w:r>
        <w:rPr>
          <w:sz w:val="24"/>
        </w:rPr>
        <w:t xml:space="preserve">7.1 Потери теплоты наружными ограждающими конструкциями следует рассчитывать с учетом изменения скорости и температуры наружного воздуха по высоте зданий. При этом следует применять </w:t>
      </w:r>
      <w:hyperlink w:history="0" r:id="rId19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Расчетную температуру внутреннего воздуха для расчета теплотехнических характеристик ограждающих конструкций следует принимать в соответствии с требуемыми параметрами температурного режима, а при их отсутствии, равной 18 °C или по технологическим требованиям.</w:t>
      </w:r>
    </w:p>
    <w:p>
      <w:pPr>
        <w:pStyle w:val="0"/>
        <w:spacing w:before="240" w:lineRule="auto"/>
        <w:ind w:firstLine="540"/>
        <w:jc w:val="both"/>
      </w:pPr>
      <w:r>
        <w:rPr>
          <w:sz w:val="24"/>
        </w:rPr>
        <w:t xml:space="preserve">7.2 В высотных зданиях можно применять следующие системы отопления:</w:t>
      </w:r>
    </w:p>
    <w:p>
      <w:pPr>
        <w:pStyle w:val="0"/>
        <w:spacing w:before="240" w:lineRule="auto"/>
        <w:ind w:firstLine="540"/>
        <w:jc w:val="both"/>
      </w:pPr>
      <w:r>
        <w:rPr>
          <w:sz w:val="24"/>
        </w:rPr>
        <w:t xml:space="preserve">водяные двухтрубные с горизонтальной разводкой по этажам;</w:t>
      </w:r>
    </w:p>
    <w:p>
      <w:pPr>
        <w:pStyle w:val="0"/>
        <w:spacing w:before="240" w:lineRule="auto"/>
        <w:ind w:firstLine="540"/>
        <w:jc w:val="both"/>
      </w:pPr>
      <w:r>
        <w:rPr>
          <w:sz w:val="24"/>
        </w:rPr>
        <w:t xml:space="preserve">воздушные, с отопительными воздушными агрегатами в пределах одного помещения;</w:t>
      </w:r>
    </w:p>
    <w:p>
      <w:pPr>
        <w:pStyle w:val="0"/>
        <w:spacing w:before="240" w:lineRule="auto"/>
        <w:ind w:firstLine="540"/>
        <w:jc w:val="both"/>
      </w:pPr>
      <w:r>
        <w:rPr>
          <w:sz w:val="24"/>
        </w:rPr>
        <w:t xml:space="preserve">воздушные, совмещенные с системой механической приточной вентиляции;</w:t>
      </w:r>
    </w:p>
    <w:p>
      <w:pPr>
        <w:pStyle w:val="0"/>
        <w:spacing w:before="240" w:lineRule="auto"/>
        <w:ind w:firstLine="540"/>
        <w:jc w:val="both"/>
      </w:pPr>
      <w:r>
        <w:rPr>
          <w:sz w:val="24"/>
        </w:rPr>
        <w:t xml:space="preserve">электрические по заданию на проектирование при условии получения ТУ от энергоснабжающей организации;</w:t>
      </w:r>
    </w:p>
    <w:p>
      <w:pPr>
        <w:pStyle w:val="0"/>
        <w:spacing w:before="240" w:lineRule="auto"/>
        <w:ind w:firstLine="540"/>
        <w:jc w:val="both"/>
      </w:pPr>
      <w:r>
        <w:rPr>
          <w:sz w:val="24"/>
        </w:rPr>
        <w:t xml:space="preserve">водяные напольные.</w:t>
      </w:r>
    </w:p>
    <w:p>
      <w:pPr>
        <w:pStyle w:val="0"/>
        <w:spacing w:before="240" w:lineRule="auto"/>
        <w:ind w:firstLine="540"/>
        <w:jc w:val="both"/>
      </w:pPr>
      <w:r>
        <w:rPr>
          <w:sz w:val="24"/>
        </w:rPr>
        <w:t xml:space="preserve">Допускается применять напольное электрическое отопление для подогрева пола ванных комнат, раздевалок и т.п. помещений.</w:t>
      </w:r>
    </w:p>
    <w:p>
      <w:pPr>
        <w:pStyle w:val="0"/>
        <w:spacing w:before="240" w:lineRule="auto"/>
        <w:ind w:firstLine="540"/>
        <w:jc w:val="both"/>
      </w:pPr>
      <w:r>
        <w:rPr>
          <w:sz w:val="24"/>
        </w:rPr>
        <w:t xml:space="preserve">7.3 Системы отопления высотных зданий необходимо делить по высоте зданий на зоны (зонировать). Высоту зоны следует определять с учетом допустимого гидростатического давления в элементах системы отопления.</w:t>
      </w:r>
    </w:p>
    <w:p>
      <w:pPr>
        <w:pStyle w:val="0"/>
        <w:spacing w:before="240" w:lineRule="auto"/>
        <w:ind w:firstLine="540"/>
        <w:jc w:val="both"/>
      </w:pPr>
      <w:r>
        <w:rPr>
          <w:sz w:val="24"/>
        </w:rPr>
        <w:t xml:space="preserve">Давление в любой точке каждой зоны при гидродинамическом режиме должно обеспечивать заполнение систем отопления водой и не превышать значения, допустимого по прочности для отопительных приборов, арматуры и трубопроводов, определяемого предприятием-изготовителем.</w:t>
      </w:r>
    </w:p>
    <w:p>
      <w:pPr>
        <w:pStyle w:val="0"/>
        <w:spacing w:before="240" w:lineRule="auto"/>
        <w:ind w:firstLine="540"/>
        <w:jc w:val="both"/>
      </w:pPr>
      <w:r>
        <w:rPr>
          <w:sz w:val="24"/>
        </w:rPr>
        <w:t xml:space="preserve">Не следует применять системы отопления с верхней разводкой подающей и обратной магистралей.</w:t>
      </w:r>
    </w:p>
    <w:p>
      <w:pPr>
        <w:pStyle w:val="0"/>
        <w:jc w:val="both"/>
      </w:pPr>
      <w:r>
        <w:rPr>
          <w:sz w:val="24"/>
        </w:rPr>
        <w:t xml:space="preserve">(абзац введен </w:t>
      </w:r>
      <w:hyperlink w:history="0" r:id="rId19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7.4 Температура теплоносителя в системах отопления каждой зоны высотного здания должна соответствовать требованиям </w:t>
      </w:r>
      <w:hyperlink w:history="0" r:id="rId194"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 не более 95 °C - в системах с трубопроводами из стальных или медных труб;</w:t>
      </w:r>
    </w:p>
    <w:p>
      <w:pPr>
        <w:pStyle w:val="0"/>
        <w:spacing w:before="240" w:lineRule="auto"/>
        <w:ind w:firstLine="540"/>
        <w:jc w:val="both"/>
      </w:pPr>
      <w:r>
        <w:rPr>
          <w:sz w:val="24"/>
        </w:rPr>
        <w:t xml:space="preserve">- не более 90 °C - в системах с трубопроводами из полимерных труб, разрешенных к применению в строительстве в системах отопления с соответствующим сертификатом.</w:t>
      </w:r>
    </w:p>
    <w:p>
      <w:pPr>
        <w:pStyle w:val="0"/>
        <w:spacing w:before="240" w:lineRule="auto"/>
        <w:ind w:firstLine="540"/>
        <w:jc w:val="both"/>
      </w:pPr>
      <w:r>
        <w:rPr>
          <w:sz w:val="24"/>
        </w:rPr>
        <w:t xml:space="preserve">7.5 Отопительные приборы, запорную и регулирующую арматуру и трубопроводы следует выбирать с учетом гидростатического и рабочего давлений в системе отопления каждой зоны, а также предельного пробного давления при гидравлическом испытании. В соответствии с </w:t>
      </w:r>
      <w:hyperlink w:history="0" r:id="rId195"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 рабочее давление следует принимать на 10% ниже допустимого рабочего давления для всех элементов системы отопления.</w:t>
      </w:r>
    </w:p>
    <w:bookmarkStart w:id="513" w:name="P513"/>
    <w:bookmarkEnd w:id="513"/>
    <w:p>
      <w:pPr>
        <w:pStyle w:val="0"/>
        <w:spacing w:before="240" w:lineRule="auto"/>
        <w:ind w:firstLine="540"/>
        <w:jc w:val="both"/>
      </w:pPr>
      <w:r>
        <w:rPr>
          <w:sz w:val="24"/>
        </w:rPr>
        <w:t xml:space="preserve">7.6 Для защиты от электрохимической коррозии и блуждающих токов узлы прохода инженерных систем через строительные конструкции должны быть заземлены.</w:t>
      </w:r>
    </w:p>
    <w:p>
      <w:pPr>
        <w:pStyle w:val="0"/>
        <w:jc w:val="both"/>
      </w:pPr>
      <w:r>
        <w:rPr>
          <w:sz w:val="24"/>
        </w:rPr>
        <w:t xml:space="preserve">(в ред. </w:t>
      </w:r>
      <w:hyperlink w:history="0" r:id="rId19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Магистральные трубопроводы и стояки должны быть заземлены. Не допускается сочетание материалов, образующих электрохимическую пару.</w:t>
      </w:r>
    </w:p>
    <w:p>
      <w:pPr>
        <w:pStyle w:val="0"/>
        <w:spacing w:before="240" w:lineRule="auto"/>
        <w:ind w:firstLine="540"/>
        <w:jc w:val="both"/>
      </w:pPr>
      <w:r>
        <w:rPr>
          <w:sz w:val="24"/>
        </w:rPr>
        <w:t xml:space="preserve">7.7 Для обеспечения тепловой и гидравлической устойчивости, система отопления должна быть оборудована запорной арматурой и балансировочными клапанами, термостатическими клапанами на нагревательных приборах. В проектной документации следует указывать расчетные расходы теплоносителя через балансировочные клапаны.</w:t>
      </w:r>
    </w:p>
    <w:p>
      <w:pPr>
        <w:pStyle w:val="0"/>
        <w:jc w:val="both"/>
      </w:pPr>
      <w:r>
        <w:rPr>
          <w:sz w:val="24"/>
        </w:rPr>
        <w:t xml:space="preserve">(п. 7.7 в ред. </w:t>
      </w:r>
      <w:hyperlink w:history="0" r:id="rId19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7.8 В холодный период года допускается искусственное снижение температуры внутреннего воздуха ниже нормируемой, но не менее плюс 15 °C в жилых, общественных, административно-бытовых и производственных помещениях (холодильные установки, машинные отделения лифтов, венткамеры, насосные и др.), когда их не используют и в нерабочее время.</w:t>
      </w:r>
    </w:p>
    <w:p>
      <w:pPr>
        <w:pStyle w:val="0"/>
        <w:spacing w:before="240" w:lineRule="auto"/>
        <w:ind w:firstLine="540"/>
        <w:jc w:val="both"/>
      </w:pPr>
      <w:r>
        <w:rPr>
          <w:sz w:val="24"/>
        </w:rPr>
        <w:t xml:space="preserve">Снижение температуры во внерабочее время возможно только в случае, если иное не оговорено в техническом задании или регламенте.</w:t>
      </w:r>
    </w:p>
    <w:p>
      <w:pPr>
        <w:pStyle w:val="0"/>
        <w:spacing w:before="240" w:lineRule="auto"/>
        <w:ind w:firstLine="540"/>
        <w:jc w:val="both"/>
      </w:pPr>
      <w:r>
        <w:rPr>
          <w:sz w:val="24"/>
        </w:rPr>
        <w:t xml:space="preserve">К началу рабочего времени температура воздуха в этих помещениях должна соответствовать нормативной, что достигается автоматическим управлением работой систем отопления, воздушного отопления или системой подогрева помещений фанкойлами.</w:t>
      </w:r>
    </w:p>
    <w:p>
      <w:pPr>
        <w:pStyle w:val="0"/>
        <w:jc w:val="both"/>
      </w:pPr>
      <w:r>
        <w:rPr>
          <w:sz w:val="24"/>
        </w:rPr>
      </w:r>
    </w:p>
    <w:p>
      <w:pPr>
        <w:pStyle w:val="2"/>
        <w:outlineLvl w:val="1"/>
        <w:ind w:firstLine="540"/>
        <w:jc w:val="both"/>
      </w:pPr>
      <w:r>
        <w:rPr>
          <w:sz w:val="24"/>
        </w:rPr>
        <w:t xml:space="preserve">8 Системы вентиляции и кондиционирования</w:t>
      </w:r>
    </w:p>
    <w:p>
      <w:pPr>
        <w:pStyle w:val="0"/>
        <w:jc w:val="both"/>
      </w:pPr>
      <w:r>
        <w:rPr>
          <w:sz w:val="24"/>
        </w:rPr>
      </w:r>
    </w:p>
    <w:p>
      <w:pPr>
        <w:pStyle w:val="0"/>
        <w:ind w:firstLine="540"/>
        <w:jc w:val="both"/>
      </w:pPr>
      <w:r>
        <w:rPr>
          <w:sz w:val="24"/>
        </w:rPr>
        <w:t xml:space="preserve">8.1 Расчетные параметры наружного воздуха для систем вентиляции и кондиционирования высотного здания следует принимать по техническому заданию, но не ниже, чем по параметрам Б </w:t>
      </w:r>
      <w:hyperlink w:history="0" r:id="rId19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 </w:t>
      </w:r>
      <w:hyperlink w:history="0" r:id="rId19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jc w:val="both"/>
      </w:pPr>
      <w:r>
        <w:rPr>
          <w:sz w:val="24"/>
        </w:rPr>
        <w:t xml:space="preserve">(в ред. </w:t>
      </w:r>
      <w:hyperlink w:history="0" r:id="rId20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8.2 Воздушный режим высотных зданий, параметров наружного воздуха в местах размещения воздухозаборных устройств и др. следует рассчитывать с учетом изменения скорости и температуры наружного воздуха по высоте зданий.</w:t>
      </w:r>
    </w:p>
    <w:p>
      <w:pPr>
        <w:pStyle w:val="0"/>
        <w:spacing w:before="240" w:lineRule="auto"/>
        <w:ind w:firstLine="540"/>
        <w:jc w:val="both"/>
      </w:pPr>
      <w:r>
        <w:rPr>
          <w:sz w:val="24"/>
        </w:rPr>
        <w:t xml:space="preserve">8.3 Параметры наружного воздуха следует принимать по </w:t>
      </w:r>
      <w:hyperlink w:history="0" r:id="rId201"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с учетом:</w:t>
      </w:r>
    </w:p>
    <w:p>
      <w:pPr>
        <w:pStyle w:val="0"/>
        <w:spacing w:before="240" w:lineRule="auto"/>
        <w:ind w:firstLine="540"/>
        <w:jc w:val="both"/>
      </w:pPr>
      <w:r>
        <w:rPr>
          <w:sz w:val="24"/>
        </w:rPr>
        <w:t xml:space="preserve">понижения температуры воздуха по высоте на 1 °C на каждые 100 м;</w:t>
      </w:r>
    </w:p>
    <w:p>
      <w:pPr>
        <w:pStyle w:val="0"/>
        <w:spacing w:before="240" w:lineRule="auto"/>
        <w:ind w:firstLine="540"/>
        <w:jc w:val="both"/>
      </w:pPr>
      <w:r>
        <w:rPr>
          <w:sz w:val="24"/>
        </w:rPr>
        <w:t xml:space="preserve">повышения скорости ветра в холодный период года (таблица 8.1);</w:t>
      </w:r>
    </w:p>
    <w:p>
      <w:pPr>
        <w:pStyle w:val="0"/>
        <w:spacing w:before="240" w:lineRule="auto"/>
        <w:ind w:firstLine="540"/>
        <w:jc w:val="both"/>
      </w:pPr>
      <w:r>
        <w:rPr>
          <w:sz w:val="24"/>
        </w:rPr>
        <w:t xml:space="preserve">появления мощных конвективных потоков на фасадах здания, облучаемых солнцем;</w:t>
      </w:r>
    </w:p>
    <w:p>
      <w:pPr>
        <w:pStyle w:val="0"/>
        <w:spacing w:before="240" w:lineRule="auto"/>
        <w:ind w:firstLine="540"/>
        <w:jc w:val="both"/>
      </w:pPr>
      <w:r>
        <w:rPr>
          <w:sz w:val="24"/>
        </w:rPr>
        <w:t xml:space="preserve">размещения воздухозаборных устройств в высотной части здания.</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rPr>
        <w:t xml:space="preserve">Коэффициент изменения расчетной скорости ветра</w:t>
      </w:r>
    </w:p>
    <w:p>
      <w:pPr>
        <w:pStyle w:val="0"/>
        <w:jc w:val="center"/>
      </w:pPr>
      <w:r>
        <w:rPr>
          <w:sz w:val="24"/>
        </w:rPr>
        <w:t xml:space="preserve">по высоте здания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737"/>
        <w:gridCol w:w="794"/>
        <w:gridCol w:w="794"/>
        <w:gridCol w:w="794"/>
        <w:gridCol w:w="794"/>
        <w:gridCol w:w="794"/>
        <w:gridCol w:w="794"/>
        <w:gridCol w:w="794"/>
        <w:gridCol w:w="737"/>
      </w:tblGrid>
      <w:tr>
        <w:tc>
          <w:tcPr>
            <w:tcW w:w="2041" w:type="dxa"/>
            <w:vAlign w:val="center"/>
            <w:vMerge w:val="restart"/>
          </w:tcPr>
          <w:p>
            <w:pPr>
              <w:pStyle w:val="0"/>
              <w:jc w:val="center"/>
            </w:pPr>
            <w:r>
              <w:rPr>
                <w:sz w:val="24"/>
              </w:rPr>
              <w:t xml:space="preserve">Высота, м</w:t>
            </w:r>
          </w:p>
        </w:tc>
        <w:tc>
          <w:tcPr>
            <w:gridSpan w:val="9"/>
            <w:tcW w:w="7032" w:type="dxa"/>
            <w:vAlign w:val="center"/>
          </w:tcPr>
          <w:p>
            <w:pPr>
              <w:pStyle w:val="0"/>
              <w:jc w:val="center"/>
            </w:pPr>
            <w:r>
              <w:rPr>
                <w:sz w:val="24"/>
              </w:rPr>
              <w:t xml:space="preserve">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 при расчетной скорости ветра, м/с</w:t>
            </w:r>
          </w:p>
        </w:tc>
      </w:tr>
      <w:tr>
        <w:tc>
          <w:tcPr>
            <w:vMerge w:val="continue"/>
          </w:tcPr>
          <w:p/>
        </w:tc>
        <w:tc>
          <w:tcPr>
            <w:tcW w:w="737" w:type="dxa"/>
            <w:vAlign w:val="center"/>
          </w:tcPr>
          <w:p>
            <w:pPr>
              <w:pStyle w:val="0"/>
              <w:jc w:val="center"/>
            </w:pPr>
            <w:r>
              <w:rPr>
                <w:sz w:val="24"/>
              </w:rPr>
              <w:t xml:space="preserve">2</w:t>
            </w:r>
          </w:p>
        </w:tc>
        <w:tc>
          <w:tcPr>
            <w:tcW w:w="794" w:type="dxa"/>
            <w:vAlign w:val="center"/>
          </w:tcPr>
          <w:p>
            <w:pPr>
              <w:pStyle w:val="0"/>
              <w:jc w:val="center"/>
            </w:pPr>
            <w:r>
              <w:rPr>
                <w:sz w:val="24"/>
              </w:rPr>
              <w:t xml:space="preserve">2,5</w:t>
            </w:r>
          </w:p>
        </w:tc>
        <w:tc>
          <w:tcPr>
            <w:tcW w:w="794" w:type="dxa"/>
            <w:vAlign w:val="center"/>
          </w:tcPr>
          <w:p>
            <w:pPr>
              <w:pStyle w:val="0"/>
              <w:jc w:val="center"/>
            </w:pPr>
            <w:r>
              <w:rPr>
                <w:sz w:val="24"/>
              </w:rPr>
              <w:t xml:space="preserve">3</w:t>
            </w:r>
          </w:p>
        </w:tc>
        <w:tc>
          <w:tcPr>
            <w:tcW w:w="794" w:type="dxa"/>
            <w:vAlign w:val="center"/>
          </w:tcPr>
          <w:p>
            <w:pPr>
              <w:pStyle w:val="0"/>
              <w:jc w:val="center"/>
            </w:pPr>
            <w:r>
              <w:rPr>
                <w:sz w:val="24"/>
              </w:rPr>
              <w:t xml:space="preserve">4</w:t>
            </w:r>
          </w:p>
        </w:tc>
        <w:tc>
          <w:tcPr>
            <w:tcW w:w="794" w:type="dxa"/>
            <w:vAlign w:val="center"/>
          </w:tcPr>
          <w:p>
            <w:pPr>
              <w:pStyle w:val="0"/>
              <w:jc w:val="center"/>
            </w:pPr>
            <w:r>
              <w:rPr>
                <w:sz w:val="24"/>
              </w:rPr>
              <w:t xml:space="preserve">5</w:t>
            </w:r>
          </w:p>
        </w:tc>
        <w:tc>
          <w:tcPr>
            <w:tcW w:w="794" w:type="dxa"/>
            <w:vAlign w:val="center"/>
          </w:tcPr>
          <w:p>
            <w:pPr>
              <w:pStyle w:val="0"/>
              <w:jc w:val="center"/>
            </w:pPr>
            <w:r>
              <w:rPr>
                <w:sz w:val="24"/>
              </w:rPr>
              <w:t xml:space="preserve">6</w:t>
            </w:r>
          </w:p>
        </w:tc>
        <w:tc>
          <w:tcPr>
            <w:tcW w:w="794" w:type="dxa"/>
            <w:vAlign w:val="center"/>
          </w:tcPr>
          <w:p>
            <w:pPr>
              <w:pStyle w:val="0"/>
              <w:jc w:val="center"/>
            </w:pPr>
            <w:r>
              <w:rPr>
                <w:sz w:val="24"/>
              </w:rPr>
              <w:t xml:space="preserve">7</w:t>
            </w:r>
          </w:p>
        </w:tc>
        <w:tc>
          <w:tcPr>
            <w:tcW w:w="794" w:type="dxa"/>
            <w:vAlign w:val="center"/>
          </w:tcPr>
          <w:p>
            <w:pPr>
              <w:pStyle w:val="0"/>
              <w:jc w:val="center"/>
            </w:pPr>
            <w:r>
              <w:rPr>
                <w:sz w:val="24"/>
              </w:rPr>
              <w:t xml:space="preserve">8</w:t>
            </w:r>
          </w:p>
        </w:tc>
        <w:tc>
          <w:tcPr>
            <w:tcW w:w="737" w:type="dxa"/>
            <w:vAlign w:val="center"/>
          </w:tcPr>
          <w:p>
            <w:pPr>
              <w:pStyle w:val="0"/>
              <w:jc w:val="center"/>
            </w:pPr>
            <w:r>
              <w:rPr>
                <w:sz w:val="24"/>
              </w:rPr>
              <w:t xml:space="preserve">10</w:t>
            </w:r>
          </w:p>
        </w:tc>
      </w:tr>
      <w:tr>
        <w:tc>
          <w:tcPr>
            <w:tcW w:w="2041" w:type="dxa"/>
          </w:tcPr>
          <w:p>
            <w:pPr>
              <w:pStyle w:val="0"/>
              <w:jc w:val="center"/>
            </w:pPr>
            <w:r>
              <w:rPr>
                <w:sz w:val="24"/>
              </w:rPr>
              <w:t xml:space="preserve">10</w:t>
            </w:r>
          </w:p>
        </w:tc>
        <w:tc>
          <w:tcPr>
            <w:tcW w:w="737"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37" w:type="dxa"/>
          </w:tcPr>
          <w:p>
            <w:pPr>
              <w:pStyle w:val="0"/>
              <w:jc w:val="center"/>
            </w:pPr>
            <w:r>
              <w:rPr>
                <w:sz w:val="24"/>
              </w:rPr>
              <w:t xml:space="preserve">1,0</w:t>
            </w:r>
          </w:p>
        </w:tc>
      </w:tr>
      <w:tr>
        <w:tc>
          <w:tcPr>
            <w:tcW w:w="2041" w:type="dxa"/>
          </w:tcPr>
          <w:p>
            <w:pPr>
              <w:pStyle w:val="0"/>
              <w:jc w:val="center"/>
            </w:pPr>
            <w:r>
              <w:rPr>
                <w:sz w:val="24"/>
              </w:rPr>
              <w:t xml:space="preserve">50</w:t>
            </w:r>
          </w:p>
        </w:tc>
        <w:tc>
          <w:tcPr>
            <w:tcW w:w="737" w:type="dxa"/>
          </w:tcPr>
          <w:p>
            <w:pPr>
              <w:pStyle w:val="0"/>
              <w:jc w:val="center"/>
            </w:pPr>
            <w:r>
              <w:rPr>
                <w:sz w:val="24"/>
              </w:rPr>
              <w:t xml:space="preserve">2,3</w:t>
            </w:r>
          </w:p>
        </w:tc>
        <w:tc>
          <w:tcPr>
            <w:tcW w:w="794" w:type="dxa"/>
          </w:tcPr>
          <w:p>
            <w:pPr>
              <w:pStyle w:val="0"/>
              <w:jc w:val="center"/>
            </w:pPr>
            <w:r>
              <w:rPr>
                <w:sz w:val="24"/>
              </w:rPr>
              <w:t xml:space="preserve">1,8</w:t>
            </w:r>
          </w:p>
        </w:tc>
        <w:tc>
          <w:tcPr>
            <w:tcW w:w="794" w:type="dxa"/>
          </w:tcPr>
          <w:p>
            <w:pPr>
              <w:pStyle w:val="0"/>
              <w:jc w:val="center"/>
            </w:pPr>
            <w:r>
              <w:rPr>
                <w:sz w:val="24"/>
              </w:rPr>
              <w:t xml:space="preserve">1,8</w:t>
            </w:r>
          </w:p>
        </w:tc>
        <w:tc>
          <w:tcPr>
            <w:tcW w:w="794" w:type="dxa"/>
          </w:tcPr>
          <w:p>
            <w:pPr>
              <w:pStyle w:val="0"/>
              <w:jc w:val="center"/>
            </w:pPr>
            <w:r>
              <w:rPr>
                <w:sz w:val="24"/>
              </w:rPr>
              <w:t xml:space="preserve">1,5</w:t>
            </w:r>
          </w:p>
        </w:tc>
        <w:tc>
          <w:tcPr>
            <w:tcW w:w="794" w:type="dxa"/>
          </w:tcPr>
          <w:p>
            <w:pPr>
              <w:pStyle w:val="0"/>
              <w:jc w:val="center"/>
            </w:pPr>
            <w:r>
              <w:rPr>
                <w:sz w:val="24"/>
              </w:rPr>
              <w:t xml:space="preserve">1,4</w:t>
            </w:r>
          </w:p>
        </w:tc>
        <w:tc>
          <w:tcPr>
            <w:tcW w:w="794" w:type="dxa"/>
          </w:tcPr>
          <w:p>
            <w:pPr>
              <w:pStyle w:val="0"/>
              <w:jc w:val="center"/>
            </w:pPr>
            <w:r>
              <w:rPr>
                <w:sz w:val="24"/>
              </w:rPr>
              <w:t xml:space="preserve">1,4</w:t>
            </w:r>
          </w:p>
        </w:tc>
        <w:tc>
          <w:tcPr>
            <w:tcW w:w="794" w:type="dxa"/>
          </w:tcPr>
          <w:p>
            <w:pPr>
              <w:pStyle w:val="0"/>
              <w:jc w:val="center"/>
            </w:pPr>
            <w:r>
              <w:rPr>
                <w:sz w:val="24"/>
              </w:rPr>
              <w:t xml:space="preserve">1,3</w:t>
            </w:r>
          </w:p>
        </w:tc>
        <w:tc>
          <w:tcPr>
            <w:tcW w:w="794" w:type="dxa"/>
          </w:tcPr>
          <w:p>
            <w:pPr>
              <w:pStyle w:val="0"/>
              <w:jc w:val="center"/>
            </w:pPr>
            <w:r>
              <w:rPr>
                <w:sz w:val="24"/>
              </w:rPr>
              <w:t xml:space="preserve">1,2</w:t>
            </w:r>
          </w:p>
        </w:tc>
        <w:tc>
          <w:tcPr>
            <w:tcW w:w="737" w:type="dxa"/>
          </w:tcPr>
          <w:p>
            <w:pPr>
              <w:pStyle w:val="0"/>
              <w:jc w:val="center"/>
            </w:pPr>
            <w:r>
              <w:rPr>
                <w:sz w:val="24"/>
              </w:rPr>
              <w:t xml:space="preserve">1,2</w:t>
            </w:r>
          </w:p>
        </w:tc>
      </w:tr>
      <w:tr>
        <w:tc>
          <w:tcPr>
            <w:tcW w:w="2041" w:type="dxa"/>
          </w:tcPr>
          <w:p>
            <w:pPr>
              <w:pStyle w:val="0"/>
              <w:jc w:val="center"/>
            </w:pPr>
            <w:r>
              <w:rPr>
                <w:sz w:val="24"/>
              </w:rPr>
              <w:t xml:space="preserve">100</w:t>
            </w:r>
          </w:p>
        </w:tc>
        <w:tc>
          <w:tcPr>
            <w:tcW w:w="737" w:type="dxa"/>
          </w:tcPr>
          <w:p>
            <w:pPr>
              <w:pStyle w:val="0"/>
              <w:jc w:val="center"/>
            </w:pPr>
            <w:r>
              <w:rPr>
                <w:sz w:val="24"/>
              </w:rPr>
              <w:t xml:space="preserve">2,8</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1,9</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94" w:type="dxa"/>
          </w:tcPr>
          <w:p>
            <w:pPr>
              <w:pStyle w:val="0"/>
              <w:jc w:val="center"/>
            </w:pPr>
            <w:r>
              <w:rPr>
                <w:sz w:val="24"/>
              </w:rPr>
              <w:t xml:space="preserve">1,5</w:t>
            </w:r>
          </w:p>
        </w:tc>
        <w:tc>
          <w:tcPr>
            <w:tcW w:w="794" w:type="dxa"/>
          </w:tcPr>
          <w:p>
            <w:pPr>
              <w:pStyle w:val="0"/>
              <w:jc w:val="center"/>
            </w:pPr>
            <w:r>
              <w:rPr>
                <w:sz w:val="24"/>
              </w:rPr>
              <w:t xml:space="preserve">1,4</w:t>
            </w:r>
          </w:p>
        </w:tc>
        <w:tc>
          <w:tcPr>
            <w:tcW w:w="737" w:type="dxa"/>
          </w:tcPr>
          <w:p>
            <w:pPr>
              <w:pStyle w:val="0"/>
              <w:jc w:val="center"/>
            </w:pPr>
            <w:r>
              <w:rPr>
                <w:sz w:val="24"/>
              </w:rPr>
              <w:t xml:space="preserve">1,2</w:t>
            </w:r>
          </w:p>
        </w:tc>
      </w:tr>
      <w:tr>
        <w:tc>
          <w:tcPr>
            <w:tcW w:w="2041" w:type="dxa"/>
          </w:tcPr>
          <w:p>
            <w:pPr>
              <w:pStyle w:val="0"/>
              <w:jc w:val="center"/>
            </w:pPr>
            <w:r>
              <w:rPr>
                <w:sz w:val="24"/>
              </w:rPr>
              <w:t xml:space="preserve">150</w:t>
            </w:r>
          </w:p>
        </w:tc>
        <w:tc>
          <w:tcPr>
            <w:tcW w:w="737"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94" w:type="dxa"/>
          </w:tcPr>
          <w:p>
            <w:pPr>
              <w:pStyle w:val="0"/>
              <w:jc w:val="center"/>
            </w:pPr>
            <w:r>
              <w:rPr>
                <w:sz w:val="24"/>
              </w:rPr>
              <w:t xml:space="preserve">1,6</w:t>
            </w:r>
          </w:p>
        </w:tc>
        <w:tc>
          <w:tcPr>
            <w:tcW w:w="737" w:type="dxa"/>
          </w:tcPr>
          <w:p>
            <w:pPr>
              <w:pStyle w:val="0"/>
              <w:jc w:val="center"/>
            </w:pPr>
            <w:r>
              <w:rPr>
                <w:sz w:val="24"/>
              </w:rPr>
              <w:t xml:space="preserve">1,4</w:t>
            </w:r>
          </w:p>
        </w:tc>
      </w:tr>
      <w:tr>
        <w:tc>
          <w:tcPr>
            <w:tcW w:w="2041" w:type="dxa"/>
          </w:tcPr>
          <w:p>
            <w:pPr>
              <w:pStyle w:val="0"/>
              <w:jc w:val="center"/>
            </w:pPr>
            <w:r>
              <w:rPr>
                <w:sz w:val="24"/>
              </w:rPr>
              <w:t xml:space="preserve">200</w:t>
            </w:r>
          </w:p>
        </w:tc>
        <w:tc>
          <w:tcPr>
            <w:tcW w:w="737" w:type="dxa"/>
          </w:tcPr>
          <w:p>
            <w:pPr>
              <w:pStyle w:val="0"/>
              <w:jc w:val="center"/>
            </w:pPr>
            <w:r>
              <w:rPr>
                <w:sz w:val="24"/>
              </w:rPr>
              <w:t xml:space="preserve">3,5</w:t>
            </w:r>
          </w:p>
        </w:tc>
        <w:tc>
          <w:tcPr>
            <w:tcW w:w="794" w:type="dxa"/>
          </w:tcPr>
          <w:p>
            <w:pPr>
              <w:pStyle w:val="0"/>
              <w:jc w:val="center"/>
            </w:pPr>
            <w:r>
              <w:rPr>
                <w:sz w:val="24"/>
              </w:rPr>
              <w:t xml:space="preserve">3,0</w:t>
            </w:r>
          </w:p>
        </w:tc>
        <w:tc>
          <w:tcPr>
            <w:tcW w:w="794" w:type="dxa"/>
          </w:tcPr>
          <w:p>
            <w:pPr>
              <w:pStyle w:val="0"/>
              <w:jc w:val="center"/>
            </w:pPr>
            <w:r>
              <w:rPr>
                <w:sz w:val="24"/>
              </w:rPr>
              <w:t xml:space="preserve">2,7</w:t>
            </w:r>
          </w:p>
        </w:tc>
        <w:tc>
          <w:tcPr>
            <w:tcW w:w="794" w:type="dxa"/>
          </w:tcPr>
          <w:p>
            <w:pPr>
              <w:pStyle w:val="0"/>
              <w:jc w:val="center"/>
            </w:pPr>
            <w:r>
              <w:rPr>
                <w:sz w:val="24"/>
              </w:rPr>
              <w:t xml:space="preserve">2,4</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37" w:type="dxa"/>
          </w:tcPr>
          <w:p>
            <w:pPr>
              <w:pStyle w:val="0"/>
              <w:jc w:val="center"/>
            </w:pPr>
            <w:r>
              <w:rPr>
                <w:sz w:val="24"/>
              </w:rPr>
              <w:t xml:space="preserve">1,4</w:t>
            </w:r>
          </w:p>
        </w:tc>
      </w:tr>
      <w:tr>
        <w:tc>
          <w:tcPr>
            <w:tcW w:w="2041" w:type="dxa"/>
          </w:tcPr>
          <w:p>
            <w:pPr>
              <w:pStyle w:val="0"/>
              <w:jc w:val="center"/>
            </w:pPr>
            <w:r>
              <w:rPr>
                <w:sz w:val="24"/>
              </w:rPr>
              <w:t xml:space="preserve">250</w:t>
            </w:r>
          </w:p>
        </w:tc>
        <w:tc>
          <w:tcPr>
            <w:tcW w:w="737" w:type="dxa"/>
          </w:tcPr>
          <w:p>
            <w:pPr>
              <w:pStyle w:val="0"/>
              <w:jc w:val="center"/>
            </w:pPr>
            <w:r>
              <w:rPr>
                <w:sz w:val="24"/>
              </w:rPr>
              <w:t xml:space="preserve">3,8</w:t>
            </w:r>
          </w:p>
        </w:tc>
        <w:tc>
          <w:tcPr>
            <w:tcW w:w="794"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1,9</w:t>
            </w:r>
          </w:p>
        </w:tc>
        <w:tc>
          <w:tcPr>
            <w:tcW w:w="794" w:type="dxa"/>
          </w:tcPr>
          <w:p>
            <w:pPr>
              <w:pStyle w:val="0"/>
              <w:jc w:val="center"/>
            </w:pPr>
            <w:r>
              <w:rPr>
                <w:sz w:val="24"/>
              </w:rPr>
              <w:t xml:space="preserve">1,8</w:t>
            </w:r>
          </w:p>
        </w:tc>
        <w:tc>
          <w:tcPr>
            <w:tcW w:w="737" w:type="dxa"/>
          </w:tcPr>
          <w:p>
            <w:pPr>
              <w:pStyle w:val="0"/>
              <w:jc w:val="center"/>
            </w:pPr>
            <w:r>
              <w:rPr>
                <w:sz w:val="24"/>
              </w:rPr>
              <w:t xml:space="preserve">1,5</w:t>
            </w:r>
          </w:p>
        </w:tc>
      </w:tr>
      <w:tr>
        <w:tc>
          <w:tcPr>
            <w:tcW w:w="2041" w:type="dxa"/>
          </w:tcPr>
          <w:p>
            <w:pPr>
              <w:pStyle w:val="0"/>
              <w:jc w:val="center"/>
            </w:pPr>
            <w:r>
              <w:rPr>
                <w:sz w:val="24"/>
              </w:rPr>
              <w:t xml:space="preserve">300</w:t>
            </w:r>
          </w:p>
        </w:tc>
        <w:tc>
          <w:tcPr>
            <w:tcW w:w="737" w:type="dxa"/>
          </w:tcPr>
          <w:p>
            <w:pPr>
              <w:pStyle w:val="0"/>
              <w:jc w:val="center"/>
            </w:pPr>
            <w:r>
              <w:rPr>
                <w:sz w:val="24"/>
              </w:rPr>
              <w:t xml:space="preserve">3,8</w:t>
            </w:r>
          </w:p>
        </w:tc>
        <w:tc>
          <w:tcPr>
            <w:tcW w:w="794" w:type="dxa"/>
          </w:tcPr>
          <w:p>
            <w:pPr>
              <w:pStyle w:val="0"/>
              <w:jc w:val="center"/>
            </w:pPr>
            <w:r>
              <w:rPr>
                <w:sz w:val="24"/>
              </w:rPr>
              <w:t xml:space="preserve">3,4</w:t>
            </w:r>
          </w:p>
        </w:tc>
        <w:tc>
          <w:tcPr>
            <w:tcW w:w="794" w:type="dxa"/>
          </w:tcPr>
          <w:p>
            <w:pPr>
              <w:pStyle w:val="0"/>
              <w:jc w:val="center"/>
            </w:pPr>
            <w:r>
              <w:rPr>
                <w:sz w:val="24"/>
              </w:rPr>
              <w:t xml:space="preserve">3,0</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2,0</w:t>
            </w:r>
          </w:p>
        </w:tc>
        <w:tc>
          <w:tcPr>
            <w:tcW w:w="794" w:type="dxa"/>
          </w:tcPr>
          <w:p>
            <w:pPr>
              <w:pStyle w:val="0"/>
              <w:jc w:val="center"/>
            </w:pPr>
            <w:r>
              <w:rPr>
                <w:sz w:val="24"/>
              </w:rPr>
              <w:t xml:space="preserve">1,9</w:t>
            </w:r>
          </w:p>
        </w:tc>
        <w:tc>
          <w:tcPr>
            <w:tcW w:w="737" w:type="dxa"/>
          </w:tcPr>
          <w:p>
            <w:pPr>
              <w:pStyle w:val="0"/>
              <w:jc w:val="center"/>
            </w:pPr>
            <w:r>
              <w:rPr>
                <w:sz w:val="24"/>
              </w:rPr>
              <w:t xml:space="preserve">1,6</w:t>
            </w:r>
          </w:p>
        </w:tc>
      </w:tr>
      <w:tr>
        <w:tc>
          <w:tcPr>
            <w:tcW w:w="2041" w:type="dxa"/>
          </w:tcPr>
          <w:p>
            <w:pPr>
              <w:pStyle w:val="0"/>
              <w:jc w:val="center"/>
            </w:pPr>
            <w:r>
              <w:rPr>
                <w:sz w:val="24"/>
              </w:rPr>
              <w:t xml:space="preserve">350</w:t>
            </w:r>
          </w:p>
        </w:tc>
        <w:tc>
          <w:tcPr>
            <w:tcW w:w="737" w:type="dxa"/>
          </w:tcPr>
          <w:p>
            <w:pPr>
              <w:pStyle w:val="0"/>
              <w:jc w:val="center"/>
            </w:pPr>
            <w:r>
              <w:rPr>
                <w:sz w:val="24"/>
              </w:rPr>
              <w:t xml:space="preserve">4,0</w:t>
            </w:r>
          </w:p>
        </w:tc>
        <w:tc>
          <w:tcPr>
            <w:tcW w:w="794" w:type="dxa"/>
          </w:tcPr>
          <w:p>
            <w:pPr>
              <w:pStyle w:val="0"/>
              <w:jc w:val="center"/>
            </w:pPr>
            <w:r>
              <w:rPr>
                <w:sz w:val="24"/>
              </w:rPr>
              <w:t xml:space="preserve">3,4</w:t>
            </w:r>
          </w:p>
        </w:tc>
        <w:tc>
          <w:tcPr>
            <w:tcW w:w="794" w:type="dxa"/>
          </w:tcPr>
          <w:p>
            <w:pPr>
              <w:pStyle w:val="0"/>
              <w:jc w:val="center"/>
            </w:pPr>
            <w:r>
              <w:rPr>
                <w:sz w:val="24"/>
              </w:rPr>
              <w:t xml:space="preserve">3,0</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37" w:type="dxa"/>
          </w:tcPr>
          <w:p>
            <w:pPr>
              <w:pStyle w:val="0"/>
              <w:jc w:val="center"/>
            </w:pPr>
            <w:r>
              <w:rPr>
                <w:sz w:val="24"/>
              </w:rPr>
              <w:t xml:space="preserve">1,7</w:t>
            </w:r>
          </w:p>
        </w:tc>
      </w:tr>
      <w:tr>
        <w:tc>
          <w:tcPr>
            <w:tcW w:w="2041" w:type="dxa"/>
          </w:tcPr>
          <w:p>
            <w:pPr>
              <w:pStyle w:val="0"/>
              <w:jc w:val="center"/>
            </w:pPr>
            <w:r>
              <w:rPr>
                <w:sz w:val="24"/>
              </w:rPr>
              <w:t xml:space="preserve">400</w:t>
            </w:r>
          </w:p>
        </w:tc>
        <w:tc>
          <w:tcPr>
            <w:tcW w:w="737" w:type="dxa"/>
          </w:tcPr>
          <w:p>
            <w:pPr>
              <w:pStyle w:val="0"/>
              <w:jc w:val="center"/>
            </w:pPr>
            <w:r>
              <w:rPr>
                <w:sz w:val="24"/>
              </w:rPr>
              <w:t xml:space="preserve">4,0</w:t>
            </w:r>
          </w:p>
        </w:tc>
        <w:tc>
          <w:tcPr>
            <w:tcW w:w="794" w:type="dxa"/>
          </w:tcPr>
          <w:p>
            <w:pPr>
              <w:pStyle w:val="0"/>
              <w:jc w:val="center"/>
            </w:pPr>
            <w:r>
              <w:rPr>
                <w:sz w:val="24"/>
              </w:rPr>
              <w:t xml:space="preserve">3,4</w:t>
            </w:r>
          </w:p>
        </w:tc>
        <w:tc>
          <w:tcPr>
            <w:tcW w:w="794"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2,1</w:t>
            </w:r>
          </w:p>
        </w:tc>
        <w:tc>
          <w:tcPr>
            <w:tcW w:w="737" w:type="dxa"/>
          </w:tcPr>
          <w:p>
            <w:pPr>
              <w:pStyle w:val="0"/>
              <w:jc w:val="center"/>
            </w:pPr>
            <w:r>
              <w:rPr>
                <w:sz w:val="24"/>
              </w:rPr>
              <w:t xml:space="preserve">1,8</w:t>
            </w:r>
          </w:p>
        </w:tc>
      </w:tr>
      <w:tr>
        <w:tc>
          <w:tcPr>
            <w:tcW w:w="2041" w:type="dxa"/>
          </w:tcPr>
          <w:p>
            <w:pPr>
              <w:pStyle w:val="0"/>
              <w:jc w:val="center"/>
            </w:pPr>
            <w:r>
              <w:rPr>
                <w:sz w:val="24"/>
              </w:rPr>
              <w:t xml:space="preserve">450</w:t>
            </w:r>
          </w:p>
        </w:tc>
        <w:tc>
          <w:tcPr>
            <w:tcW w:w="737" w:type="dxa"/>
          </w:tcPr>
          <w:p>
            <w:pPr>
              <w:pStyle w:val="0"/>
              <w:jc w:val="center"/>
            </w:pPr>
            <w:r>
              <w:rPr>
                <w:sz w:val="24"/>
              </w:rPr>
              <w:t xml:space="preserve">4,0</w:t>
            </w:r>
          </w:p>
        </w:tc>
        <w:tc>
          <w:tcPr>
            <w:tcW w:w="794" w:type="dxa"/>
          </w:tcPr>
          <w:p>
            <w:pPr>
              <w:pStyle w:val="0"/>
              <w:jc w:val="center"/>
            </w:pPr>
            <w:r>
              <w:rPr>
                <w:sz w:val="24"/>
              </w:rPr>
              <w:t xml:space="preserve">3,6</w:t>
            </w:r>
          </w:p>
        </w:tc>
        <w:tc>
          <w:tcPr>
            <w:tcW w:w="794" w:type="dxa"/>
          </w:tcPr>
          <w:p>
            <w:pPr>
              <w:pStyle w:val="0"/>
              <w:jc w:val="center"/>
            </w:pPr>
            <w:r>
              <w:rPr>
                <w:sz w:val="24"/>
              </w:rPr>
              <w:t xml:space="preserve">3,2</w:t>
            </w:r>
          </w:p>
        </w:tc>
        <w:tc>
          <w:tcPr>
            <w:tcW w:w="794" w:type="dxa"/>
          </w:tcPr>
          <w:p>
            <w:pPr>
              <w:pStyle w:val="0"/>
              <w:jc w:val="center"/>
            </w:pPr>
            <w:r>
              <w:rPr>
                <w:sz w:val="24"/>
              </w:rPr>
              <w:t xml:space="preserve">2,9</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2,2</w:t>
            </w:r>
          </w:p>
        </w:tc>
        <w:tc>
          <w:tcPr>
            <w:tcW w:w="737" w:type="dxa"/>
          </w:tcPr>
          <w:p>
            <w:pPr>
              <w:pStyle w:val="0"/>
              <w:jc w:val="center"/>
            </w:pPr>
            <w:r>
              <w:rPr>
                <w:sz w:val="24"/>
              </w:rPr>
              <w:t xml:space="preserve">1,8</w:t>
            </w:r>
          </w:p>
        </w:tc>
      </w:tr>
      <w:tr>
        <w:tc>
          <w:tcPr>
            <w:tcW w:w="2041" w:type="dxa"/>
          </w:tcPr>
          <w:p>
            <w:pPr>
              <w:pStyle w:val="0"/>
              <w:jc w:val="center"/>
            </w:pPr>
            <w:r>
              <w:rPr>
                <w:sz w:val="24"/>
              </w:rPr>
              <w:t xml:space="preserve">500 и выше</w:t>
            </w:r>
          </w:p>
        </w:tc>
        <w:tc>
          <w:tcPr>
            <w:tcW w:w="737" w:type="dxa"/>
          </w:tcPr>
          <w:p>
            <w:pPr>
              <w:pStyle w:val="0"/>
              <w:jc w:val="center"/>
            </w:pPr>
            <w:r>
              <w:rPr>
                <w:sz w:val="24"/>
              </w:rPr>
              <w:t xml:space="preserve">4,0</w:t>
            </w:r>
          </w:p>
        </w:tc>
        <w:tc>
          <w:tcPr>
            <w:tcW w:w="794" w:type="dxa"/>
          </w:tcPr>
          <w:p>
            <w:pPr>
              <w:pStyle w:val="0"/>
              <w:jc w:val="center"/>
            </w:pPr>
            <w:r>
              <w:rPr>
                <w:sz w:val="24"/>
              </w:rPr>
              <w:t xml:space="preserve">3,6</w:t>
            </w:r>
          </w:p>
        </w:tc>
        <w:tc>
          <w:tcPr>
            <w:tcW w:w="794" w:type="dxa"/>
          </w:tcPr>
          <w:p>
            <w:pPr>
              <w:pStyle w:val="0"/>
              <w:jc w:val="center"/>
            </w:pPr>
            <w:r>
              <w:rPr>
                <w:sz w:val="24"/>
              </w:rPr>
              <w:t xml:space="preserve">3,2</w:t>
            </w:r>
          </w:p>
        </w:tc>
        <w:tc>
          <w:tcPr>
            <w:tcW w:w="794" w:type="dxa"/>
          </w:tcPr>
          <w:p>
            <w:pPr>
              <w:pStyle w:val="0"/>
              <w:jc w:val="center"/>
            </w:pPr>
            <w:r>
              <w:rPr>
                <w:sz w:val="24"/>
              </w:rPr>
              <w:t xml:space="preserve">2,9</w:t>
            </w:r>
          </w:p>
        </w:tc>
        <w:tc>
          <w:tcPr>
            <w:tcW w:w="794" w:type="dxa"/>
          </w:tcPr>
          <w:p>
            <w:pPr>
              <w:pStyle w:val="0"/>
              <w:jc w:val="center"/>
            </w:pPr>
            <w:r>
              <w:rPr>
                <w:sz w:val="24"/>
              </w:rPr>
              <w:t xml:space="preserve">2,6</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2,2</w:t>
            </w:r>
          </w:p>
        </w:tc>
        <w:tc>
          <w:tcPr>
            <w:tcW w:w="737" w:type="dxa"/>
          </w:tcPr>
          <w:p>
            <w:pPr>
              <w:pStyle w:val="0"/>
              <w:jc w:val="center"/>
            </w:pPr>
            <w:r>
              <w:rPr>
                <w:sz w:val="24"/>
              </w:rPr>
              <w:t xml:space="preserve">1,9</w:t>
            </w:r>
          </w:p>
        </w:tc>
      </w:tr>
      <w:tr>
        <w:tc>
          <w:tcPr>
            <w:gridSpan w:val="10"/>
            <w:tcW w:w="9073" w:type="dxa"/>
          </w:tcPr>
          <w:p>
            <w:pPr>
              <w:pStyle w:val="0"/>
              <w:ind w:firstLine="283"/>
              <w:jc w:val="both"/>
            </w:pPr>
            <w:r>
              <w:rPr>
                <w:sz w:val="24"/>
              </w:rPr>
              <w:t xml:space="preserve">Примечания</w:t>
            </w:r>
          </w:p>
          <w:p>
            <w:pPr>
              <w:pStyle w:val="0"/>
              <w:ind w:firstLine="283"/>
              <w:jc w:val="both"/>
            </w:pPr>
            <w:r>
              <w:rPr>
                <w:sz w:val="24"/>
              </w:rPr>
              <w:t xml:space="preserve">1 Расчетные скорости ветра соответствуют стандартной высоте 10 м. При определении расчетной скорости ветра на соответствующей высоте значения скоростей ветра следует умножать на 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w:t>
            </w:r>
          </w:p>
          <w:p>
            <w:pPr>
              <w:pStyle w:val="0"/>
              <w:ind w:firstLine="283"/>
              <w:jc w:val="both"/>
            </w:pPr>
            <w:r>
              <w:rPr>
                <w:sz w:val="24"/>
              </w:rPr>
              <w:t xml:space="preserve">2 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 учитывают также при определении максимальной из средних скоростей ветра по румбам за январь.</w:t>
            </w:r>
          </w:p>
        </w:tc>
      </w:tr>
    </w:tbl>
    <w:p>
      <w:pPr>
        <w:pStyle w:val="0"/>
        <w:jc w:val="both"/>
      </w:pPr>
      <w:r>
        <w:rPr>
          <w:sz w:val="24"/>
        </w:rPr>
      </w:r>
    </w:p>
    <w:p>
      <w:pPr>
        <w:pStyle w:val="0"/>
        <w:ind w:firstLine="540"/>
        <w:jc w:val="both"/>
      </w:pPr>
      <w:r>
        <w:rPr>
          <w:sz w:val="24"/>
        </w:rPr>
        <w:t xml:space="preserve">При размещении приемных устройств для наружного воздуха на юго-восточном, южном или юго-западном фасадах температуру наружного воздуха в теплый период года следует принимать на 3 °C - 5 °C выше расчетной.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СанПиН 1.2.3685, а не СанПиН 2.1.3685.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8.4 Параметры микроклимата в помещениях следует принимать в соответствии с </w:t>
      </w:r>
      <w:hyperlink w:history="0" r:id="rId204"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20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w:t>
      </w:r>
      <w:hyperlink w:history="0" r:id="rId206"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2.1.3685</w:t>
        </w:r>
      </w:hyperlink>
      <w:r>
        <w:rPr>
          <w:sz w:val="24"/>
        </w:rPr>
        <w:t xml:space="preserve"> и настоящего свода правил. Расчетные параметры микроклимата внутреннего воздуха (температура, скорость движения и относительная влажность) при проектировании систем отопления и кондиционирования в основных помещениях жилых, гостиничных и общественных высотных зданий следует принимать в пределах оптимальных норм.</w:t>
      </w:r>
    </w:p>
    <w:p>
      <w:pPr>
        <w:pStyle w:val="0"/>
        <w:jc w:val="both"/>
      </w:pPr>
      <w:r>
        <w:rPr>
          <w:sz w:val="24"/>
        </w:rPr>
        <w:t xml:space="preserve">(в ред. </w:t>
      </w:r>
      <w:hyperlink w:history="0" r:id="rId20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По заданию на проектирование параметры микроклимата для теплого периода года допускается принимать в пределах допустимых значений по </w:t>
      </w:r>
      <w:hyperlink w:history="0" w:anchor="P1561" w:tooltip="ПАРАМЕТРЫ ВНУТРЕННЕГО ВОЗДУХА ПОМЕЩЕНИЙ ЗДАНИЙ">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8.5 Расход приточного (наружного или смеси наружного и рециркуляционного) воздуха в помещениях следует рассчитывать и принимать по </w:t>
      </w:r>
      <w:hyperlink w:history="0" r:id="rId20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или справочным материалам, но не менее расхода, приведенного в </w:t>
      </w:r>
      <w:hyperlink w:history="0" w:anchor="P1727" w:tooltip="Приложение Б">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Рециркуляцию воздуха следует принимать по </w:t>
      </w:r>
      <w:hyperlink w:history="0" r:id="rId20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8.6 Системы вентиляции, кондиционирования и воздушного отопления необходимо проектировать автономными для:</w:t>
      </w:r>
    </w:p>
    <w:p>
      <w:pPr>
        <w:pStyle w:val="0"/>
        <w:spacing w:before="240" w:lineRule="auto"/>
        <w:ind w:firstLine="540"/>
        <w:jc w:val="both"/>
      </w:pPr>
      <w:r>
        <w:rPr>
          <w:sz w:val="24"/>
        </w:rPr>
        <w:t xml:space="preserve">разных пожарных отсеков;</w:t>
      </w:r>
    </w:p>
    <w:p>
      <w:pPr>
        <w:pStyle w:val="0"/>
        <w:spacing w:before="240" w:lineRule="auto"/>
        <w:ind w:firstLine="540"/>
        <w:jc w:val="both"/>
      </w:pPr>
      <w:r>
        <w:rPr>
          <w:sz w:val="24"/>
        </w:rPr>
        <w:t xml:space="preserve">атриумов;</w:t>
      </w:r>
    </w:p>
    <w:p>
      <w:pPr>
        <w:pStyle w:val="0"/>
        <w:spacing w:before="240" w:lineRule="auto"/>
        <w:ind w:firstLine="540"/>
        <w:jc w:val="both"/>
      </w:pPr>
      <w:r>
        <w:rPr>
          <w:sz w:val="24"/>
        </w:rPr>
        <w:t xml:space="preserve">групп помещений, в которых может находиться одновременно более 500 человек;</w:t>
      </w:r>
    </w:p>
    <w:p>
      <w:pPr>
        <w:pStyle w:val="0"/>
        <w:spacing w:before="240" w:lineRule="auto"/>
        <w:ind w:firstLine="540"/>
        <w:jc w:val="both"/>
      </w:pPr>
      <w:r>
        <w:rPr>
          <w:sz w:val="24"/>
        </w:rPr>
        <w:t xml:space="preserve">помещений, относящихся к разным классам функциональной пожарной опасности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21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32</w:t>
        </w:r>
      </w:hyperlink>
      <w:r>
        <w:rPr>
          <w:sz w:val="24"/>
        </w:rPr>
        <w:t xml:space="preserve">]);</w:t>
      </w:r>
    </w:p>
    <w:p>
      <w:pPr>
        <w:pStyle w:val="0"/>
        <w:jc w:val="both"/>
      </w:pPr>
      <w:r>
        <w:rPr>
          <w:sz w:val="24"/>
        </w:rPr>
        <w:t xml:space="preserve">(в ред. </w:t>
      </w:r>
      <w:hyperlink w:history="0" r:id="rId21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помещений с различным временным графиком работы;</w:t>
      </w:r>
    </w:p>
    <w:p>
      <w:pPr>
        <w:pStyle w:val="0"/>
        <w:spacing w:before="240" w:lineRule="auto"/>
        <w:ind w:firstLine="540"/>
        <w:jc w:val="both"/>
      </w:pPr>
      <w:r>
        <w:rPr>
          <w:sz w:val="24"/>
        </w:rPr>
        <w:t xml:space="preserve">встроенных помещений различного назначения.</w:t>
      </w:r>
    </w:p>
    <w:p>
      <w:pPr>
        <w:pStyle w:val="0"/>
        <w:spacing w:before="240" w:lineRule="auto"/>
        <w:ind w:firstLine="540"/>
        <w:jc w:val="both"/>
      </w:pPr>
      <w:r>
        <w:rPr>
          <w:sz w:val="24"/>
        </w:rPr>
        <w:t xml:space="preserve">8.7 Приточные и вытяжные системы вентиляции в высотных зданиях необходимо проектировать с механическим (искусственным) побуждением (далее - механические системы).</w:t>
      </w:r>
    </w:p>
    <w:p>
      <w:pPr>
        <w:pStyle w:val="0"/>
        <w:spacing w:before="240" w:lineRule="auto"/>
        <w:ind w:firstLine="540"/>
        <w:jc w:val="both"/>
      </w:pPr>
      <w:r>
        <w:rPr>
          <w:sz w:val="24"/>
        </w:rPr>
        <w:t xml:space="preserve">По заданию на проектирование или при техническом обосновании допускается предусматривать вытяжные системы механической вентиляции и приточные системы вентиляции с естественным побуждением в жилых зданиях до 100 м (далее - естественная вентиляция) со специальными открываемыми конструкциями (клапанами) для притока воздуха, защищенными от повышенного ветрового давления.</w:t>
      </w:r>
    </w:p>
    <w:p>
      <w:pPr>
        <w:pStyle w:val="0"/>
        <w:jc w:val="both"/>
      </w:pPr>
      <w:r>
        <w:rPr>
          <w:sz w:val="24"/>
        </w:rPr>
        <w:t xml:space="preserve">(в ред. </w:t>
      </w:r>
      <w:hyperlink w:history="0" r:id="rId21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Системы вентиляции жилых высотных зданий следует резервировать.</w:t>
      </w:r>
    </w:p>
    <w:p>
      <w:pPr>
        <w:pStyle w:val="0"/>
        <w:spacing w:before="240" w:lineRule="auto"/>
        <w:ind w:firstLine="540"/>
        <w:jc w:val="both"/>
      </w:pPr>
      <w:r>
        <w:rPr>
          <w:sz w:val="24"/>
        </w:rPr>
        <w:t xml:space="preserve">Оборудование систем вентиляции жилых высотных зданий следует резервировать. Способ резервирования (полное резервирование, наличие резервного электродвигателя в вентиляторном отсеке и т.п.) определяется в проектной документации.</w:t>
      </w:r>
    </w:p>
    <w:p>
      <w:pPr>
        <w:pStyle w:val="0"/>
        <w:jc w:val="both"/>
      </w:pPr>
      <w:r>
        <w:rPr>
          <w:sz w:val="24"/>
        </w:rPr>
        <w:t xml:space="preserve">(абзац введен </w:t>
      </w:r>
      <w:hyperlink w:history="0" r:id="rId21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8.8 Системы приточной вентиляции и кондиционирования, обслуживающие одно или несколько помещений на одном или нескольких этажах, должны соответствовать </w:t>
      </w:r>
      <w:hyperlink w:history="0" r:id="rId214"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их следует проектировать:</w:t>
      </w:r>
    </w:p>
    <w:p>
      <w:pPr>
        <w:pStyle w:val="0"/>
        <w:spacing w:before="240" w:lineRule="auto"/>
        <w:ind w:firstLine="540"/>
        <w:jc w:val="both"/>
      </w:pPr>
      <w:r>
        <w:rPr>
          <w:sz w:val="24"/>
        </w:rPr>
        <w:t xml:space="preserve">центральными - с подачей приточного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центральными - с подачей приточного наружного воздуха, поддержанием температуры приточного воздуха и заданной температуры воздуха в помещениях местными (рециркуляционными) устройствами (зональными, эжекционными или вентиляторными доводчиками);</w:t>
      </w:r>
    </w:p>
    <w:p>
      <w:pPr>
        <w:pStyle w:val="0"/>
        <w:spacing w:before="240" w:lineRule="auto"/>
        <w:ind w:firstLine="540"/>
        <w:jc w:val="both"/>
      </w:pPr>
      <w:r>
        <w:rPr>
          <w:sz w:val="24"/>
        </w:rPr>
        <w:t xml:space="preserve">местно-центральными - с подачей приточного (наружного) воздуха и поддержанием температуры приточного воздуха поэтажными приточными установками (кондиционерами);</w:t>
      </w:r>
    </w:p>
    <w:p>
      <w:pPr>
        <w:pStyle w:val="0"/>
        <w:spacing w:before="240" w:lineRule="auto"/>
        <w:ind w:firstLine="540"/>
        <w:jc w:val="both"/>
      </w:pPr>
      <w:r>
        <w:rPr>
          <w:sz w:val="24"/>
        </w:rPr>
        <w:t xml:space="preserve">местно-центральными - с подачей приточного (наружного) воздуха и поддержанием температуры приточного воздуха поэтажными приточными установками (кондиционерами) и поддержанием заданной температуры воздуха в помещениях зональными доводчиками.</w:t>
      </w:r>
    </w:p>
    <w:p>
      <w:pPr>
        <w:pStyle w:val="0"/>
        <w:spacing w:before="240" w:lineRule="auto"/>
        <w:ind w:firstLine="540"/>
        <w:jc w:val="both"/>
      </w:pPr>
      <w:r>
        <w:rPr>
          <w:sz w:val="24"/>
        </w:rPr>
        <w:t xml:space="preserve">8.9 Схемы систем вентиляции и кондиционирования с учетом возможных компоновочных решений должны исключать поступление воздуха из одной квартиры (апартамента) в другую.</w:t>
      </w:r>
    </w:p>
    <w:p>
      <w:pPr>
        <w:pStyle w:val="0"/>
        <w:spacing w:before="240" w:lineRule="auto"/>
        <w:ind w:firstLine="540"/>
        <w:jc w:val="both"/>
      </w:pPr>
      <w:r>
        <w:rPr>
          <w:sz w:val="24"/>
        </w:rPr>
        <w:t xml:space="preserve">В зонах жилых помещений не допускается объединение воздуховодов систем вытяжной вентиляции кухонь и санитарных узлов с воздуховодами жилых комнат.</w:t>
      </w:r>
    </w:p>
    <w:p>
      <w:pPr>
        <w:pStyle w:val="0"/>
        <w:spacing w:before="240" w:lineRule="auto"/>
        <w:ind w:firstLine="540"/>
        <w:jc w:val="both"/>
      </w:pPr>
      <w:r>
        <w:rPr>
          <w:sz w:val="24"/>
        </w:rPr>
        <w:t xml:space="preserve">Внутри квартир допускается объединение воздуховодов систем вытяжной вентиляции кухонь и санитарных узлов, при условии применения индивидуальных поквартирных приточно-вытяжных установок с рекуперацией тепла вытяжного воздуха и выбросе воздуха над кровлей через систему общедомовой вентиляции.</w:t>
      </w:r>
    </w:p>
    <w:p>
      <w:pPr>
        <w:pStyle w:val="0"/>
        <w:jc w:val="both"/>
      </w:pPr>
      <w:r>
        <w:rPr>
          <w:sz w:val="24"/>
        </w:rPr>
        <w:t xml:space="preserve">(п. 8.9 в ред. </w:t>
      </w:r>
      <w:hyperlink w:history="0" r:id="rId21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8.10 Для очистки приточного воздуха в системах, обслуживающих жилые и общественные помещения, следует применять фильтры двух ступеней очистки:</w:t>
      </w:r>
    </w:p>
    <w:p>
      <w:pPr>
        <w:pStyle w:val="0"/>
        <w:spacing w:before="240" w:lineRule="auto"/>
        <w:ind w:firstLine="540"/>
        <w:jc w:val="both"/>
      </w:pPr>
      <w:r>
        <w:rPr>
          <w:sz w:val="24"/>
        </w:rPr>
        <w:t xml:space="preserve">- первой ступени - грубой очистки;</w:t>
      </w:r>
    </w:p>
    <w:p>
      <w:pPr>
        <w:pStyle w:val="0"/>
        <w:spacing w:before="240" w:lineRule="auto"/>
        <w:ind w:firstLine="540"/>
        <w:jc w:val="both"/>
      </w:pPr>
      <w:r>
        <w:rPr>
          <w:sz w:val="24"/>
        </w:rPr>
        <w:t xml:space="preserve">- второй ступени - тонкой очистки.</w:t>
      </w:r>
    </w:p>
    <w:p>
      <w:pPr>
        <w:pStyle w:val="0"/>
        <w:spacing w:before="240" w:lineRule="auto"/>
        <w:ind w:firstLine="540"/>
        <w:jc w:val="both"/>
      </w:pPr>
      <w:r>
        <w:rPr>
          <w:sz w:val="24"/>
        </w:rPr>
        <w:t xml:space="preserve">Места забора воздуха с фасада здания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Жалюзи воздухозаборного отверстия следует размещать под углом 20° вниз, а скорость в "живом" сечении должна быть не более 2,5 м/с.</w:t>
      </w:r>
    </w:p>
    <w:p>
      <w:pPr>
        <w:pStyle w:val="0"/>
        <w:spacing w:before="240" w:lineRule="auto"/>
        <w:ind w:firstLine="540"/>
        <w:jc w:val="both"/>
      </w:pPr>
      <w:r>
        <w:rPr>
          <w:sz w:val="24"/>
        </w:rPr>
        <w:t xml:space="preserve">8.11 Для увлажнения приточного воздуха допускается применять:</w:t>
      </w:r>
    </w:p>
    <w:p>
      <w:pPr>
        <w:pStyle w:val="0"/>
        <w:spacing w:before="240" w:lineRule="auto"/>
        <w:ind w:firstLine="540"/>
        <w:jc w:val="both"/>
      </w:pPr>
      <w:r>
        <w:rPr>
          <w:sz w:val="24"/>
        </w:rPr>
        <w:t xml:space="preserve">- форсуночные увлажнители без рециркуляции воды;</w:t>
      </w:r>
    </w:p>
    <w:p>
      <w:pPr>
        <w:pStyle w:val="0"/>
        <w:spacing w:before="240" w:lineRule="auto"/>
        <w:ind w:firstLine="540"/>
        <w:jc w:val="both"/>
      </w:pPr>
      <w:r>
        <w:rPr>
          <w:sz w:val="24"/>
        </w:rPr>
        <w:t xml:space="preserve">- паровые увлажнители;</w:t>
      </w:r>
    </w:p>
    <w:p>
      <w:pPr>
        <w:pStyle w:val="0"/>
        <w:spacing w:before="240" w:lineRule="auto"/>
        <w:ind w:firstLine="540"/>
        <w:jc w:val="both"/>
      </w:pPr>
      <w:r>
        <w:rPr>
          <w:sz w:val="24"/>
        </w:rPr>
        <w:t xml:space="preserve">- ультразвуковые увлажнители;</w:t>
      </w:r>
    </w:p>
    <w:p>
      <w:pPr>
        <w:pStyle w:val="0"/>
        <w:spacing w:before="240" w:lineRule="auto"/>
        <w:ind w:firstLine="540"/>
        <w:jc w:val="both"/>
      </w:pPr>
      <w:r>
        <w:rPr>
          <w:sz w:val="24"/>
        </w:rPr>
        <w:t xml:space="preserve">- форсуночные камеры с рециркуляцией воды;</w:t>
      </w:r>
    </w:p>
    <w:p>
      <w:pPr>
        <w:pStyle w:val="0"/>
        <w:spacing w:before="240" w:lineRule="auto"/>
        <w:ind w:firstLine="540"/>
        <w:jc w:val="both"/>
      </w:pPr>
      <w:r>
        <w:rPr>
          <w:sz w:val="24"/>
        </w:rPr>
        <w:t xml:space="preserve">- орошаемые насадки.</w:t>
      </w:r>
    </w:p>
    <w:p>
      <w:pPr>
        <w:pStyle w:val="0"/>
        <w:spacing w:before="240" w:lineRule="auto"/>
        <w:ind w:firstLine="540"/>
        <w:jc w:val="both"/>
      </w:pPr>
      <w:r>
        <w:rPr>
          <w:sz w:val="24"/>
        </w:rPr>
        <w:t xml:space="preserve">Для увлажнения приточного воздуха с помощью форсуночных камер и паровых увлажнителей допускается применять воду питьевого качества.</w:t>
      </w:r>
    </w:p>
    <w:p>
      <w:pPr>
        <w:pStyle w:val="0"/>
        <w:spacing w:before="240" w:lineRule="auto"/>
        <w:ind w:firstLine="540"/>
        <w:jc w:val="both"/>
      </w:pPr>
      <w:r>
        <w:rPr>
          <w:sz w:val="24"/>
        </w:rPr>
        <w:t xml:space="preserve">Для увлажнения приточного воздуха с помощью орошаемых насадок, форсуночных и ультразвуковых увлажнителей необходимо предусматривать системы обессоливания воды.</w:t>
      </w:r>
    </w:p>
    <w:p>
      <w:pPr>
        <w:pStyle w:val="0"/>
        <w:spacing w:before="240" w:lineRule="auto"/>
        <w:ind w:firstLine="540"/>
        <w:jc w:val="both"/>
      </w:pPr>
      <w:r>
        <w:rPr>
          <w:sz w:val="24"/>
        </w:rPr>
        <w:t xml:space="preserve">Помещения, для которых необходимо предусматривать увлажнение воздуха определяются заданием на проектирование.</w:t>
      </w:r>
    </w:p>
    <w:p>
      <w:pPr>
        <w:pStyle w:val="0"/>
        <w:jc w:val="both"/>
      </w:pPr>
      <w:r>
        <w:rPr>
          <w:sz w:val="24"/>
        </w:rPr>
        <w:t xml:space="preserve">(п. 8.11 в ред. </w:t>
      </w:r>
      <w:hyperlink w:history="0" r:id="rId21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8.12 Проектные решения схем удаления воздуха в системах вентиляции должны предотвращать загрязнение окружающей среды вентиляционными выбросами.</w:t>
      </w:r>
    </w:p>
    <w:p>
      <w:pPr>
        <w:pStyle w:val="0"/>
        <w:spacing w:before="240" w:lineRule="auto"/>
        <w:ind w:firstLine="540"/>
        <w:jc w:val="both"/>
      </w:pPr>
      <w:r>
        <w:rPr>
          <w:sz w:val="24"/>
        </w:rPr>
        <w:t xml:space="preserve">Полученные расчетом концентрации вредных веществ в атмосферном воздухе населенных мест не должны превышать:</w:t>
      </w:r>
    </w:p>
    <w:p>
      <w:pPr>
        <w:pStyle w:val="0"/>
        <w:spacing w:before="240" w:lineRule="auto"/>
        <w:ind w:firstLine="540"/>
        <w:jc w:val="both"/>
      </w:pPr>
      <w:r>
        <w:rPr>
          <w:sz w:val="24"/>
        </w:rPr>
        <w:t xml:space="preserve">- максимальные разовые (ПДК м.р.) - для рекреационных зон;</w:t>
      </w:r>
    </w:p>
    <w:p>
      <w:pPr>
        <w:pStyle w:val="0"/>
        <w:spacing w:before="240" w:lineRule="auto"/>
        <w:ind w:firstLine="540"/>
        <w:jc w:val="both"/>
      </w:pPr>
      <w:r>
        <w:rPr>
          <w:sz w:val="24"/>
        </w:rPr>
        <w:t xml:space="preserve">- 80% ПДК - в воздухе населенных мест;</w:t>
      </w:r>
    </w:p>
    <w:p>
      <w:pPr>
        <w:pStyle w:val="0"/>
        <w:spacing w:before="240" w:lineRule="auto"/>
        <w:ind w:firstLine="540"/>
        <w:jc w:val="both"/>
      </w:pPr>
      <w:r>
        <w:rPr>
          <w:sz w:val="24"/>
        </w:rPr>
        <w:t xml:space="preserve">- значений концентраций, приведенных в </w:t>
      </w:r>
      <w:hyperlink w:history="0" r:id="rId217"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 в воздухе, поступающем внутрь зданий через воздухоприемные устройства систем вентиляции.</w:t>
      </w:r>
    </w:p>
    <w:p>
      <w:pPr>
        <w:pStyle w:val="0"/>
        <w:spacing w:before="240" w:lineRule="auto"/>
        <w:ind w:firstLine="540"/>
        <w:jc w:val="both"/>
      </w:pPr>
      <w:r>
        <w:rPr>
          <w:sz w:val="24"/>
        </w:rPr>
        <w:t xml:space="preserve">Концентрация химических веществ в воздухе жилых помещений, при сдаче их в эксплуатацию, не должна превышать среднесуточных ПДК загрязняющих веществ, установленных для атмосферного воздуха населенных мест, а при отсутствии среднесуточных ПДК - не превышать максимальные разовые ПДК.</w:t>
      </w:r>
    </w:p>
    <w:p>
      <w:pPr>
        <w:pStyle w:val="0"/>
        <w:jc w:val="both"/>
      </w:pPr>
      <w:r>
        <w:rPr>
          <w:sz w:val="24"/>
        </w:rPr>
        <w:t xml:space="preserve">(в ред. </w:t>
      </w:r>
      <w:hyperlink w:history="0" r:id="rId21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8.13 Удаление воздуха в системах вентиляции рекомендуется выполнять на 0,5 м выше отметки кровли самой высокой части здания из:</w:t>
      </w:r>
    </w:p>
    <w:p>
      <w:pPr>
        <w:pStyle w:val="0"/>
        <w:spacing w:before="240" w:lineRule="auto"/>
        <w:ind w:firstLine="540"/>
        <w:jc w:val="both"/>
      </w:pPr>
      <w:r>
        <w:rPr>
          <w:sz w:val="24"/>
        </w:rPr>
        <w:t xml:space="preserve">- подземных гаражей-стоянок;</w:t>
      </w:r>
    </w:p>
    <w:p>
      <w:pPr>
        <w:pStyle w:val="0"/>
        <w:spacing w:before="240" w:lineRule="auto"/>
        <w:ind w:firstLine="540"/>
        <w:jc w:val="both"/>
      </w:pPr>
      <w:r>
        <w:rPr>
          <w:sz w:val="24"/>
        </w:rPr>
        <w:t xml:space="preserve">- зон общественного питания;</w:t>
      </w:r>
    </w:p>
    <w:p>
      <w:pPr>
        <w:pStyle w:val="0"/>
        <w:spacing w:before="240" w:lineRule="auto"/>
        <w:ind w:firstLine="540"/>
        <w:jc w:val="both"/>
      </w:pPr>
      <w:r>
        <w:rPr>
          <w:sz w:val="24"/>
        </w:rPr>
        <w:t xml:space="preserve">- торговых помещений, имеющих товары со специфическими запахами;</w:t>
      </w:r>
    </w:p>
    <w:p>
      <w:pPr>
        <w:pStyle w:val="0"/>
        <w:spacing w:before="240" w:lineRule="auto"/>
        <w:ind w:firstLine="540"/>
        <w:jc w:val="both"/>
      </w:pPr>
      <w:r>
        <w:rPr>
          <w:sz w:val="24"/>
        </w:rPr>
        <w:t xml:space="preserve">- помещений бытового обслуживания;</w:t>
      </w:r>
    </w:p>
    <w:p>
      <w:pPr>
        <w:pStyle w:val="0"/>
        <w:spacing w:before="240" w:lineRule="auto"/>
        <w:ind w:firstLine="540"/>
        <w:jc w:val="both"/>
      </w:pPr>
      <w:r>
        <w:rPr>
          <w:sz w:val="24"/>
        </w:rPr>
        <w:t xml:space="preserve">- спортивных залов, расположенных под жилыми или общественными помещениями.</w:t>
      </w:r>
    </w:p>
    <w:p>
      <w:pPr>
        <w:pStyle w:val="0"/>
        <w:spacing w:before="240" w:lineRule="auto"/>
        <w:ind w:firstLine="540"/>
        <w:jc w:val="both"/>
      </w:pPr>
      <w:r>
        <w:rPr>
          <w:sz w:val="24"/>
        </w:rPr>
        <w:t xml:space="preserve">Допускается организовывать выброс воздуха над кровлей других зданий, входящих в комплекс высотных зданий при условии расстояния от него до окон более высоких зданий не менее 15 м.</w:t>
      </w:r>
    </w:p>
    <w:p>
      <w:pPr>
        <w:pStyle w:val="0"/>
        <w:spacing w:before="240" w:lineRule="auto"/>
        <w:ind w:firstLine="540"/>
        <w:jc w:val="both"/>
      </w:pPr>
      <w:r>
        <w:rPr>
          <w:sz w:val="24"/>
        </w:rPr>
        <w:t xml:space="preserve">Допускается организовывать выброс воздуха общеобменных систем вентиляции общественных зданий с открывающимися окнами горизонтально с уровней технических этажей, обеспечивая скорость выхода воздуха не менее 2,5 м/с.</w:t>
      </w:r>
    </w:p>
    <w:p>
      <w:pPr>
        <w:pStyle w:val="0"/>
        <w:spacing w:before="240" w:lineRule="auto"/>
        <w:ind w:firstLine="540"/>
        <w:jc w:val="both"/>
      </w:pPr>
      <w:r>
        <w:rPr>
          <w:sz w:val="24"/>
        </w:rPr>
        <w:t xml:space="preserve">Выбросные устройства технологических систем вентиляции общественных зданий для удаления воздуха при наличии неприятно пахнущих веществ или загрязнений (ресторанов, кухонь, санузлов) при неоткрывающихся окнах следует оборудовать абсорбционными фильтрами-поглотителями запахов или системами каталитического дожигания.</w:t>
      </w:r>
    </w:p>
    <w:p>
      <w:pPr>
        <w:pStyle w:val="0"/>
        <w:spacing w:before="240" w:lineRule="auto"/>
        <w:ind w:firstLine="540"/>
        <w:jc w:val="both"/>
      </w:pPr>
      <w:r>
        <w:rPr>
          <w:sz w:val="24"/>
        </w:rPr>
        <w:t xml:space="preserve">Выбросы воздуха по высоте здания при этом необходимо выполнять через решетки, установленные под углом 45° вниз, со скоростью в "живом" сечении решетки не менее 5 м/с.</w:t>
      </w:r>
    </w:p>
    <w:p>
      <w:pPr>
        <w:pStyle w:val="0"/>
        <w:jc w:val="both"/>
      </w:pPr>
      <w:r>
        <w:rPr>
          <w:sz w:val="24"/>
        </w:rPr>
        <w:t xml:space="preserve">(п. 8.13 в ред. </w:t>
      </w:r>
      <w:hyperlink w:history="0" r:id="rId2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8.14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на расстоянии между ними при соблюдении одного из условий:</w:t>
      </w:r>
    </w:p>
    <w:p>
      <w:pPr>
        <w:pStyle w:val="0"/>
        <w:spacing w:before="240" w:lineRule="auto"/>
        <w:ind w:firstLine="540"/>
        <w:jc w:val="both"/>
      </w:pPr>
      <w:r>
        <w:rPr>
          <w:sz w:val="24"/>
        </w:rPr>
        <w:t xml:space="preserve">- не менее 5 калибров - по эквивалентному диаметру наибольшего отверстия;</w:t>
      </w:r>
    </w:p>
    <w:p>
      <w:pPr>
        <w:pStyle w:val="0"/>
        <w:spacing w:before="240" w:lineRule="auto"/>
        <w:ind w:firstLine="540"/>
        <w:jc w:val="both"/>
      </w:pPr>
      <w:r>
        <w:rPr>
          <w:sz w:val="24"/>
        </w:rPr>
        <w:t xml:space="preserve">- 10 м - по горизонтали;</w:t>
      </w:r>
    </w:p>
    <w:p>
      <w:pPr>
        <w:pStyle w:val="0"/>
        <w:spacing w:before="240" w:lineRule="auto"/>
        <w:ind w:firstLine="540"/>
        <w:jc w:val="both"/>
      </w:pPr>
      <w:r>
        <w:rPr>
          <w:sz w:val="24"/>
        </w:rPr>
        <w:t xml:space="preserve">- 6 м по вертикали - при горизонтальном расстоянии менее 10 м.</w:t>
      </w:r>
    </w:p>
    <w:p>
      <w:pPr>
        <w:pStyle w:val="0"/>
        <w:jc w:val="both"/>
      </w:pPr>
      <w:r>
        <w:rPr>
          <w:sz w:val="24"/>
        </w:rPr>
        <w:t xml:space="preserve">(п. 8.14 в ред. </w:t>
      </w:r>
      <w:hyperlink w:history="0" r:id="rId22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8.15 Воздушные и воздушно-тепловые завесы следует предусматривать у наружных дверей вестибюлей высотных зданий при расчетной температуре наружного воздуха ниже минус 15 °C (СП 131.13330.2020, параметры Б по </w:t>
      </w:r>
      <w:hyperlink w:history="0" r:id="rId221"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таблице 10.1</w:t>
        </w:r>
      </w:hyperlink>
      <w:r>
        <w:rPr>
          <w:sz w:val="24"/>
        </w:rPr>
        <w:t xml:space="preserve">).</w:t>
      </w:r>
    </w:p>
    <w:p>
      <w:pPr>
        <w:pStyle w:val="0"/>
        <w:jc w:val="both"/>
      </w:pPr>
      <w:r>
        <w:rPr>
          <w:sz w:val="24"/>
        </w:rPr>
        <w:t xml:space="preserve">(в ред. </w:t>
      </w:r>
      <w:hyperlink w:history="0" r:id="rId22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Расчетную температуру смеси воздуха, поступающего в помещение через наружные двери следует принимать не менее 16 °C.</w:t>
      </w:r>
    </w:p>
    <w:p>
      <w:pPr>
        <w:pStyle w:val="0"/>
        <w:spacing w:before="240" w:lineRule="auto"/>
        <w:ind w:firstLine="540"/>
        <w:jc w:val="both"/>
      </w:pPr>
      <w:r>
        <w:rPr>
          <w:sz w:val="24"/>
        </w:rPr>
        <w:t xml:space="preserve">Рекомендуется создавать подпор воздуха во входных вестибюлях высотных зданий от самостоятельной приточной системы для нормализации работы лифтов высотного здания.</w:t>
      </w:r>
    </w:p>
    <w:p>
      <w:pPr>
        <w:pStyle w:val="0"/>
        <w:spacing w:before="240" w:lineRule="auto"/>
        <w:ind w:firstLine="540"/>
        <w:jc w:val="both"/>
      </w:pPr>
      <w:r>
        <w:rPr>
          <w:sz w:val="24"/>
        </w:rPr>
        <w:t xml:space="preserve">8.16 Для снижения уровня шума механические системы (приточные и вытяжные) следует оборудовать глушителями аэродинамического шума, устанавливаемыми до и после вентиляторов.</w:t>
      </w:r>
    </w:p>
    <w:p>
      <w:pPr>
        <w:pStyle w:val="0"/>
        <w:spacing w:before="240" w:lineRule="auto"/>
        <w:ind w:firstLine="540"/>
        <w:jc w:val="both"/>
      </w:pPr>
      <w:r>
        <w:rPr>
          <w:sz w:val="24"/>
        </w:rPr>
        <w:t xml:space="preserve">8.17 Долговечность оборудования и материалов для систем вентиляции и кондиционирования должна составлять не менее 25 лет.</w:t>
      </w:r>
    </w:p>
    <w:p>
      <w:pPr>
        <w:pStyle w:val="0"/>
        <w:spacing w:before="240" w:lineRule="auto"/>
        <w:ind w:firstLine="540"/>
        <w:jc w:val="both"/>
      </w:pPr>
      <w:r>
        <w:rPr>
          <w:sz w:val="24"/>
        </w:rPr>
        <w:t xml:space="preserve">Примечание - Срок службы оборудования и материалов систем устанавливается изготовителем и указывается в паспорте трубопровода или оборудования.</w:t>
      </w:r>
    </w:p>
    <w:p>
      <w:pPr>
        <w:pStyle w:val="0"/>
        <w:ind w:firstLine="540"/>
        <w:jc w:val="both"/>
      </w:pPr>
      <w:r>
        <w:rPr>
          <w:sz w:val="24"/>
        </w:rPr>
      </w:r>
    </w:p>
    <w:p>
      <w:pPr>
        <w:pStyle w:val="0"/>
        <w:ind w:firstLine="540"/>
        <w:jc w:val="both"/>
      </w:pPr>
      <w:r>
        <w:rPr>
          <w:sz w:val="24"/>
        </w:rPr>
        <w:t xml:space="preserve">8.18 Наружные блоки кондиционеров, устанавливаемые для технологического охлаждения оборудования электрощитовых, помещений слаботочных систем и помещений вспомогательного назначения, находящихся на территории пожарного отсека стоянки автомобилей, не допускается устанавливать в помещениях стоянок автомобилей и рампы.</w:t>
      </w:r>
    </w:p>
    <w:p>
      <w:pPr>
        <w:pStyle w:val="0"/>
        <w:jc w:val="both"/>
      </w:pPr>
      <w:r>
        <w:rPr>
          <w:sz w:val="24"/>
        </w:rPr>
        <w:t xml:space="preserve">(п. 8.18 введен </w:t>
      </w:r>
      <w:hyperlink w:history="0" r:id="rId22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8.19 Допускается выполнение общих систем общеобменной вентиляции в пределах пожарного отсека стоянки автомобилей для групп технических и складских помещений одной и (или) разных категорий по взрывопожарной и пожарной опасности (В1 - В4 и Д, в том числе в любых сочетаниях), при условии установки противопожарных нормально открытых клапанов на воздуховодах в местах пересечения ограждающих конструкций указанных помещений. При этом огнестойкость клапана должна быть не ниже EI 15, а при пересечении конструкций с нормируемым пределом огнестойкости - приниматься в соответствии с требованиями </w:t>
      </w:r>
      <w:hyperlink w:history="0" r:id="rId22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jc w:val="both"/>
      </w:pPr>
      <w:r>
        <w:rPr>
          <w:sz w:val="24"/>
        </w:rPr>
        <w:t xml:space="preserve">(п. 8.19 введен </w:t>
      </w:r>
      <w:hyperlink w:history="0" r:id="rId22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9 Системы холодоснабжения</w:t>
      </w:r>
    </w:p>
    <w:p>
      <w:pPr>
        <w:pStyle w:val="0"/>
        <w:jc w:val="both"/>
      </w:pPr>
      <w:r>
        <w:rPr>
          <w:sz w:val="24"/>
        </w:rPr>
      </w:r>
    </w:p>
    <w:p>
      <w:pPr>
        <w:pStyle w:val="0"/>
        <w:ind w:firstLine="540"/>
        <w:jc w:val="both"/>
      </w:pPr>
      <w:r>
        <w:rPr>
          <w:sz w:val="24"/>
        </w:rPr>
        <w:t xml:space="preserve">9.1 Выбор принципиальных схем систем холодоснабжения и холодильных установок, а также компоновочных решений по размещению оборудования, необходимо выполнять на основании проектного решения и в соответствии с требованиями настоящего свода правил.</w:t>
      </w:r>
    </w:p>
    <w:p>
      <w:pPr>
        <w:pStyle w:val="0"/>
        <w:spacing w:before="240" w:lineRule="auto"/>
        <w:ind w:firstLine="540"/>
        <w:jc w:val="both"/>
      </w:pPr>
      <w:r>
        <w:rPr>
          <w:sz w:val="24"/>
        </w:rPr>
        <w:t xml:space="preserve">Системы ХС выполняют по одноконтурной или двухконтурной схеме.</w:t>
      </w:r>
    </w:p>
    <w:p>
      <w:pPr>
        <w:pStyle w:val="0"/>
        <w:spacing w:before="240" w:lineRule="auto"/>
        <w:ind w:firstLine="540"/>
        <w:jc w:val="both"/>
      </w:pPr>
      <w:r>
        <w:rPr>
          <w:sz w:val="24"/>
        </w:rPr>
        <w:t xml:space="preserve">9.2 Системы ХС можно проектировать отдельными для зон разного функционального назначения или для отдельных зон по высоте здания, исходя из условия ограничения гидростатического давления на элементы систем (трубопроводы, охлаждающие приборы, насосы, арматуру) и возможности размещения оборудования.</w:t>
      </w:r>
    </w:p>
    <w:p>
      <w:pPr>
        <w:pStyle w:val="0"/>
        <w:spacing w:before="240" w:lineRule="auto"/>
        <w:ind w:firstLine="540"/>
        <w:jc w:val="both"/>
      </w:pPr>
      <w:r>
        <w:rPr>
          <w:sz w:val="24"/>
        </w:rPr>
        <w:t xml:space="preserve">9.3 Максимальное гидростатическое давление, </w:t>
      </w:r>
      <w:r>
        <w:rPr>
          <w:position w:val="-11"/>
        </w:rPr>
        <w:drawing>
          <wp:inline distT="0" distB="0" distL="0" distR="0">
            <wp:extent cx="38798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387985" cy="298450"/>
                    </a:xfrm>
                    <a:prstGeom prst="rect">
                      <a:avLst/>
                    </a:prstGeom>
                    <a:noFill/>
                    <a:ln>
                      <a:noFill/>
                    </a:ln>
                  </pic:spPr>
                </pic:pic>
              </a:graphicData>
            </a:graphic>
          </wp:inline>
        </w:drawing>
      </w:r>
      <w:r>
        <w:rPr>
          <w:sz w:val="24"/>
        </w:rPr>
        <w:t xml:space="preserve"> в контурах системы ХС не должно превышать значение, определяемое по формуле</w:t>
      </w:r>
    </w:p>
    <w:p>
      <w:pPr>
        <w:pStyle w:val="0"/>
        <w:jc w:val="both"/>
      </w:pPr>
      <w:r>
        <w:rPr>
          <w:sz w:val="24"/>
        </w:rPr>
      </w:r>
    </w:p>
    <w:p>
      <w:pPr>
        <w:pStyle w:val="0"/>
        <w:jc w:val="center"/>
      </w:pPr>
      <w:r>
        <w:rPr>
          <w:position w:val="-27"/>
        </w:rPr>
        <w:drawing>
          <wp:inline distT="0" distB="0" distL="0" distR="0">
            <wp:extent cx="978535"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978535" cy="502920"/>
                    </a:xfrm>
                    <a:prstGeom prst="rect">
                      <a:avLst/>
                    </a:prstGeom>
                    <a:noFill/>
                    <a:ln>
                      <a:noFill/>
                    </a:ln>
                  </pic:spPr>
                </pic:pic>
              </a:graphicData>
            </a:graphic>
          </wp:inline>
        </w:drawing>
      </w:r>
      <w:r>
        <w:rPr>
          <w:sz w:val="24"/>
        </w:rPr>
        <w:t xml:space="preserve"> (9.1)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пасп</w:t>
      </w:r>
      <w:r>
        <w:rPr>
          <w:sz w:val="24"/>
        </w:rPr>
        <w:t xml:space="preserve"> - паспортное значение давления элемента системы, кПа.</w:t>
      </w:r>
    </w:p>
    <w:p>
      <w:pPr>
        <w:pStyle w:val="0"/>
        <w:spacing w:before="240" w:lineRule="auto"/>
        <w:ind w:firstLine="540"/>
        <w:jc w:val="both"/>
      </w:pPr>
      <w:r>
        <w:rPr>
          <w:sz w:val="24"/>
        </w:rPr>
        <w:t xml:space="preserve">Система ХС должна быть оснащена предохранительными клапанами с безопасным и организованным сбросом хладагента.</w:t>
      </w:r>
    </w:p>
    <w:p>
      <w:pPr>
        <w:pStyle w:val="0"/>
        <w:spacing w:before="240" w:lineRule="auto"/>
        <w:ind w:firstLine="540"/>
        <w:jc w:val="both"/>
      </w:pPr>
      <w:r>
        <w:rPr>
          <w:sz w:val="24"/>
        </w:rPr>
        <w:t xml:space="preserve">На трубопроводах систем ХС необходимо предусматривать компенсацию тепловых удлинений, а также объемных расширений холодоносителя и теплоносителя.</w:t>
      </w:r>
    </w:p>
    <w:p>
      <w:pPr>
        <w:pStyle w:val="0"/>
        <w:jc w:val="both"/>
      </w:pPr>
      <w:r>
        <w:rPr>
          <w:sz w:val="24"/>
        </w:rPr>
        <w:t xml:space="preserve">(п. 9.3 в ред. </w:t>
      </w:r>
      <w:hyperlink w:history="0" r:id="rId22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9.4 В системах ХС высотных зданий следует предусматривать не менее двух холодильных машин или одну машину с двумя и больше компрессорами и испарительными контурами, обеспечивая не менее 50% холодопроизводительности каждой машиной (компрессором и испарительным контуром).</w:t>
      </w:r>
    </w:p>
    <w:p>
      <w:pPr>
        <w:pStyle w:val="0"/>
        <w:spacing w:before="240" w:lineRule="auto"/>
        <w:ind w:firstLine="540"/>
        <w:jc w:val="both"/>
      </w:pPr>
      <w:r>
        <w:rPr>
          <w:sz w:val="24"/>
        </w:rPr>
        <w:t xml:space="preserve">Резервирование холодильного оборудования следует предусматривать по заданию на проектирование.</w:t>
      </w:r>
    </w:p>
    <w:p>
      <w:pPr>
        <w:pStyle w:val="0"/>
        <w:spacing w:before="240" w:lineRule="auto"/>
        <w:ind w:firstLine="540"/>
        <w:jc w:val="both"/>
      </w:pPr>
      <w:r>
        <w:rPr>
          <w:sz w:val="24"/>
        </w:rPr>
        <w:t xml:space="preserve">9.5 При проектировании систем ХС следует применять оборудование, работающее на экологически безопасных хладагентах.</w:t>
      </w:r>
    </w:p>
    <w:p>
      <w:pPr>
        <w:pStyle w:val="0"/>
        <w:spacing w:before="240" w:lineRule="auto"/>
        <w:ind w:firstLine="540"/>
        <w:jc w:val="both"/>
      </w:pPr>
      <w:r>
        <w:rPr>
          <w:sz w:val="24"/>
        </w:rPr>
        <w:t xml:space="preserve">9.6 Холодильные машины и оборудование систем ХС допускается размещать на обслуживаемых или технических этажах высотной части здания с учетом требований </w:t>
      </w:r>
      <w:hyperlink w:history="0" r:id="rId22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Холодильные машины компрессионного типа, при содержании в любой из них масла массой 250 кг и более, не допускается размещать в помещениях общественных и административных высотных зданий, если непосредственно над их перекрытием или под полом есть помещения с массовым (кроме аварийных ситуаций) пребыванием людей.</w:t>
      </w:r>
    </w:p>
    <w:p>
      <w:pPr>
        <w:pStyle w:val="0"/>
        <w:spacing w:before="240" w:lineRule="auto"/>
        <w:ind w:firstLine="540"/>
        <w:jc w:val="both"/>
      </w:pPr>
      <w:r>
        <w:rPr>
          <w:sz w:val="24"/>
        </w:rPr>
        <w:t xml:space="preserve">Абсорбционные холодильные машины допускается применять при централизованном теплоснабжении, в случае получения технических условий от теплоснабжающей организации, которая гарантирует постоянную температуру не менее 115 °C - 95 °C в подающем трубопроводе в теплый период года.</w:t>
      </w:r>
    </w:p>
    <w:p>
      <w:pPr>
        <w:pStyle w:val="0"/>
        <w:spacing w:before="240" w:lineRule="auto"/>
        <w:ind w:firstLine="540"/>
        <w:jc w:val="both"/>
      </w:pPr>
      <w:r>
        <w:rPr>
          <w:sz w:val="24"/>
        </w:rPr>
        <w:t xml:space="preserve">Холодильные машины с хладагентом производительностью по холоду одной единицы оборудования более 1000 кВт не допускается размещать в помещениях жилых зданий и гостиниц, если непосредственно над их перекрытием или под полом есть помещения с массовым (кроме аварийных ситуаций) пребыванием людей.</w:t>
      </w:r>
    </w:p>
    <w:p>
      <w:pPr>
        <w:pStyle w:val="0"/>
        <w:spacing w:before="240" w:lineRule="auto"/>
        <w:ind w:firstLine="540"/>
        <w:jc w:val="both"/>
      </w:pPr>
      <w:r>
        <w:rPr>
          <w:sz w:val="24"/>
        </w:rPr>
        <w:t xml:space="preserve">Бромисто-литиевые холодильные машины размещают в отдельных зданиях, допускается их размещение в технических помещениях высотных зданий, АИТ и ЭЦ.</w:t>
      </w:r>
    </w:p>
    <w:p>
      <w:pPr>
        <w:pStyle w:val="0"/>
        <w:spacing w:before="240" w:lineRule="auto"/>
        <w:ind w:firstLine="540"/>
        <w:jc w:val="both"/>
      </w:pPr>
      <w:r>
        <w:rPr>
          <w:sz w:val="24"/>
        </w:rPr>
        <w:t xml:space="preserve">Холодильные машины с водяным охлаждением конденсаторов (водой или незамерзающей жидкостью) рекомендуется размещать в подвальных помещениях.</w:t>
      </w:r>
    </w:p>
    <w:p>
      <w:pPr>
        <w:pStyle w:val="0"/>
        <w:spacing w:before="240" w:lineRule="auto"/>
        <w:ind w:firstLine="540"/>
        <w:jc w:val="both"/>
      </w:pPr>
      <w:r>
        <w:rPr>
          <w:sz w:val="24"/>
        </w:rPr>
        <w:t xml:space="preserve">Градирни или поверхностные охладители, а также выносные конденсаторы с воздушным охлаждением, могут быть установлены на открытых площадках, на кровле, стилобатной части или технических этажах.</w:t>
      </w:r>
    </w:p>
    <w:p>
      <w:pPr>
        <w:pStyle w:val="0"/>
        <w:spacing w:before="240" w:lineRule="auto"/>
        <w:ind w:firstLine="540"/>
        <w:jc w:val="both"/>
      </w:pPr>
      <w:r>
        <w:rPr>
          <w:sz w:val="24"/>
        </w:rPr>
        <w:t xml:space="preserve">При выборе места установки холодильных машин и вентиляторных градирен следует исключить попадание выбрасываемого воздуха к воздухоприемным устройствам систем вентиляции и кондиционирования.</w:t>
      </w:r>
    </w:p>
    <w:p>
      <w:pPr>
        <w:pStyle w:val="0"/>
        <w:spacing w:before="240" w:lineRule="auto"/>
        <w:ind w:firstLine="540"/>
        <w:jc w:val="both"/>
      </w:pPr>
      <w:r>
        <w:rPr>
          <w:sz w:val="24"/>
        </w:rPr>
        <w:t xml:space="preserve">9.7 Технические помещения здания, в которых расположены системы ХС, должны быть оборудованы аварийной вентиляцией для удаления хладагента при его утечке.</w:t>
      </w:r>
    </w:p>
    <w:p>
      <w:pPr>
        <w:pStyle w:val="0"/>
        <w:spacing w:before="240" w:lineRule="auto"/>
        <w:ind w:firstLine="540"/>
        <w:jc w:val="both"/>
      </w:pPr>
      <w:r>
        <w:rPr>
          <w:sz w:val="24"/>
        </w:rPr>
        <w:t xml:space="preserve">Рекомендуется предусматривать аварийный выброс фреона на улицу в случае аварии. Выброс хладонов следует выполнять с учетом требований </w:t>
      </w:r>
      <w:hyperlink w:history="0" r:id="rId23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jc w:val="both"/>
      </w:pPr>
      <w:r>
        <w:rPr>
          <w:sz w:val="24"/>
        </w:rPr>
        <w:t xml:space="preserve">(п. 9.7 в ред. </w:t>
      </w:r>
      <w:hyperlink w:history="0" r:id="rId23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9.8 Систему ХС для систем вентиляции и кондиционирования следует проектировать с применением естественных и искусственных источников холода для получения нормируемых метеорологических условий заданной обеспеченности.</w:t>
      </w:r>
    </w:p>
    <w:p>
      <w:pPr>
        <w:pStyle w:val="0"/>
        <w:spacing w:before="240" w:lineRule="auto"/>
        <w:ind w:firstLine="540"/>
        <w:jc w:val="both"/>
      </w:pPr>
      <w:r>
        <w:rPr>
          <w:sz w:val="24"/>
        </w:rPr>
        <w:t xml:space="preserve">9.9 В качестве естественного источника холода следует применять наружный воздух:</w:t>
      </w:r>
    </w:p>
    <w:p>
      <w:pPr>
        <w:pStyle w:val="0"/>
        <w:spacing w:before="240" w:lineRule="auto"/>
        <w:ind w:firstLine="540"/>
        <w:jc w:val="both"/>
      </w:pPr>
      <w:r>
        <w:rPr>
          <w:sz w:val="24"/>
        </w:rPr>
        <w:t xml:space="preserve">- в теплый период года - для косвенного испарительного охлаждения (охлаждение вытяжного воздуха с последующим теплообменом через теплоутилизаторы);</w:t>
      </w:r>
    </w:p>
    <w:p>
      <w:pPr>
        <w:pStyle w:val="0"/>
        <w:spacing w:before="240" w:lineRule="auto"/>
        <w:ind w:firstLine="540"/>
        <w:jc w:val="both"/>
      </w:pPr>
      <w:r>
        <w:rPr>
          <w:sz w:val="24"/>
        </w:rPr>
        <w:t xml:space="preserve">- в переходный и холодный периоды года - для непосредственной ассимиляции теплоизбытков в помещениях.</w:t>
      </w:r>
    </w:p>
    <w:p>
      <w:pPr>
        <w:pStyle w:val="0"/>
        <w:spacing w:before="240" w:lineRule="auto"/>
        <w:ind w:firstLine="540"/>
        <w:jc w:val="both"/>
      </w:pPr>
      <w:r>
        <w:rPr>
          <w:sz w:val="24"/>
        </w:rPr>
        <w:t xml:space="preserve">Примечание - В холодный период года при использовании наружного воздуха для охлаждения следует использовать охладители с антифризами в качестве промежуточного холодоносителя.</w:t>
      </w:r>
    </w:p>
    <w:p>
      <w:pPr>
        <w:pStyle w:val="0"/>
        <w:jc w:val="both"/>
      </w:pPr>
      <w:r>
        <w:rPr>
          <w:sz w:val="24"/>
        </w:rPr>
        <w:t xml:space="preserve">(п. 9.9 в ред. </w:t>
      </w:r>
      <w:hyperlink w:history="0" r:id="rId23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9.10 В качестве искусственных источников холода следует использовать:</w:t>
      </w:r>
    </w:p>
    <w:p>
      <w:pPr>
        <w:pStyle w:val="0"/>
        <w:spacing w:before="240" w:lineRule="auto"/>
        <w:ind w:firstLine="540"/>
        <w:jc w:val="both"/>
      </w:pPr>
      <w:r>
        <w:rPr>
          <w:sz w:val="24"/>
        </w:rPr>
        <w:t xml:space="preserve">парокомпрессионные холодильные машины (роторные, спиральные, винтовые, центробежные);</w:t>
      </w:r>
    </w:p>
    <w:p>
      <w:pPr>
        <w:pStyle w:val="0"/>
        <w:spacing w:before="240" w:lineRule="auto"/>
        <w:ind w:firstLine="540"/>
        <w:jc w:val="both"/>
      </w:pPr>
      <w:r>
        <w:rPr>
          <w:sz w:val="24"/>
        </w:rPr>
        <w:t xml:space="preserve">бромисто-литиевые абсорбционные холодильные машины;</w:t>
      </w:r>
    </w:p>
    <w:p>
      <w:pPr>
        <w:pStyle w:val="0"/>
        <w:spacing w:before="240" w:lineRule="auto"/>
        <w:ind w:firstLine="540"/>
        <w:jc w:val="both"/>
      </w:pPr>
      <w:r>
        <w:rPr>
          <w:sz w:val="24"/>
        </w:rPr>
        <w:t xml:space="preserve">хладоновые холодильные машины непосредственного охлаждения (раздельного типа, моноблоки и др.);</w:t>
      </w:r>
    </w:p>
    <w:p>
      <w:pPr>
        <w:pStyle w:val="0"/>
        <w:spacing w:before="240" w:lineRule="auto"/>
        <w:ind w:firstLine="540"/>
        <w:jc w:val="both"/>
      </w:pPr>
      <w:r>
        <w:rPr>
          <w:sz w:val="24"/>
        </w:rPr>
        <w:t xml:space="preserve">тепловые насосы;</w:t>
      </w:r>
    </w:p>
    <w:p>
      <w:pPr>
        <w:pStyle w:val="0"/>
        <w:spacing w:before="240" w:lineRule="auto"/>
        <w:ind w:firstLine="540"/>
        <w:jc w:val="both"/>
      </w:pPr>
      <w:r>
        <w:rPr>
          <w:sz w:val="24"/>
        </w:rPr>
        <w:t xml:space="preserve">поршневые компрессоры.</w:t>
      </w:r>
    </w:p>
    <w:p>
      <w:pPr>
        <w:pStyle w:val="0"/>
        <w:spacing w:before="240" w:lineRule="auto"/>
        <w:ind w:firstLine="540"/>
        <w:jc w:val="both"/>
      </w:pPr>
      <w:r>
        <w:rPr>
          <w:sz w:val="24"/>
        </w:rPr>
        <w:t xml:space="preserve">Примечание - Поршневые компрессоры рекомендуется применять при реконструкции и расширении существующих холодильных центров с поршневыми компрессорами, а также в схемах с низкотемпературным холодом (двухступенчатые компрессоры).</w:t>
      </w:r>
    </w:p>
    <w:p>
      <w:pPr>
        <w:pStyle w:val="0"/>
        <w:jc w:val="both"/>
      </w:pPr>
      <w:r>
        <w:rPr>
          <w:sz w:val="24"/>
        </w:rPr>
      </w:r>
    </w:p>
    <w:p>
      <w:pPr>
        <w:pStyle w:val="0"/>
        <w:ind w:firstLine="540"/>
        <w:jc w:val="both"/>
      </w:pPr>
      <w:r>
        <w:rPr>
          <w:sz w:val="24"/>
        </w:rPr>
        <w:t xml:space="preserve">9.11 Резервные холодильные машины допускается предусматривать для систем кондиционирования, работающих круглосуточно.</w:t>
      </w:r>
    </w:p>
    <w:p>
      <w:pPr>
        <w:pStyle w:val="0"/>
        <w:spacing w:before="240" w:lineRule="auto"/>
        <w:ind w:firstLine="540"/>
        <w:jc w:val="both"/>
      </w:pPr>
      <w:r>
        <w:rPr>
          <w:sz w:val="24"/>
        </w:rPr>
        <w:t xml:space="preserve">Для помещений серверных, вычислительных центров кроссовых и других подобных помещений для обеспечения особых технологических требований к параметрам воздуха следует устанавливать резервные источники холода с питанием их от источника энергоснабжения первой категории.</w:t>
      </w:r>
    </w:p>
    <w:p>
      <w:pPr>
        <w:pStyle w:val="0"/>
        <w:spacing w:before="240" w:lineRule="auto"/>
        <w:ind w:firstLine="540"/>
        <w:jc w:val="both"/>
      </w:pPr>
      <w:r>
        <w:rPr>
          <w:sz w:val="24"/>
        </w:rPr>
        <w:t xml:space="preserve">9.12 Потери холода в оборудовании и трубопроводах не должны превышать 10% мощности холодильной установки. Следует предусматривать тепловую изоляцию трубопроводов и арматуры изделиями с низкой паропроницаемостью.</w:t>
      </w:r>
    </w:p>
    <w:p>
      <w:pPr>
        <w:pStyle w:val="0"/>
        <w:jc w:val="both"/>
      </w:pPr>
      <w:r>
        <w:rPr>
          <w:sz w:val="24"/>
        </w:rPr>
        <w:t xml:space="preserve">(п. 9.12 в ред. </w:t>
      </w:r>
      <w:hyperlink w:history="0" r:id="rId23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9.13 Поверхностные воздухоохладители с прямым испарением хладонов, контактные воздухоохладители со встроенными хладоновыми испарителями, автономные моноблочные кондиционеры, а также внутренние блоки кондиционеров раздельного типа допускается применять:</w:t>
      </w:r>
    </w:p>
    <w:p>
      <w:pPr>
        <w:pStyle w:val="0"/>
        <w:spacing w:before="240" w:lineRule="auto"/>
        <w:ind w:firstLine="540"/>
        <w:jc w:val="both"/>
      </w:pPr>
      <w:r>
        <w:rPr>
          <w:sz w:val="24"/>
        </w:rPr>
        <w:t xml:space="preserve">- для помещений, в которых не используется открытый огонь;</w:t>
      </w:r>
    </w:p>
    <w:p>
      <w:pPr>
        <w:pStyle w:val="0"/>
        <w:spacing w:before="240" w:lineRule="auto"/>
        <w:ind w:firstLine="540"/>
        <w:jc w:val="both"/>
      </w:pPr>
      <w:r>
        <w:rPr>
          <w:sz w:val="24"/>
        </w:rPr>
        <w:t xml:space="preserve">- для помещений, в которых не допускается рециркуляция воздуха;</w:t>
      </w:r>
    </w:p>
    <w:p>
      <w:pPr>
        <w:pStyle w:val="0"/>
        <w:spacing w:before="240" w:lineRule="auto"/>
        <w:ind w:firstLine="540"/>
        <w:jc w:val="both"/>
      </w:pPr>
      <w:r>
        <w:rPr>
          <w:sz w:val="24"/>
        </w:rPr>
        <w:t xml:space="preserve">- если масса хладона при аварийном выбросе его из контура циркуляции в меньшее из обслуживаемых помещений, оборудованных приточно-вытяжной вентиляцией, не превысит допустимой аварийной концентрации (ДАК) на 1 м</w:t>
      </w:r>
      <w:r>
        <w:rPr>
          <w:sz w:val="24"/>
          <w:vertAlign w:val="superscript"/>
        </w:rPr>
        <w:t xml:space="preserve">3</w:t>
      </w:r>
      <w:r>
        <w:rPr>
          <w:sz w:val="24"/>
        </w:rPr>
        <w:t xml:space="preserve"> расхода наружного воздуха, подаваемого в помещение.</w:t>
      </w:r>
    </w:p>
    <w:p>
      <w:pPr>
        <w:pStyle w:val="0"/>
        <w:spacing w:before="240" w:lineRule="auto"/>
        <w:ind w:firstLine="540"/>
        <w:jc w:val="both"/>
      </w:pPr>
      <w:r>
        <w:rPr>
          <w:sz w:val="24"/>
        </w:rPr>
        <w:t xml:space="preserve">Примечание - При отсутствии общеобменной приточно-вытяжной вентиляции массу хладона определяют в 1 м</w:t>
      </w:r>
      <w:r>
        <w:rPr>
          <w:sz w:val="24"/>
          <w:vertAlign w:val="superscript"/>
        </w:rPr>
        <w:t xml:space="preserve">3</w:t>
      </w:r>
      <w:r>
        <w:rPr>
          <w:sz w:val="24"/>
        </w:rPr>
        <w:t xml:space="preserve"> объема помещения.</w:t>
      </w:r>
    </w:p>
    <w:p>
      <w:pPr>
        <w:pStyle w:val="0"/>
        <w:jc w:val="both"/>
      </w:pPr>
      <w:r>
        <w:rPr>
          <w:sz w:val="24"/>
        </w:rPr>
      </w:r>
    </w:p>
    <w:p>
      <w:pPr>
        <w:pStyle w:val="0"/>
        <w:ind w:firstLine="540"/>
        <w:jc w:val="both"/>
      </w:pPr>
      <w:r>
        <w:rPr>
          <w:sz w:val="24"/>
        </w:rPr>
        <w:t xml:space="preserve">Если воздухоохладитель обслуживает группу помещений, то в любом из них концентрацию хладона </w:t>
      </w:r>
      <w:r>
        <w:rPr>
          <w:sz w:val="24"/>
          <w:i w:val="on"/>
        </w:rPr>
        <w:t xml:space="preserve">q</w:t>
      </w:r>
      <w:r>
        <w:rPr>
          <w:sz w:val="24"/>
        </w:rPr>
        <w:t xml:space="preserve">, г/м</w:t>
      </w:r>
      <w:r>
        <w:rPr>
          <w:sz w:val="24"/>
          <w:vertAlign w:val="superscript"/>
        </w:rPr>
        <w:t xml:space="preserve">3</w:t>
      </w:r>
      <w:r>
        <w:rPr>
          <w:sz w:val="24"/>
        </w:rPr>
        <w:t xml:space="preserve">, следует определять по формуле</w:t>
      </w:r>
    </w:p>
    <w:p>
      <w:pPr>
        <w:pStyle w:val="0"/>
        <w:jc w:val="both"/>
      </w:pPr>
      <w:r>
        <w:rPr>
          <w:sz w:val="24"/>
        </w:rPr>
      </w:r>
    </w:p>
    <w:p>
      <w:pPr>
        <w:pStyle w:val="0"/>
        <w:jc w:val="center"/>
      </w:pPr>
      <w:r>
        <w:rPr>
          <w:position w:val="-29"/>
        </w:rPr>
        <w:drawing>
          <wp:inline distT="0" distB="0" distL="0" distR="0">
            <wp:extent cx="868680" cy="528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868680" cy="528320"/>
                    </a:xfrm>
                    <a:prstGeom prst="rect">
                      <a:avLst/>
                    </a:prstGeom>
                    <a:noFill/>
                    <a:ln>
                      <a:noFill/>
                    </a:ln>
                  </pic:spPr>
                </pic:pic>
              </a:graphicData>
            </a:graphic>
          </wp:inline>
        </w:drawing>
      </w:r>
      <w:r>
        <w:rPr>
          <w:sz w:val="24"/>
        </w:rPr>
        <w:t xml:space="preserve"> (9.2)</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масса хладона в контуре циркуляции, г;</w:t>
      </w:r>
    </w:p>
    <w:p>
      <w:pPr>
        <w:pStyle w:val="0"/>
        <w:spacing w:before="240" w:lineRule="auto"/>
        <w:ind w:firstLine="540"/>
        <w:jc w:val="both"/>
      </w:pPr>
      <w:r>
        <w:rPr>
          <w:sz w:val="24"/>
          <w:i w:val="on"/>
        </w:rPr>
        <w:t xml:space="preserve">L</w:t>
      </w:r>
      <w:r>
        <w:rPr>
          <w:sz w:val="24"/>
          <w:vertAlign w:val="subscript"/>
        </w:rPr>
        <w:t xml:space="preserve">e</w:t>
      </w:r>
      <w:r>
        <w:rPr>
          <w:sz w:val="24"/>
        </w:rPr>
        <w:t xml:space="preserve"> - расход наружного воздуха, подаваемого в конкретное помещение,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V</w:t>
      </w:r>
      <w:r>
        <w:rPr>
          <w:sz w:val="24"/>
          <w:vertAlign w:val="subscript"/>
        </w:rPr>
        <w:t xml:space="preserve">p</w:t>
      </w:r>
      <w:r>
        <w:rPr>
          <w:sz w:val="24"/>
        </w:rPr>
        <w:t xml:space="preserve"> - объем конкретного помещения, м</w:t>
      </w:r>
      <w:r>
        <w:rPr>
          <w:sz w:val="24"/>
          <w:vertAlign w:val="superscript"/>
        </w:rPr>
        <w:t xml:space="preserve">3</w:t>
      </w:r>
      <w:r>
        <w:rPr>
          <w:sz w:val="24"/>
        </w:rPr>
        <w:t xml:space="preserve">;</w:t>
      </w:r>
    </w:p>
    <w:p>
      <w:pPr>
        <w:pStyle w:val="0"/>
        <w:spacing w:before="240" w:lineRule="auto"/>
        <w:ind w:firstLine="540"/>
        <w:jc w:val="both"/>
      </w:pPr>
      <w:r>
        <w:rPr>
          <w:position w:val="-9"/>
        </w:rPr>
        <w:drawing>
          <wp:inline distT="0" distB="0" distL="0" distR="0">
            <wp:extent cx="30162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301625" cy="274320"/>
                    </a:xfrm>
                    <a:prstGeom prst="rect">
                      <a:avLst/>
                    </a:prstGeom>
                    <a:noFill/>
                    <a:ln>
                      <a:noFill/>
                    </a:ln>
                  </pic:spPr>
                </pic:pic>
              </a:graphicData>
            </a:graphic>
          </wp:inline>
        </w:drawing>
      </w:r>
      <w:r>
        <w:rPr>
          <w:sz w:val="24"/>
        </w:rPr>
        <w:t xml:space="preserve"> - общий расход наружного воздуха, подаваемого во все помещения, м</w:t>
      </w:r>
      <w:r>
        <w:rPr>
          <w:sz w:val="24"/>
          <w:vertAlign w:val="superscript"/>
        </w:rPr>
        <w:t xml:space="preserve">3</w:t>
      </w:r>
      <w:r>
        <w:rPr>
          <w:sz w:val="24"/>
        </w:rPr>
        <w:t xml:space="preserve">/ч.</w:t>
      </w:r>
    </w:p>
    <w:p>
      <w:pPr>
        <w:pStyle w:val="0"/>
        <w:spacing w:before="240" w:lineRule="auto"/>
        <w:ind w:firstLine="540"/>
        <w:jc w:val="both"/>
      </w:pPr>
      <w:r>
        <w:rPr>
          <w:sz w:val="24"/>
        </w:rPr>
        <w:t xml:space="preserve">Если расчетная концентрация превышает ДАК, а также при отсутствии общеобменной вентиляции в помещениях с постоянным пребыванием людей должны быть установлены датчики концентрации хладона с аварийной сигнализацией.</w:t>
      </w:r>
    </w:p>
    <w:p>
      <w:pPr>
        <w:pStyle w:val="0"/>
        <w:spacing w:before="240" w:lineRule="auto"/>
        <w:ind w:firstLine="540"/>
        <w:jc w:val="both"/>
      </w:pPr>
      <w:r>
        <w:rPr>
          <w:sz w:val="24"/>
        </w:rPr>
        <w:t xml:space="preserve">Значения ДАК следует выбирать по таблице 9.1.</w:t>
      </w:r>
    </w:p>
    <w:p>
      <w:pPr>
        <w:pStyle w:val="0"/>
        <w:jc w:val="both"/>
      </w:pPr>
      <w:r>
        <w:rPr>
          <w:sz w:val="24"/>
        </w:rPr>
      </w:r>
    </w:p>
    <w:p>
      <w:pPr>
        <w:pStyle w:val="0"/>
        <w:jc w:val="right"/>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6293"/>
      </w:tblGrid>
      <w:tr>
        <w:tc>
          <w:tcPr>
            <w:tcW w:w="2778" w:type="dxa"/>
          </w:tcPr>
          <w:p>
            <w:pPr>
              <w:pStyle w:val="0"/>
              <w:jc w:val="center"/>
            </w:pPr>
            <w:r>
              <w:rPr>
                <w:sz w:val="24"/>
              </w:rPr>
              <w:t xml:space="preserve">Тип хладона</w:t>
            </w:r>
          </w:p>
        </w:tc>
        <w:tc>
          <w:tcPr>
            <w:tcW w:w="6293" w:type="dxa"/>
          </w:tcPr>
          <w:p>
            <w:pPr>
              <w:pStyle w:val="0"/>
              <w:jc w:val="center"/>
            </w:pPr>
            <w:r>
              <w:rPr>
                <w:sz w:val="24"/>
              </w:rPr>
              <w:t xml:space="preserve">Допустимая аварийная концентрация, г/м</w:t>
            </w:r>
            <w:r>
              <w:rPr>
                <w:sz w:val="24"/>
                <w:vertAlign w:val="superscript"/>
              </w:rPr>
              <w:t xml:space="preserve">3</w:t>
            </w:r>
          </w:p>
        </w:tc>
      </w:tr>
      <w:tr>
        <w:tc>
          <w:tcPr>
            <w:tcW w:w="2778" w:type="dxa"/>
          </w:tcPr>
          <w:p>
            <w:pPr>
              <w:pStyle w:val="0"/>
              <w:jc w:val="center"/>
            </w:pPr>
            <w:r>
              <w:rPr>
                <w:sz w:val="24"/>
              </w:rPr>
              <w:t xml:space="preserve">R22</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R407A</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R134a</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R410A</w:t>
            </w:r>
          </w:p>
        </w:tc>
        <w:tc>
          <w:tcPr>
            <w:tcW w:w="6293" w:type="dxa"/>
          </w:tcPr>
          <w:p>
            <w:pPr>
              <w:pStyle w:val="0"/>
              <w:jc w:val="center"/>
            </w:pPr>
            <w:r>
              <w:rPr>
                <w:sz w:val="24"/>
              </w:rPr>
              <w:t xml:space="preserve">440</w:t>
            </w:r>
          </w:p>
        </w:tc>
      </w:tr>
      <w:tr>
        <w:tc>
          <w:tcPr>
            <w:tcW w:w="2778" w:type="dxa"/>
          </w:tcPr>
          <w:p>
            <w:pPr>
              <w:pStyle w:val="0"/>
              <w:jc w:val="center"/>
            </w:pPr>
            <w:r>
              <w:rPr>
                <w:sz w:val="24"/>
              </w:rPr>
              <w:t xml:space="preserve">R123</w:t>
            </w:r>
          </w:p>
        </w:tc>
        <w:tc>
          <w:tcPr>
            <w:tcW w:w="6293" w:type="dxa"/>
          </w:tcPr>
          <w:p>
            <w:pPr>
              <w:pStyle w:val="0"/>
              <w:jc w:val="center"/>
            </w:pPr>
            <w:r>
              <w:rPr>
                <w:sz w:val="24"/>
              </w:rPr>
              <w:t xml:space="preserve">360</w:t>
            </w:r>
          </w:p>
        </w:tc>
      </w:tr>
    </w:tbl>
    <w:p>
      <w:pPr>
        <w:pStyle w:val="0"/>
        <w:jc w:val="both"/>
      </w:pPr>
      <w:r>
        <w:rPr>
          <w:sz w:val="24"/>
        </w:rPr>
      </w:r>
    </w:p>
    <w:p>
      <w:pPr>
        <w:pStyle w:val="0"/>
        <w:ind w:firstLine="540"/>
        <w:jc w:val="both"/>
      </w:pPr>
      <w:r>
        <w:rPr>
          <w:sz w:val="24"/>
        </w:rPr>
        <w:t xml:space="preserve">9.14 Минимальную и максимальную температуру и качество воды (раствора), подаваемой в испарительный и конденсаторный контуры холодильных машин, следует принимать по требованиям, предъявляемым к каждому типу машин.</w:t>
      </w:r>
    </w:p>
    <w:p>
      <w:pPr>
        <w:pStyle w:val="0"/>
        <w:jc w:val="both"/>
      </w:pPr>
      <w:r>
        <w:rPr>
          <w:sz w:val="24"/>
        </w:rPr>
        <w:t xml:space="preserve">(п. 9.14 в ред. </w:t>
      </w:r>
      <w:hyperlink w:history="0" r:id="rId23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9.15 При охлаждении воды температура кипения хладагента в кожухотрубных испарителях (кипение хладагента происходит в межтрубном пространстве) должна быть не ниже 1 °C, при этом минимальная температура холодной воды должна быть не ниже 5 °C. Для получения более низкой температуры следует применять незамерзающие растворы соответствующей концентрации.</w:t>
      </w:r>
    </w:p>
    <w:p>
      <w:pPr>
        <w:pStyle w:val="0"/>
        <w:spacing w:before="240" w:lineRule="auto"/>
        <w:ind w:firstLine="540"/>
        <w:jc w:val="both"/>
      </w:pPr>
      <w:r>
        <w:rPr>
          <w:sz w:val="24"/>
        </w:rPr>
        <w:t xml:space="preserve">9.16 Для холодоснабжения вентиляторных конвекторов следует применять холодильные машины с регулируемой холодопроизводительностью, поддерживающие расчетную температуру холодной воды на выходе из испарителя и расчетный перепад давлений в сети холодоснабжения.</w:t>
      </w:r>
    </w:p>
    <w:p>
      <w:pPr>
        <w:pStyle w:val="0"/>
        <w:spacing w:before="240" w:lineRule="auto"/>
        <w:ind w:firstLine="540"/>
        <w:jc w:val="both"/>
      </w:pPr>
      <w:r>
        <w:rPr>
          <w:sz w:val="24"/>
        </w:rPr>
        <w:t xml:space="preserve">9.17 При проектировании систем ХС с применением в холодный период сухих охладителей следует предусматривать их совместную последовательную работу с холодильными машинами в интервале температур наружного воздуха от 5 °C до минус 5 °C.</w:t>
      </w:r>
    </w:p>
    <w:p>
      <w:pPr>
        <w:pStyle w:val="0"/>
        <w:jc w:val="both"/>
      </w:pPr>
      <w:r>
        <w:rPr>
          <w:sz w:val="24"/>
        </w:rPr>
        <w:t xml:space="preserve">(п. 9.17 в ред. </w:t>
      </w:r>
      <w:hyperlink w:history="0" r:id="rId23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9.18 При проектировании систем оборотного водоснабжения следует, как правило, применять закрытые вентиляторные градирни. Допускается применять открытые вентиляторные градирни, работающие только в теплый период года.</w:t>
      </w:r>
    </w:p>
    <w:p>
      <w:pPr>
        <w:pStyle w:val="0"/>
        <w:spacing w:before="240" w:lineRule="auto"/>
        <w:ind w:firstLine="540"/>
        <w:jc w:val="both"/>
      </w:pPr>
      <w:r>
        <w:rPr>
          <w:sz w:val="24"/>
        </w:rPr>
        <w:t xml:space="preserve">9.19 Закрытые вентиляторные градирни следует рассчитывать на максимальную тепловую нагрузку в теплый период и на уменьшенную нагрузку при температуре наружного воздуха от 6 °C до 8 °C при отключенной системе орошения теплообменника (сухой режим).</w:t>
      </w:r>
    </w:p>
    <w:p>
      <w:pPr>
        <w:pStyle w:val="0"/>
        <w:spacing w:before="240" w:lineRule="auto"/>
        <w:ind w:firstLine="540"/>
        <w:jc w:val="both"/>
      </w:pPr>
      <w:r>
        <w:rPr>
          <w:sz w:val="24"/>
        </w:rPr>
        <w:t xml:space="preserve">9.20 Применение раствора этиленгликоля в вентиляторных доводчиках в высотных зданиях не допускается.</w:t>
      </w:r>
    </w:p>
    <w:p>
      <w:pPr>
        <w:pStyle w:val="0"/>
        <w:jc w:val="both"/>
      </w:pPr>
      <w:r>
        <w:rPr>
          <w:sz w:val="24"/>
        </w:rPr>
        <w:t xml:space="preserve">(в ред. </w:t>
      </w:r>
      <w:hyperlink w:history="0" r:id="rId23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9.21 Холодильные центры с парокомпрессионными машинами единичной мощностью более 1500 кВт должны быть оборудованы ресиверами для удаления хладона.</w:t>
      </w:r>
    </w:p>
    <w:p>
      <w:pPr>
        <w:pStyle w:val="0"/>
        <w:spacing w:before="240" w:lineRule="auto"/>
        <w:ind w:firstLine="540"/>
        <w:jc w:val="both"/>
      </w:pPr>
      <w:r>
        <w:rPr>
          <w:sz w:val="24"/>
        </w:rPr>
        <w:t xml:space="preserve">9.22 Водяные системы ХС следует проектировать, как правило, с баком-аккумулятором. Объем бака-аккумулятора </w:t>
      </w:r>
      <w:r>
        <w:rPr>
          <w:sz w:val="24"/>
          <w:i w:val="on"/>
        </w:rPr>
        <w:t xml:space="preserve">V</w:t>
      </w:r>
      <w:r>
        <w:rPr>
          <w:sz w:val="24"/>
          <w:vertAlign w:val="subscript"/>
        </w:rPr>
        <w:t xml:space="preserve">б</w:t>
      </w:r>
      <w:r>
        <w:rPr>
          <w:sz w:val="24"/>
        </w:rPr>
        <w:t xml:space="preserve">, м</w:t>
      </w:r>
      <w:r>
        <w:rPr>
          <w:sz w:val="24"/>
          <w:vertAlign w:val="superscript"/>
        </w:rPr>
        <w:t xml:space="preserve">3</w:t>
      </w:r>
      <w:r>
        <w:rPr>
          <w:sz w:val="24"/>
        </w:rPr>
        <w:t xml:space="preserve">, допускается определять по формуле</w:t>
      </w:r>
    </w:p>
    <w:p>
      <w:pPr>
        <w:pStyle w:val="0"/>
        <w:jc w:val="both"/>
      </w:pPr>
      <w:r>
        <w:rPr>
          <w:sz w:val="24"/>
        </w:rPr>
      </w:r>
    </w:p>
    <w:p>
      <w:pPr>
        <w:pStyle w:val="0"/>
        <w:jc w:val="center"/>
      </w:pPr>
      <w:r>
        <w:rPr>
          <w:sz w:val="24"/>
          <w:i w:val="on"/>
        </w:rPr>
        <w:t xml:space="preserve">V</w:t>
      </w:r>
      <w:r>
        <w:rPr>
          <w:sz w:val="24"/>
          <w:vertAlign w:val="subscript"/>
        </w:rPr>
        <w:t xml:space="preserve">б</w:t>
      </w:r>
      <w:r>
        <w:rPr>
          <w:sz w:val="24"/>
        </w:rPr>
        <w:t xml:space="preserve"> = 0,027·</w:t>
      </w:r>
      <w:r>
        <w:rPr>
          <w:sz w:val="24"/>
          <w:i w:val="on"/>
        </w:rPr>
        <w:t xml:space="preserve">Q</w:t>
      </w:r>
      <w:r>
        <w:rPr>
          <w:sz w:val="24"/>
          <w:vertAlign w:val="subscript"/>
        </w:rPr>
        <w:t xml:space="preserve">о</w:t>
      </w:r>
      <w:r>
        <w:rPr>
          <w:sz w:val="24"/>
        </w:rPr>
        <w:t xml:space="preserve">, (9.3)</w:t>
      </w:r>
    </w:p>
    <w:p>
      <w:pPr>
        <w:pStyle w:val="0"/>
        <w:jc w:val="both"/>
      </w:pPr>
      <w:r>
        <w:rPr>
          <w:sz w:val="24"/>
        </w:rPr>
      </w:r>
    </w:p>
    <w:p>
      <w:pPr>
        <w:pStyle w:val="0"/>
        <w:ind w:firstLine="540"/>
        <w:jc w:val="both"/>
      </w:pPr>
      <w:r>
        <w:rPr>
          <w:sz w:val="24"/>
        </w:rPr>
        <w:t xml:space="preserve">где </w:t>
      </w:r>
      <w:r>
        <w:rPr>
          <w:sz w:val="24"/>
          <w:i w:val="on"/>
        </w:rPr>
        <w:t xml:space="preserve">Q</w:t>
      </w:r>
      <w:r>
        <w:rPr>
          <w:sz w:val="24"/>
          <w:vertAlign w:val="subscript"/>
        </w:rPr>
        <w:t xml:space="preserve">о</w:t>
      </w:r>
      <w:r>
        <w:rPr>
          <w:sz w:val="24"/>
        </w:rPr>
        <w:t xml:space="preserve"> - холодопроизводительность одной холодильной машины без устройства для регулирования или наименьшая холодопроизводительность при ее регулировании, кВт;</w:t>
      </w:r>
    </w:p>
    <w:p>
      <w:pPr>
        <w:pStyle w:val="0"/>
        <w:spacing w:before="240" w:lineRule="auto"/>
        <w:ind w:firstLine="540"/>
        <w:jc w:val="both"/>
      </w:pPr>
      <w:r>
        <w:rPr>
          <w:sz w:val="24"/>
        </w:rPr>
        <w:t xml:space="preserve">0,027 - эмпирический коэффициент, м</w:t>
      </w:r>
      <w:r>
        <w:rPr>
          <w:sz w:val="24"/>
          <w:vertAlign w:val="superscript"/>
        </w:rPr>
        <w:t xml:space="preserve">3</w:t>
      </w:r>
      <w:r>
        <w:rPr>
          <w:sz w:val="24"/>
        </w:rPr>
        <w:t xml:space="preserve">/кВт.</w:t>
      </w:r>
    </w:p>
    <w:p>
      <w:pPr>
        <w:pStyle w:val="0"/>
        <w:spacing w:before="240" w:lineRule="auto"/>
        <w:ind w:firstLine="540"/>
        <w:jc w:val="both"/>
      </w:pPr>
      <w:r>
        <w:rPr>
          <w:sz w:val="24"/>
        </w:rPr>
        <w:t xml:space="preserve">Применение баков-аккумуляторов при использовании в испарительном контуре незамерзающих растворов не допускается.</w:t>
      </w:r>
    </w:p>
    <w:p>
      <w:pPr>
        <w:pStyle w:val="0"/>
        <w:spacing w:before="240" w:lineRule="auto"/>
        <w:ind w:firstLine="540"/>
        <w:jc w:val="both"/>
      </w:pPr>
      <w:r>
        <w:rPr>
          <w:sz w:val="24"/>
        </w:rPr>
        <w:t xml:space="preserve">9.23 В двухконтурной системе теплоснабжения для разделения потоков холодной и отепленной воды и получения расчетного перепада температур рекомендуется устанавливать герметичные баки - один вертикальный с двумя патрубками в верхней зоне для подвода и отвода отепленной воды и один с двумя патрубками в нижней зоне для подвода и отвода холодной воды.</w:t>
      </w:r>
    </w:p>
    <w:p>
      <w:pPr>
        <w:pStyle w:val="0"/>
        <w:spacing w:before="240" w:lineRule="auto"/>
        <w:ind w:firstLine="540"/>
        <w:jc w:val="both"/>
      </w:pPr>
      <w:r>
        <w:rPr>
          <w:sz w:val="24"/>
        </w:rPr>
        <w:t xml:space="preserve">9.24 Системы холодоснабжения следует проектировать, как правило, с двухконтурной схемой с отдельными трубопроводами для воздухоохладителей центральных кондиционеров и вентиляторных конвекторов, а также для помещений различных групп назначения.</w:t>
      </w:r>
    </w:p>
    <w:p>
      <w:pPr>
        <w:pStyle w:val="0"/>
        <w:spacing w:before="240" w:lineRule="auto"/>
        <w:ind w:firstLine="540"/>
        <w:jc w:val="both"/>
      </w:pPr>
      <w:r>
        <w:rPr>
          <w:sz w:val="24"/>
        </w:rPr>
        <w:t xml:space="preserve">Допускается применение одноконтурной схемы при подключении только воздухоохладителей центральных кондиционеров или при общей холодильной нагрузке до 500 кВт.</w:t>
      </w:r>
    </w:p>
    <w:p>
      <w:pPr>
        <w:pStyle w:val="0"/>
        <w:spacing w:before="240" w:lineRule="auto"/>
        <w:ind w:firstLine="540"/>
        <w:jc w:val="both"/>
      </w:pPr>
      <w:r>
        <w:rPr>
          <w:sz w:val="24"/>
        </w:rPr>
        <w:t xml:space="preserve">При мощности единичного воздухоохладителя более 500 кВт на каждом узле регулирования рекомендуется устанавливать циркуляционные насосы.</w:t>
      </w:r>
    </w:p>
    <w:p>
      <w:pPr>
        <w:pStyle w:val="0"/>
        <w:spacing w:before="240" w:lineRule="auto"/>
        <w:ind w:firstLine="540"/>
        <w:jc w:val="both"/>
      </w:pPr>
      <w:r>
        <w:rPr>
          <w:sz w:val="24"/>
        </w:rPr>
        <w:t xml:space="preserve">9.25 При выборе места установки холодильных машин и вентиляторных градирен следует исключать попадание выбрасываемого воздуха к воздухоприемным решеткам приточных систем вентиляции и кондиционеров.</w:t>
      </w:r>
    </w:p>
    <w:p>
      <w:pPr>
        <w:pStyle w:val="0"/>
        <w:spacing w:before="240" w:lineRule="auto"/>
        <w:ind w:firstLine="540"/>
        <w:jc w:val="both"/>
      </w:pPr>
      <w:r>
        <w:rPr>
          <w:sz w:val="24"/>
        </w:rPr>
        <w:t xml:space="preserve">9.26 Расчетный перепад температур холодной и оборотной воды (раствора) в испарителе и конденсаторе следует принимать в пределах от 4 °C до 6 °C.</w:t>
      </w:r>
    </w:p>
    <w:p>
      <w:pPr>
        <w:pStyle w:val="0"/>
        <w:spacing w:before="240" w:lineRule="auto"/>
        <w:ind w:firstLine="540"/>
        <w:jc w:val="both"/>
      </w:pPr>
      <w:r>
        <w:rPr>
          <w:sz w:val="24"/>
        </w:rPr>
        <w:t xml:space="preserve">9.27 При применении в системе холодоснабжения или в закрытых градирнях незамерзающих растворов в холодильном центре следует устанавливать бак открытого типа, предназначенный для приготовления раствора, заполнения системы и слива при аварийной ситуации. Объем бака должен быть не менее максимального объема раствора, удаляемого из части общего контура (удаляемый объем может быть локализован с помощью запорной арматуры).</w:t>
      </w:r>
    </w:p>
    <w:p>
      <w:pPr>
        <w:pStyle w:val="0"/>
        <w:spacing w:before="240" w:lineRule="auto"/>
        <w:ind w:firstLine="540"/>
        <w:jc w:val="both"/>
      </w:pPr>
      <w:r>
        <w:rPr>
          <w:sz w:val="24"/>
        </w:rPr>
        <w:t xml:space="preserve">9.28 При монтаже, наладке и эксплуатации систем холодоснабжения следует руководствоваться </w:t>
      </w:r>
      <w:hyperlink w:history="0" r:id="rId23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9.28 в ред. </w:t>
      </w:r>
      <w:hyperlink w:history="0" r:id="rId24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9.29 На оборудование систем холодоснабжения, запорную и регулирующую арматуру, приборы, трубопроводы, тепловую изоляцию и т.п. должны быть сертификаты соответствия безопасности и функциональным свойствам.</w:t>
      </w:r>
    </w:p>
    <w:p>
      <w:pPr>
        <w:pStyle w:val="0"/>
        <w:spacing w:before="240" w:lineRule="auto"/>
        <w:ind w:firstLine="540"/>
        <w:jc w:val="both"/>
      </w:pPr>
      <w:r>
        <w:rPr>
          <w:sz w:val="24"/>
        </w:rPr>
        <w:t xml:space="preserve">9.30 Схему охлаждения холодоносителя и холодоснабжения систем кондиционирования рекомендуется принимать с закрытым, замкнутым (без разрыва струи) герметичным контуром циркуляции холодоносителя и с расширительным сосудом.</w:t>
      </w:r>
    </w:p>
    <w:p>
      <w:pPr>
        <w:pStyle w:val="0"/>
        <w:jc w:val="both"/>
      </w:pPr>
      <w:r>
        <w:rPr>
          <w:sz w:val="24"/>
        </w:rPr>
      </w:r>
    </w:p>
    <w:p>
      <w:pPr>
        <w:pStyle w:val="2"/>
        <w:outlineLvl w:val="1"/>
        <w:ind w:firstLine="540"/>
        <w:jc w:val="both"/>
      </w:pPr>
      <w:r>
        <w:rPr>
          <w:sz w:val="24"/>
        </w:rPr>
        <w:t xml:space="preserve">10 Системы водоснабжения и водяного пожаротушения</w:t>
      </w:r>
    </w:p>
    <w:p>
      <w:pPr>
        <w:pStyle w:val="0"/>
        <w:jc w:val="both"/>
      </w:pPr>
      <w:r>
        <w:rPr>
          <w:sz w:val="24"/>
        </w:rPr>
      </w:r>
    </w:p>
    <w:p>
      <w:pPr>
        <w:pStyle w:val="0"/>
        <w:ind w:firstLine="540"/>
        <w:jc w:val="both"/>
      </w:pPr>
      <w:r>
        <w:rPr>
          <w:sz w:val="24"/>
        </w:rPr>
        <w:t xml:space="preserve">10.1 Качество холодной и горячей воды, подаваемой на хозяйственно-питьевые цели, должно соответствовать требованиям, предъявляемым к питьевой воде.</w:t>
      </w:r>
    </w:p>
    <w:bookmarkStart w:id="855" w:name="P855"/>
    <w:bookmarkEnd w:id="855"/>
    <w:p>
      <w:pPr>
        <w:pStyle w:val="0"/>
        <w:spacing w:before="240" w:lineRule="auto"/>
        <w:ind w:firstLine="540"/>
        <w:jc w:val="both"/>
      </w:pPr>
      <w:r>
        <w:rPr>
          <w:sz w:val="24"/>
        </w:rPr>
        <w:t xml:space="preserve">10.2 Температуру горячей воды на вводе в квартиру или в арендное помещение (на границе балансовой принадлежности) следует предусматривать не менее 60 °C.</w:t>
      </w:r>
    </w:p>
    <w:p>
      <w:pPr>
        <w:pStyle w:val="0"/>
        <w:spacing w:before="240" w:lineRule="auto"/>
        <w:ind w:firstLine="540"/>
        <w:jc w:val="both"/>
      </w:pPr>
      <w:r>
        <w:rPr>
          <w:sz w:val="24"/>
        </w:rPr>
        <w:t xml:space="preserve">Горячая вода, поступающая к потребителю, должна соответствовать требованиям технических регламентов, санитарных правил и нормативов, определяющих ее безопасность.</w:t>
      </w:r>
    </w:p>
    <w:p>
      <w:pPr>
        <w:pStyle w:val="0"/>
        <w:spacing w:before="240" w:lineRule="auto"/>
        <w:ind w:firstLine="540"/>
        <w:jc w:val="both"/>
      </w:pPr>
      <w:r>
        <w:rPr>
          <w:sz w:val="24"/>
        </w:rPr>
        <w:t xml:space="preserve">10.3 Системы водоснабжения и водяного пожаротушения высотного здания следует предусматривать раздельными.</w:t>
      </w:r>
    </w:p>
    <w:p>
      <w:pPr>
        <w:pStyle w:val="0"/>
        <w:spacing w:before="240" w:lineRule="auto"/>
        <w:ind w:firstLine="540"/>
        <w:jc w:val="both"/>
      </w:pPr>
      <w:r>
        <w:rPr>
          <w:sz w:val="24"/>
        </w:rPr>
        <w:t xml:space="preserve">10.4 Устройство водопроводных вводов для зданий высотой до 200 м следует выполнять по </w:t>
      </w:r>
      <w:hyperlink w:history="0" r:id="rId24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Для зданий высотой более 200 м следует предусматривать не менее двух двухтрубных водопроводных вводов, присоединяемых к различным участкам наружной кольцевой водопроводной сети. При этом каждый трубопровод двухтрубного водопроводного ввода рассчитывается на 50% суммарного расхода воды на хозяйственно-питьевые и на противопожарные нужды.</w:t>
      </w:r>
    </w:p>
    <w:p>
      <w:pPr>
        <w:pStyle w:val="0"/>
        <w:spacing w:before="240" w:lineRule="auto"/>
        <w:ind w:firstLine="540"/>
        <w:jc w:val="both"/>
      </w:pPr>
      <w:r>
        <w:rPr>
          <w:sz w:val="24"/>
        </w:rPr>
        <w:t xml:space="preserve">Суммарный расход воды на хозяйственно-питьевые и противопожарные нужды определяется расчетом. Расчетные расходы воды потребителями, стоков от санитарно-технических приборов и расходов воды на внутреннее пожаротушение приведены в </w:t>
      </w:r>
      <w:hyperlink w:history="0" w:anchor="P1825" w:tooltip="РАСЧЕТНЫЕ РАСХОДЫ ВОДЫ ПОТРЕБИТЕЛЯМИ">
        <w:r>
          <w:rPr>
            <w:sz w:val="24"/>
            <w:color w:val="0000ff"/>
          </w:rPr>
          <w:t xml:space="preserve">приложениях В</w:t>
        </w:r>
      </w:hyperlink>
      <w:r>
        <w:rPr>
          <w:sz w:val="24"/>
        </w:rPr>
        <w:t xml:space="preserve">, </w:t>
      </w:r>
      <w:hyperlink w:history="0" w:anchor="P1933" w:tooltip="РАСХОДЫ ВОДЫ И СТОКОВ САНИТАРНЫМИ ПРИБОРАМИ">
        <w:r>
          <w:rPr>
            <w:sz w:val="24"/>
            <w:color w:val="0000ff"/>
          </w:rPr>
          <w:t xml:space="preserve">Г</w:t>
        </w:r>
      </w:hyperlink>
      <w:r>
        <w:rPr>
          <w:sz w:val="24"/>
        </w:rPr>
        <w:t xml:space="preserve"> и </w:t>
      </w:r>
      <w:hyperlink w:history="0" w:anchor="P2223" w:tooltip="РАСХОДЫ ВОДЫ НА ВНУТРЕННЕЕ ПОЖАРОТУШЕНИЕ">
        <w:r>
          <w:rPr>
            <w:sz w:val="24"/>
            <w:color w:val="0000ff"/>
          </w:rPr>
          <w:t xml:space="preserve">Д</w:t>
        </w:r>
      </w:hyperlink>
      <w:r>
        <w:rPr>
          <w:sz w:val="24"/>
        </w:rPr>
        <w:t xml:space="preserve">.</w:t>
      </w:r>
    </w:p>
    <w:p>
      <w:pPr>
        <w:pStyle w:val="0"/>
        <w:jc w:val="both"/>
      </w:pPr>
      <w:r>
        <w:rPr>
          <w:sz w:val="24"/>
        </w:rPr>
        <w:t xml:space="preserve">(п. 10.4 в ред. </w:t>
      </w:r>
      <w:hyperlink w:history="0" r:id="rId24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10.5 Системы водоснабжения и водяного пожаротушения высотного здания следует зонировать по высоте с учетом расчетного гидростатического давления. Допускается выполнять зонирование, не связанное с разбивкой здания на пожарные отсеки по высоте.</w:t>
      </w:r>
    </w:p>
    <w:p>
      <w:pPr>
        <w:pStyle w:val="0"/>
        <w:spacing w:before="240" w:lineRule="auto"/>
        <w:ind w:firstLine="540"/>
        <w:jc w:val="both"/>
      </w:pPr>
      <w:r>
        <w:rPr>
          <w:sz w:val="24"/>
        </w:rPr>
        <w:t xml:space="preserve">10.6 Рабочие давления в системах водоснабжения и водяного пожаротушения высотного здания определяются расчетом и должны соответствовать требованиям </w:t>
      </w:r>
      <w:hyperlink w:history="0" r:id="rId24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24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jc w:val="both"/>
      </w:pPr>
      <w:r>
        <w:rPr>
          <w:sz w:val="24"/>
        </w:rPr>
        <w:t xml:space="preserve">(п. 10.6 в ред. </w:t>
      </w:r>
      <w:hyperlink w:history="0" r:id="rId24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bookmarkStart w:id="865" w:name="P865"/>
    <w:bookmarkEnd w:id="865"/>
    <w:p>
      <w:pPr>
        <w:pStyle w:val="0"/>
        <w:spacing w:before="240" w:lineRule="auto"/>
        <w:ind w:firstLine="540"/>
        <w:jc w:val="both"/>
      </w:pPr>
      <w:r>
        <w:rPr>
          <w:sz w:val="24"/>
        </w:rPr>
        <w:t xml:space="preserve">10.7 Допускается увеличивать рабочее давление свыше 0,6 МПа (60 м вод. ст.) в зоне за счет применения элементов систем, выдерживающих соответствующее рабочее давление на отметке самого низкорасположенного элемента системы (насосы, арматура, теплообменники, регуляторы и т.п.), при условии установки у потребителей регуляторов давления для исключения возможности превышения у них гидростатического давления выше 0,6 МПа (60 м вод. ст.) на отметке расположения потребителей.</w:t>
      </w:r>
    </w:p>
    <w:p>
      <w:pPr>
        <w:pStyle w:val="0"/>
        <w:jc w:val="both"/>
      </w:pPr>
      <w:r>
        <w:rPr>
          <w:sz w:val="24"/>
        </w:rPr>
        <w:t xml:space="preserve">(п. 10.7 в ред. </w:t>
      </w:r>
      <w:hyperlink w:history="0" r:id="rId24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10.8 При проектировании систем ХВС и ГВС следует учитывать, что давление воды у санитарно-технических приборов или оборудования должно соответствовать техническим характеристикам водоразборной и смесительной арматуры или паспортным данным устанавливаемого оборудования, но должно быть не менее (0,20 - 0,25) МПа ((20 - 25) м вод. ст.).</w:t>
      </w:r>
    </w:p>
    <w:p>
      <w:pPr>
        <w:pStyle w:val="0"/>
        <w:spacing w:before="240" w:lineRule="auto"/>
        <w:ind w:firstLine="540"/>
        <w:jc w:val="both"/>
      </w:pPr>
      <w:r>
        <w:rPr>
          <w:sz w:val="24"/>
        </w:rPr>
        <w:t xml:space="preserve">10.9 Трубы и контактирующее с водой оборудование, применяемые в системе водоснабжения, должны быть выполнены из материалов, имеющих сертификаты соответствия.</w:t>
      </w:r>
    </w:p>
    <w:p>
      <w:pPr>
        <w:pStyle w:val="0"/>
        <w:spacing w:before="240" w:lineRule="auto"/>
        <w:ind w:firstLine="540"/>
        <w:jc w:val="both"/>
      </w:pPr>
      <w:r>
        <w:rPr>
          <w:sz w:val="24"/>
        </w:rPr>
        <w:t xml:space="preserve">Магистральные трубопроводы и стояки систем ХВС и ГВС должны, как правило, предусматриваться из металлических труб: медных по </w:t>
      </w:r>
      <w:hyperlink w:history="0" r:id="rId247" w:tooltip="&quot;ГОСТ Р 52318-2005. Национальный стандарт Российской Федерации. Трубы медные круглого сечения для воды и газа. Технические условия&quot; (утв. Приказом Ростехрегулирования от 09.03.2005 N 45-ст) {КонсультантПлюс}">
        <w:r>
          <w:rPr>
            <w:sz w:val="24"/>
            <w:color w:val="0000ff"/>
          </w:rPr>
          <w:t xml:space="preserve">ГОСТ Р 52318</w:t>
        </w:r>
      </w:hyperlink>
      <w:r>
        <w:rPr>
          <w:sz w:val="24"/>
        </w:rPr>
        <w:t xml:space="preserve">, стальных по </w:t>
      </w:r>
      <w:hyperlink w:history="0" r:id="rId248"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с антикоррозионным покрытием внутренней и наружной поверхностей, оцинкованных, из нержавеющей стали.</w:t>
      </w:r>
    </w:p>
    <w:p>
      <w:pPr>
        <w:pStyle w:val="0"/>
        <w:spacing w:before="240" w:lineRule="auto"/>
        <w:ind w:firstLine="540"/>
        <w:jc w:val="both"/>
      </w:pPr>
      <w:r>
        <w:rPr>
          <w:sz w:val="24"/>
        </w:rPr>
        <w:t xml:space="preserve">Допускается использование полимерных труб в зданиях высотой до 100 м, при этом на стояках необходимо предусматривать устройства для компенсации температурного расширения и соответствующие неподвижные крепления.</w:t>
      </w:r>
    </w:p>
    <w:p>
      <w:pPr>
        <w:pStyle w:val="0"/>
        <w:jc w:val="both"/>
      </w:pPr>
      <w:r>
        <w:rPr>
          <w:sz w:val="24"/>
        </w:rPr>
        <w:t xml:space="preserve">(абзац введен </w:t>
      </w:r>
      <w:hyperlink w:history="0" r:id="rId24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Толщину стенок труб выбирают в зависимости от значения расчетного давления в трубопроводе.</w:t>
      </w:r>
    </w:p>
    <w:p>
      <w:pPr>
        <w:pStyle w:val="0"/>
        <w:jc w:val="both"/>
      </w:pPr>
      <w:r>
        <w:rPr>
          <w:sz w:val="24"/>
        </w:rPr>
      </w:r>
    </w:p>
    <w:p>
      <w:pPr>
        <w:pStyle w:val="0"/>
        <w:ind w:firstLine="540"/>
        <w:jc w:val="both"/>
      </w:pPr>
      <w:r>
        <w:rPr>
          <w:sz w:val="24"/>
        </w:rPr>
        <w:t xml:space="preserve">Подводки трубопроводов к санитарно-техническим приборам и другому оборудованию допускается выполнять трубопроводами из полимерных материалов на напрессованных фитингах или из гофрированных нержавеющих труб с учетом рабочего давления и температуры в системе.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СанПиН 1.2.3685, а не СанПиН 2.1.3685.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системе холодного и горячего водоснабжения следует применять трубы и контактирующее с водой оборудование, выполненные из материалов, разрешенных органами и учреждениями государственной санитарно-эпидемиологической службы в соответствии с требованиями </w:t>
      </w:r>
      <w:hyperlink w:history="0" r:id="rId250"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2.1.3685</w:t>
        </w:r>
      </w:hyperlink>
      <w:r>
        <w:rPr>
          <w:sz w:val="24"/>
        </w:rPr>
        <w:t xml:space="preserve">.</w:t>
      </w:r>
    </w:p>
    <w:p>
      <w:pPr>
        <w:pStyle w:val="0"/>
        <w:jc w:val="both"/>
      </w:pPr>
      <w:r>
        <w:rPr>
          <w:sz w:val="24"/>
        </w:rPr>
        <w:t xml:space="preserve">(в ред. </w:t>
      </w:r>
      <w:hyperlink w:history="0" r:id="rId25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bookmarkStart w:id="879" w:name="P879"/>
    <w:bookmarkEnd w:id="879"/>
    <w:p>
      <w:pPr>
        <w:pStyle w:val="0"/>
        <w:spacing w:before="240" w:lineRule="auto"/>
        <w:ind w:firstLine="540"/>
        <w:jc w:val="both"/>
      </w:pPr>
      <w:r>
        <w:rPr>
          <w:sz w:val="24"/>
        </w:rPr>
        <w:t xml:space="preserve">10.10 В целях установки одинакового давления воды в системах ХВС и ГВС у санитарно-технических приборов, располагаемых по высоте здания, на ответвлении подводящих трубопроводов от стояков холодной и горячей воды к санитарно-техническим приборам необходимо устанавливать запорную арматуру, фильтры, регуляторы давления в зависимости от расчетного давления воды на этажах.</w:t>
      </w:r>
    </w:p>
    <w:p>
      <w:pPr>
        <w:pStyle w:val="0"/>
        <w:jc w:val="both"/>
      </w:pPr>
      <w:r>
        <w:rPr>
          <w:sz w:val="24"/>
        </w:rPr>
        <w:t xml:space="preserve">(в ред. </w:t>
      </w:r>
      <w:hyperlink w:history="0" r:id="rId25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Характеристики регуляторов давления должны соответствовать значениям расчетного давления в зоне водоснабжения и обеспечивать поддержание заданного давления как в статическом, так и в динамическом режимах работы.</w:t>
      </w:r>
    </w:p>
    <w:p>
      <w:pPr>
        <w:pStyle w:val="0"/>
        <w:spacing w:before="240" w:lineRule="auto"/>
        <w:ind w:firstLine="540"/>
        <w:jc w:val="both"/>
      </w:pPr>
      <w:r>
        <w:rPr>
          <w:sz w:val="24"/>
        </w:rPr>
        <w:t xml:space="preserve">10.11 Стояки систем ХВС и ГВС, к которым присоединяют санитарно-технические приборы (за исключением стояков, предназначенных только для подключения полотенцесушителей), следует размещать вне пределов квартир (апартаментов) в коммуникационных шахтах межквартирных коридоров, с устройством дверей для обслуживания.</w:t>
      </w:r>
    </w:p>
    <w:p>
      <w:pPr>
        <w:pStyle w:val="0"/>
        <w:spacing w:before="240" w:lineRule="auto"/>
        <w:ind w:firstLine="540"/>
        <w:jc w:val="both"/>
      </w:pPr>
      <w:r>
        <w:rPr>
          <w:sz w:val="24"/>
        </w:rPr>
        <w:t xml:space="preserve">Для обеспечения нормируемой температуры горячей воды в точках водоразбора следует предусматривать следующие мероприятия:</w:t>
      </w:r>
    </w:p>
    <w:p>
      <w:pPr>
        <w:pStyle w:val="0"/>
        <w:spacing w:before="240" w:lineRule="auto"/>
        <w:ind w:firstLine="540"/>
        <w:jc w:val="both"/>
      </w:pPr>
      <w:r>
        <w:rPr>
          <w:sz w:val="24"/>
        </w:rPr>
        <w:t xml:space="preserve">- расчетный циркуляционный расход следует определять исходя из требований поддержания температуры горячей воды согласно </w:t>
      </w:r>
      <w:hyperlink w:history="0" w:anchor="P855" w:tooltip="10.2 Температуру горячей воды на вводе в квартиру или в арендное помещение (на границе балансовой принадлежности) следует предусматривать не менее 60 °C.">
        <w:r>
          <w:rPr>
            <w:sz w:val="24"/>
            <w:color w:val="0000ff"/>
          </w:rPr>
          <w:t xml:space="preserve">10.2</w:t>
        </w:r>
      </w:hyperlink>
      <w:r>
        <w:rPr>
          <w:sz w:val="24"/>
        </w:rPr>
        <w:t xml:space="preserve">;</w:t>
      </w:r>
    </w:p>
    <w:p>
      <w:pPr>
        <w:pStyle w:val="0"/>
        <w:spacing w:before="240" w:lineRule="auto"/>
        <w:ind w:firstLine="540"/>
        <w:jc w:val="both"/>
      </w:pPr>
      <w:r>
        <w:rPr>
          <w:sz w:val="24"/>
        </w:rPr>
        <w:t xml:space="preserve">- толщину тепловой изоляции принимать не менее указанной в </w:t>
      </w:r>
      <w:hyperlink w:history="0" w:anchor="P899" w:tooltip="10.15 Для трубопроводов систем ГВС, кроме подводок к водоразборной арматуре, следует предусматривать тепловую изоляцию.">
        <w:r>
          <w:rPr>
            <w:sz w:val="24"/>
            <w:color w:val="0000ff"/>
          </w:rPr>
          <w:t xml:space="preserve">10.15</w:t>
        </w:r>
      </w:hyperlink>
      <w:r>
        <w:rPr>
          <w:sz w:val="24"/>
        </w:rPr>
        <w:t xml:space="preserve">. Толщина теплоизоляционного слоя должна обеспечивать допустимые потери тепла трубопроводами при расчете величины циркуляционного расхода;</w:t>
      </w:r>
    </w:p>
    <w:p>
      <w:pPr>
        <w:pStyle w:val="0"/>
        <w:spacing w:before="240" w:lineRule="auto"/>
        <w:ind w:firstLine="540"/>
        <w:jc w:val="both"/>
      </w:pPr>
      <w:r>
        <w:rPr>
          <w:sz w:val="24"/>
        </w:rPr>
        <w:t xml:space="preserve">- конструкцию распределительных сетей ГВС рекомендуется принимать с учетом </w:t>
      </w:r>
      <w:hyperlink w:history="0" r:id="rId25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пункта 10.6</w:t>
        </w:r>
      </w:hyperlink>
      <w:r>
        <w:rPr>
          <w:sz w:val="24"/>
        </w:rPr>
        <w:t xml:space="preserve"> СП 30.13330.2020.</w:t>
      </w:r>
    </w:p>
    <w:p>
      <w:pPr>
        <w:pStyle w:val="0"/>
        <w:spacing w:before="240" w:lineRule="auto"/>
        <w:ind w:firstLine="540"/>
        <w:jc w:val="both"/>
      </w:pPr>
      <w:r>
        <w:rPr>
          <w:sz w:val="24"/>
        </w:rPr>
        <w:t xml:space="preserve">Учитывая большую протяженность сетей ГВС в высотном здании водоразборные и циркуляционные стояки рекомендуется располагать вне пределов квартир в конструктивных нишах лестнично-лифтового холла или коридора, с подключением к ним кольцевых полимерных трубопроводов, проложенных в пространстве подшивного потолка общеквартирного коридора, к которым следует присоединять трубопроводы подачи горячей воды в квартиры. Циркуляция на этаже обеспечивается установкой ручного балансировочного клапана в месте подключения к общему циркуляционному стояку. На ответвлении от трубопровода к квартирам следует устанавливать запорную арматуру, фильтр, регулятор давления согласно </w:t>
      </w:r>
      <w:hyperlink w:history="0" w:anchor="P879" w:tooltip="10.10 В целях установки одинакового давления воды в системах ХВС и ГВС у санитарно-технических приборов, располагаемых по высоте здания, на ответвлении подводящих трубопроводов от стояков холодной и горячей воды к санитарно-техническим приборам необходимо устанавливать запорную арматуру, фильтры, регуляторы давления в зависимости от расчетного давления воды на этажах.">
        <w:r>
          <w:rPr>
            <w:sz w:val="24"/>
            <w:color w:val="0000ff"/>
          </w:rPr>
          <w:t xml:space="preserve">10.10</w:t>
        </w:r>
      </w:hyperlink>
      <w:r>
        <w:rPr>
          <w:sz w:val="24"/>
        </w:rPr>
        <w:t xml:space="preserve"> и прибор учета (при условии обеспечения расчетного допустимого давления у приборов по </w:t>
      </w:r>
      <w:hyperlink w:history="0" w:anchor="P865" w:tooltip="10.7 Допускается увеличивать рабочее давление свыше 0,6 МПа (60 м вод. ст.) в зоне за счет применения элементов систем, выдерживающих соответствующее рабочее давление на отметке самого низкорасположенного элемента системы (насосы, арматура, теплообменники, регуляторы и т.п.), при условии установки у потребителей регуляторов давления для исключения возможности превышения у них гидростатического давления выше 0,6 МПа (60 м вод. ст.) на отметке расположения потребителей.">
        <w:r>
          <w:rPr>
            <w:sz w:val="24"/>
            <w:color w:val="0000ff"/>
          </w:rPr>
          <w:t xml:space="preserve">10.7</w:t>
        </w:r>
      </w:hyperlink>
      <w:r>
        <w:rPr>
          <w:sz w:val="24"/>
        </w:rPr>
        <w:t xml:space="preserve">). Водоразборные и циркуляционные стояки при такой схеме не должны кольцеваться между собой.</w:t>
      </w:r>
    </w:p>
    <w:p>
      <w:pPr>
        <w:pStyle w:val="0"/>
        <w:spacing w:before="240" w:lineRule="auto"/>
        <w:ind w:firstLine="540"/>
        <w:jc w:val="both"/>
      </w:pPr>
      <w:r>
        <w:rPr>
          <w:sz w:val="24"/>
        </w:rPr>
        <w:t xml:space="preserve">Примечание - Размеры дверей следует предусматривать с учетом проведения необходимых эксплуатационных работ.</w:t>
      </w:r>
    </w:p>
    <w:p>
      <w:pPr>
        <w:pStyle w:val="0"/>
        <w:jc w:val="both"/>
      </w:pPr>
      <w:r>
        <w:rPr>
          <w:sz w:val="24"/>
        </w:rPr>
        <w:t xml:space="preserve">(п. 10.11 в ред. </w:t>
      </w:r>
      <w:hyperlink w:history="0" r:id="rId25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10.12 На трубопроводах систем ХВС и ГВС следует предусматривать компенсацию температурных удлинений.</w:t>
      </w:r>
    </w:p>
    <w:p>
      <w:pPr>
        <w:pStyle w:val="0"/>
        <w:spacing w:before="240" w:lineRule="auto"/>
        <w:ind w:firstLine="540"/>
        <w:jc w:val="both"/>
      </w:pPr>
      <w:r>
        <w:rPr>
          <w:sz w:val="24"/>
        </w:rPr>
        <w:t xml:space="preserve">10.13 Основную запорную арматуру на трубопроводах систем ХВС и ГВС следует устанавливать:</w:t>
      </w:r>
    </w:p>
    <w:p>
      <w:pPr>
        <w:pStyle w:val="0"/>
        <w:spacing w:before="240" w:lineRule="auto"/>
        <w:ind w:firstLine="540"/>
        <w:jc w:val="both"/>
      </w:pPr>
      <w:r>
        <w:rPr>
          <w:sz w:val="24"/>
        </w:rPr>
        <w:t xml:space="preserve">в помещениях общественного назначения - на вводе трубопроводов в помещение;</w:t>
      </w:r>
    </w:p>
    <w:p>
      <w:pPr>
        <w:pStyle w:val="0"/>
        <w:spacing w:before="240" w:lineRule="auto"/>
        <w:ind w:firstLine="540"/>
        <w:jc w:val="both"/>
      </w:pPr>
      <w:r>
        <w:rPr>
          <w:sz w:val="24"/>
        </w:rPr>
        <w:t xml:space="preserve">в жилой части зданий - в коммуникационных шахтах вне пределов квартир (апартаментов).</w:t>
      </w:r>
    </w:p>
    <w:p>
      <w:pPr>
        <w:pStyle w:val="0"/>
        <w:spacing w:before="240" w:lineRule="auto"/>
        <w:ind w:firstLine="540"/>
        <w:jc w:val="both"/>
      </w:pPr>
      <w:r>
        <w:rPr>
          <w:sz w:val="24"/>
        </w:rPr>
        <w:t xml:space="preserve">10.14 Полотенцесушители, в соответствии с </w:t>
      </w:r>
      <w:hyperlink w:history="0" r:id="rId255"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следует подключать к стоякам, предназначенным только для их установки на подающем трубопроводе системы ГВС.</w:t>
      </w:r>
    </w:p>
    <w:p>
      <w:pPr>
        <w:pStyle w:val="0"/>
        <w:spacing w:before="240" w:lineRule="auto"/>
        <w:ind w:firstLine="540"/>
        <w:jc w:val="both"/>
      </w:pPr>
      <w:r>
        <w:rPr>
          <w:sz w:val="24"/>
        </w:rPr>
        <w:t xml:space="preserve">При этом схемное решение по подключению полотенцесушителей к трубопроводу должно обеспечивать циркуляцию воды в системе ГВС при отключении полотенцесушителей.</w:t>
      </w:r>
    </w:p>
    <w:p>
      <w:pPr>
        <w:pStyle w:val="0"/>
        <w:spacing w:before="240" w:lineRule="auto"/>
        <w:ind w:firstLine="540"/>
        <w:jc w:val="both"/>
      </w:pPr>
      <w:r>
        <w:rPr>
          <w:sz w:val="24"/>
        </w:rPr>
        <w:t xml:space="preserve">Примечание - Допускается установка полотенцесушителей с электронагревом, при этом, требуемую электрическую мощность следует учитывать в электронагрузке на квартиру.</w:t>
      </w:r>
    </w:p>
    <w:p>
      <w:pPr>
        <w:pStyle w:val="0"/>
        <w:jc w:val="both"/>
      </w:pPr>
      <w:r>
        <w:rPr>
          <w:sz w:val="24"/>
        </w:rPr>
      </w:r>
    </w:p>
    <w:bookmarkStart w:id="899" w:name="P899"/>
    <w:bookmarkEnd w:id="899"/>
    <w:p>
      <w:pPr>
        <w:pStyle w:val="0"/>
        <w:ind w:firstLine="540"/>
        <w:jc w:val="both"/>
      </w:pPr>
      <w:r>
        <w:rPr>
          <w:sz w:val="24"/>
        </w:rPr>
        <w:t xml:space="preserve">10.15 Для трубопроводов систем ГВС, кроме подводок к водоразборной арматуре, следует предусматривать тепловую изоляцию.</w:t>
      </w:r>
    </w:p>
    <w:p>
      <w:pPr>
        <w:pStyle w:val="0"/>
        <w:spacing w:before="240" w:lineRule="auto"/>
        <w:ind w:firstLine="540"/>
        <w:jc w:val="both"/>
      </w:pPr>
      <w:r>
        <w:rPr>
          <w:sz w:val="24"/>
        </w:rPr>
        <w:t xml:space="preserve">Для трубопроводов систем ХВС следует предусматривать тепловую изоляцию для исключения конденсации влаги на поверхности труб.</w:t>
      </w:r>
    </w:p>
    <w:p>
      <w:pPr>
        <w:pStyle w:val="0"/>
        <w:spacing w:before="240" w:lineRule="auto"/>
        <w:ind w:firstLine="540"/>
        <w:jc w:val="both"/>
      </w:pPr>
      <w:r>
        <w:rPr>
          <w:sz w:val="24"/>
        </w:rPr>
        <w:t xml:space="preserve">Толщина теплоизоляционного слоя должна приниматься по расчету, но не менее 10 мм для трубопроводов ХВС и 25 мм для трубопроводов ГВС и циркуляционных трубопроводов.</w:t>
      </w:r>
    </w:p>
    <w:p>
      <w:pPr>
        <w:pStyle w:val="0"/>
        <w:jc w:val="both"/>
      </w:pPr>
      <w:r>
        <w:rPr>
          <w:sz w:val="24"/>
        </w:rPr>
        <w:t xml:space="preserve">(в ред. </w:t>
      </w:r>
      <w:hyperlink w:history="0" r:id="rId25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10.16 Срок службы трубопроводов и оборудования, применяемого в высотных зданиях, должен составлять не менее 50 лет, материалов - 25 лет.</w:t>
      </w:r>
    </w:p>
    <w:p>
      <w:pPr>
        <w:pStyle w:val="0"/>
        <w:jc w:val="both"/>
      </w:pPr>
      <w:r>
        <w:rPr>
          <w:sz w:val="24"/>
        </w:rPr>
        <w:t xml:space="preserve">(п. 10.16 в ред. </w:t>
      </w:r>
      <w:hyperlink w:history="0" r:id="rId25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10.17 Устройство насосных станций (установок) систем водоснабжения и водяного пожаротушения следует выполнять в соответствии с </w:t>
      </w:r>
      <w:hyperlink w:history="0" r:id="rId25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59"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w:t>
        </w:r>
      </w:hyperlink>
      <w:r>
        <w:rPr>
          <w:sz w:val="24"/>
        </w:rPr>
        <w:t xml:space="preserve">, </w:t>
      </w:r>
      <w:hyperlink w:history="0" r:id="rId26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и настоящим сводом правил.</w:t>
      </w:r>
    </w:p>
    <w:p>
      <w:pPr>
        <w:pStyle w:val="0"/>
        <w:spacing w:before="240" w:lineRule="auto"/>
        <w:ind w:firstLine="540"/>
        <w:jc w:val="both"/>
      </w:pPr>
      <w:r>
        <w:rPr>
          <w:sz w:val="24"/>
        </w:rPr>
        <w:t xml:space="preserve">Абзац исключен с 21.02.2022. - </w:t>
      </w:r>
      <w:hyperlink w:history="0" r:id="rId26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10.18 Производительность насосных станций (установок) систем водоснабжения следует принимать:</w:t>
      </w:r>
    </w:p>
    <w:p>
      <w:pPr>
        <w:pStyle w:val="0"/>
        <w:spacing w:before="240" w:lineRule="auto"/>
        <w:ind w:firstLine="540"/>
        <w:jc w:val="both"/>
      </w:pPr>
      <w:r>
        <w:rPr>
          <w:sz w:val="24"/>
        </w:rPr>
        <w:t xml:space="preserve">- не менее максимального секундного расхода воды - при отсутствии регулирующей емкости;</w:t>
      </w:r>
    </w:p>
    <w:p>
      <w:pPr>
        <w:pStyle w:val="0"/>
        <w:spacing w:before="240" w:lineRule="auto"/>
        <w:ind w:firstLine="540"/>
        <w:jc w:val="both"/>
      </w:pPr>
      <w:r>
        <w:rPr>
          <w:sz w:val="24"/>
        </w:rPr>
        <w:t xml:space="preserve">- не менее максимального часового расхода воды - при наличии водонапорного или гидропневматического бака.</w:t>
      </w:r>
    </w:p>
    <w:p>
      <w:pPr>
        <w:pStyle w:val="0"/>
        <w:spacing w:before="240" w:lineRule="auto"/>
        <w:ind w:firstLine="540"/>
        <w:jc w:val="both"/>
      </w:pPr>
      <w:r>
        <w:rPr>
          <w:sz w:val="24"/>
        </w:rPr>
        <w:t xml:space="preserve">10.19 Помещения насосных станций (установок) систем водоснабжения и водяного пожаротушения могут располагаться в подземных этажах, на промежуточных технических этажах, а также в пристроенных или отдельно стоящих зданиях в соответствии с </w:t>
      </w:r>
      <w:hyperlink w:history="0" r:id="rId262"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10.20 Помещения для насосных станций (установок) систем водяного пожаротушения должны быть с отдельным выходом наружу или в лестничную клетку, с выходом наружу.</w:t>
      </w:r>
    </w:p>
    <w:p>
      <w:pPr>
        <w:pStyle w:val="0"/>
        <w:spacing w:before="240" w:lineRule="auto"/>
        <w:ind w:firstLine="540"/>
        <w:jc w:val="both"/>
      </w:pPr>
      <w:r>
        <w:rPr>
          <w:sz w:val="24"/>
        </w:rPr>
        <w:t xml:space="preserve">Помещение насосной станции (установки) систем водяного пожаротушения должно быть отделено от других помещений противопожарными перегородками и перекрытиями с пределом огнестойкости REI 45 (классификация по ГОСТ 30247.0-94, </w:t>
      </w:r>
      <w:hyperlink w:history="0" r:id="rId263"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раздел 10</w:t>
        </w:r>
      </w:hyperlink>
      <w:r>
        <w:rPr>
          <w:sz w:val="24"/>
        </w:rPr>
        <w:t xml:space="preserve">).</w:t>
      </w:r>
    </w:p>
    <w:p>
      <w:pPr>
        <w:pStyle w:val="0"/>
        <w:spacing w:before="240" w:lineRule="auto"/>
        <w:ind w:firstLine="540"/>
        <w:jc w:val="both"/>
      </w:pPr>
      <w:r>
        <w:rPr>
          <w:sz w:val="24"/>
        </w:rPr>
        <w:t xml:space="preserve">Примечание - Насосные станции (установки) систем водяного пожаротушения должны быть расположены не ниже первого подземного этажа.</w:t>
      </w:r>
    </w:p>
    <w:p>
      <w:pPr>
        <w:pStyle w:val="0"/>
        <w:jc w:val="both"/>
      </w:pPr>
      <w:r>
        <w:rPr>
          <w:sz w:val="24"/>
        </w:rPr>
      </w:r>
    </w:p>
    <w:p>
      <w:pPr>
        <w:pStyle w:val="0"/>
        <w:ind w:firstLine="540"/>
        <w:jc w:val="both"/>
      </w:pPr>
      <w:r>
        <w:rPr>
          <w:sz w:val="24"/>
        </w:rPr>
        <w:t xml:space="preserve">10.21 Помещения насосных станций (установок) должны быть оснащены подъемно-транспортными устройствами для возможности демонтажа и замены оборудования.</w:t>
      </w:r>
    </w:p>
    <w:p>
      <w:pPr>
        <w:pStyle w:val="0"/>
        <w:spacing w:before="240" w:lineRule="auto"/>
        <w:ind w:firstLine="540"/>
        <w:jc w:val="both"/>
      </w:pPr>
      <w:r>
        <w:rPr>
          <w:sz w:val="24"/>
        </w:rPr>
        <w:t xml:space="preserve">10.22 Габариты помещения для размещения насосных станций (установок), трубопроводов, арматуры, мембранных баков, баков-аккумуляторов, электрических щитов силового оборудования, автоматики и другого инженерного оборудования необходимо определять в соответствии с </w:t>
      </w:r>
      <w:hyperlink w:history="0" r:id="rId264"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10.23 В насосных станциях следует предусматривать 100%-ное резервирование насосов. Следует применять насосные установки только заводского исполнения.</w:t>
      </w:r>
    </w:p>
    <w:p>
      <w:pPr>
        <w:pStyle w:val="0"/>
        <w:jc w:val="both"/>
      </w:pPr>
      <w:r>
        <w:rPr>
          <w:sz w:val="24"/>
        </w:rPr>
        <w:t xml:space="preserve">(п. 10.23 в ред. </w:t>
      </w:r>
      <w:hyperlink w:history="0" r:id="rId26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10.24 Для уменьшения шумов, вибраций и демпфирования осевых и радиальных перемещений, насосы, кроме пожарных, необходимо устанавливать на виброоснованиях, а соединение трубопроводов с патрубками насосов необходимо выполнять с установкой гибких вставок.</w:t>
      </w:r>
    </w:p>
    <w:p>
      <w:pPr>
        <w:pStyle w:val="0"/>
        <w:spacing w:before="240" w:lineRule="auto"/>
        <w:ind w:firstLine="540"/>
        <w:jc w:val="both"/>
      </w:pPr>
      <w:r>
        <w:rPr>
          <w:sz w:val="24"/>
        </w:rPr>
        <w:t xml:space="preserve">Насосные станции (установки) заводского изготовления, в которых предусмотрена изоляция шумов, вибраций и компенсация перемещений, могут быть установлены без выполнения указанных мероприятий.</w:t>
      </w:r>
    </w:p>
    <w:p>
      <w:pPr>
        <w:pStyle w:val="0"/>
        <w:spacing w:before="240" w:lineRule="auto"/>
        <w:ind w:firstLine="540"/>
        <w:jc w:val="both"/>
      </w:pPr>
      <w:r>
        <w:rPr>
          <w:sz w:val="24"/>
        </w:rPr>
        <w:t xml:space="preserve">10.25 Насосные станции (установки) следует предусматривать с регулируемым (частотным) приводом для обеспечения независимости расчетных давлений воды во внутренних системах водоснабжения от колебаний давления в наружных сетях водопровода.</w:t>
      </w:r>
    </w:p>
    <w:p>
      <w:pPr>
        <w:pStyle w:val="0"/>
        <w:spacing w:before="240" w:lineRule="auto"/>
        <w:ind w:firstLine="540"/>
        <w:jc w:val="both"/>
      </w:pPr>
      <w:r>
        <w:rPr>
          <w:sz w:val="24"/>
        </w:rPr>
        <w:t xml:space="preserve">10.26 Для создания гарантированного давления в системах внутреннего противопожарного водопровода (ВПВ) и водяных АУП допускается применение насосных агрегатов с регулируемым приводом или применение регуляторов давления. Для АУП целесообразно устройство изменения сечения трубопроводов в зависимости от высотного расположения защищаемых помещений.</w:t>
      </w:r>
    </w:p>
    <w:p>
      <w:pPr>
        <w:pStyle w:val="0"/>
        <w:spacing w:before="240" w:lineRule="auto"/>
        <w:ind w:firstLine="540"/>
        <w:jc w:val="both"/>
      </w:pPr>
      <w:r>
        <w:rPr>
          <w:sz w:val="24"/>
        </w:rPr>
        <w:t xml:space="preserve">10.27 Необходимо предусматривать системы диспетчеризации и управления насосными станциями (установками) с возможностью ручного, дистанционного и автоматического управления.</w:t>
      </w:r>
    </w:p>
    <w:p>
      <w:pPr>
        <w:pStyle w:val="0"/>
        <w:spacing w:before="240" w:lineRule="auto"/>
        <w:ind w:firstLine="540"/>
        <w:jc w:val="both"/>
      </w:pPr>
      <w:r>
        <w:rPr>
          <w:sz w:val="24"/>
        </w:rPr>
        <w:t xml:space="preserve">10.28 Узлы учета воды следует проектировать в соответствии с </w:t>
      </w:r>
      <w:hyperlink w:history="0" r:id="rId26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10.29 Шум и вибрация в помещениях здания от работы хозяйственных насосных агрегатов и другого оборудования не должны превышать допустимых значений.</w:t>
      </w:r>
    </w:p>
    <w:p>
      <w:pPr>
        <w:pStyle w:val="0"/>
        <w:jc w:val="both"/>
      </w:pPr>
      <w:r>
        <w:rPr>
          <w:sz w:val="24"/>
        </w:rPr>
        <w:t xml:space="preserve">(п. 10.29 в ред. </w:t>
      </w:r>
      <w:hyperlink w:history="0" r:id="rId26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10.30 По шуму и вибрации следует выполнять соответствующие расчеты, определяющие выбор технических мероприятий, обеспечивающих выполнение нормативных требований в жилых и общественных помещениях зданий.</w:t>
      </w:r>
    </w:p>
    <w:p>
      <w:pPr>
        <w:pStyle w:val="0"/>
        <w:spacing w:before="240" w:lineRule="auto"/>
        <w:ind w:firstLine="540"/>
        <w:jc w:val="both"/>
      </w:pPr>
      <w:r>
        <w:rPr>
          <w:sz w:val="24"/>
        </w:rPr>
        <w:t xml:space="preserve">10.31 При креплении опор трубопроводов и оборудования к строительным конструкциям здания под ними необходимо предусматривать виброизолирующие прокладки, за исключением неподвижных опор.</w:t>
      </w:r>
    </w:p>
    <w:p>
      <w:pPr>
        <w:pStyle w:val="0"/>
        <w:jc w:val="both"/>
      </w:pPr>
      <w:r>
        <w:rPr>
          <w:sz w:val="24"/>
        </w:rPr>
        <w:t xml:space="preserve">(п. 10.31 в ред. </w:t>
      </w:r>
      <w:hyperlink w:history="0" r:id="rId26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10.32 Требования к креплениям металлических элементов систем водоснабжения, водоотведения и водяного пожаротушения, узлам прохода через строительные конструкции приведены в </w:t>
      </w:r>
      <w:hyperlink w:history="0" w:anchor="P513" w:tooltip="7.6 Для защиты от электрохимической коррозии и блуждающих токов узлы прохода инженерных систем через строительные конструкции должны быть заземлены.">
        <w:r>
          <w:rPr>
            <w:sz w:val="24"/>
            <w:color w:val="0000ff"/>
          </w:rPr>
          <w:t xml:space="preserve">7.6</w:t>
        </w:r>
      </w:hyperlink>
      <w:r>
        <w:rPr>
          <w:sz w:val="24"/>
        </w:rPr>
        <w:t xml:space="preserve">.</w:t>
      </w:r>
    </w:p>
    <w:p>
      <w:pPr>
        <w:pStyle w:val="0"/>
        <w:spacing w:before="240" w:lineRule="auto"/>
        <w:ind w:firstLine="540"/>
        <w:jc w:val="both"/>
      </w:pPr>
      <w:r>
        <w:rPr>
          <w:sz w:val="24"/>
        </w:rPr>
        <w:t xml:space="preserve">10.33 Рекомендуется предусматривать раздельную систему технического водопровода очищенной дождевой и серой воды для полива прилегающей территории, смыва в бачках унитазов и писсуарах.</w:t>
      </w:r>
    </w:p>
    <w:p>
      <w:pPr>
        <w:pStyle w:val="0"/>
        <w:spacing w:before="240" w:lineRule="auto"/>
        <w:ind w:firstLine="540"/>
        <w:jc w:val="both"/>
      </w:pPr>
      <w:r>
        <w:rPr>
          <w:sz w:val="24"/>
        </w:rPr>
        <w:t xml:space="preserve">Распределительные трубы для технического водопровода должны быть проштампованы либо промаркированы по всей длине, либо иметь рельефную надпись: "Осторожно! Не питьевая вода! Пить запрещено!". Надпись должна быть легко различима в помещении или комнате, где расположены такие трубы.</w:t>
      </w:r>
    </w:p>
    <w:p>
      <w:pPr>
        <w:pStyle w:val="0"/>
        <w:jc w:val="both"/>
      </w:pPr>
      <w:r>
        <w:rPr>
          <w:sz w:val="24"/>
        </w:rPr>
        <w:t xml:space="preserve">(п. 10.33 введен </w:t>
      </w:r>
      <w:hyperlink w:history="0" r:id="rId26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11 Внутренние системы канализации</w:t>
      </w:r>
    </w:p>
    <w:p>
      <w:pPr>
        <w:pStyle w:val="0"/>
        <w:jc w:val="both"/>
      </w:pPr>
      <w:r>
        <w:rPr>
          <w:sz w:val="24"/>
        </w:rPr>
      </w:r>
    </w:p>
    <w:p>
      <w:pPr>
        <w:pStyle w:val="0"/>
        <w:ind w:firstLine="540"/>
        <w:jc w:val="both"/>
      </w:pPr>
      <w:r>
        <w:rPr>
          <w:sz w:val="24"/>
        </w:rPr>
        <w:t xml:space="preserve">11.1 Проектирование внутренних систем канализации высотного здания следует выполнять в соответствии с </w:t>
      </w:r>
      <w:hyperlink w:history="0" r:id="rId27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настоящим сводом правил.</w:t>
      </w:r>
    </w:p>
    <w:p>
      <w:pPr>
        <w:pStyle w:val="0"/>
        <w:spacing w:before="240" w:lineRule="auto"/>
        <w:ind w:firstLine="540"/>
        <w:jc w:val="both"/>
      </w:pPr>
      <w:r>
        <w:rPr>
          <w:sz w:val="24"/>
        </w:rPr>
        <w:t xml:space="preserve">11.2 При наличии в высотном здании встроенных, встроенно-пристроенных помещений другого функционального назначения (отличного от основного функционального назначения высотного здания), внутренние системы канализации этих помещений следует предусматривать раздельными, с самостоятельными выпусками в наружную сеть канализации (допускается в один колодец).</w:t>
      </w:r>
    </w:p>
    <w:p>
      <w:pPr>
        <w:pStyle w:val="0"/>
        <w:jc w:val="both"/>
      </w:pPr>
      <w:r>
        <w:rPr>
          <w:sz w:val="24"/>
        </w:rPr>
        <w:t xml:space="preserve">(в ред. </w:t>
      </w:r>
      <w:hyperlink w:history="0" r:id="rId27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Возможность присоединения стоков от встроенных помещений офисного назначения к системе канализации жилой части определяется заданием на проектирование.</w:t>
      </w:r>
    </w:p>
    <w:p>
      <w:pPr>
        <w:pStyle w:val="0"/>
        <w:spacing w:before="240" w:lineRule="auto"/>
        <w:ind w:firstLine="540"/>
        <w:jc w:val="both"/>
      </w:pPr>
      <w:r>
        <w:rPr>
          <w:sz w:val="24"/>
        </w:rPr>
        <w:t xml:space="preserve">11.3 Трубопроводы для бытовой канализации следует выполнять из высокопрочных чугунных безраструбных труб. Горизонтальные разводки в пределах обслуживаемого этажа допускается выполнять из полимерных труб.</w:t>
      </w:r>
    </w:p>
    <w:p>
      <w:pPr>
        <w:pStyle w:val="0"/>
        <w:spacing w:before="240" w:lineRule="auto"/>
        <w:ind w:firstLine="540"/>
        <w:jc w:val="both"/>
      </w:pPr>
      <w:r>
        <w:rPr>
          <w:sz w:val="24"/>
        </w:rPr>
        <w:t xml:space="preserve">Допускается использование стояков из полимерных труб в зданиях высотой до 100 м, при этом, на них необходимо выполнять устройства компенсации температурного расширения и соответствующие неподвижные крепления на каждом этаже. Узлы пересечения перекрытий следует оборудовать противопожарными манжетами.</w:t>
      </w:r>
    </w:p>
    <w:p>
      <w:pPr>
        <w:pStyle w:val="0"/>
        <w:jc w:val="both"/>
      </w:pPr>
      <w:r>
        <w:rPr>
          <w:sz w:val="24"/>
        </w:rPr>
        <w:t xml:space="preserve">(абзац введен </w:t>
      </w:r>
      <w:hyperlink w:history="0" r:id="rId27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Испытание стояков канализации выполняют на 1,5-кратный пролив расчетного количества стока. Утечки контролируются визуально по наличию воды на внешней поверхности стояков.</w:t>
      </w:r>
    </w:p>
    <w:p>
      <w:pPr>
        <w:pStyle w:val="0"/>
        <w:jc w:val="both"/>
      </w:pPr>
      <w:r>
        <w:rPr>
          <w:sz w:val="24"/>
        </w:rPr>
        <w:t xml:space="preserve">(абзац введен </w:t>
      </w:r>
      <w:hyperlink w:history="0" r:id="rId27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11.4 Схемы внутренних систем канализации допускается выполнять с вентилируемыми однотрубными (один рабочий стояк) или двухтрубными канализационными вентилируемыми стояками. Схемы, выполняемые двухтрубными канализационными вентилируемыми стояками, состоят из рабочего стояка, служащего для приема стоков, и вентиляционного стояка, служащего для подведения расчетного количества (объема) воздуха к рабочему стояку.</w:t>
      </w:r>
    </w:p>
    <w:p>
      <w:pPr>
        <w:pStyle w:val="0"/>
        <w:spacing w:before="240" w:lineRule="auto"/>
        <w:ind w:firstLine="540"/>
        <w:jc w:val="both"/>
      </w:pPr>
      <w:r>
        <w:rPr>
          <w:sz w:val="24"/>
        </w:rPr>
        <w:t xml:space="preserve">Абзац исключен с 21.02.2022. - </w:t>
      </w:r>
      <w:hyperlink w:history="0" r:id="rId27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11.5 Вытяжные части канализационных вентилируемых стояков (рабочих и вентиляционных) следует устраивать с учетом </w:t>
      </w:r>
      <w:hyperlink w:history="0" r:id="rId275"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При объединении нескольких стояков сборным трубопроводом диаметр трубопровода, объединяющего вверху канализационные стояки, надлежит принимать не менее:</w:t>
      </w:r>
    </w:p>
    <w:p>
      <w:pPr>
        <w:pStyle w:val="0"/>
        <w:spacing w:before="240" w:lineRule="auto"/>
        <w:ind w:firstLine="540"/>
        <w:jc w:val="both"/>
      </w:pPr>
      <w:r>
        <w:rPr>
          <w:sz w:val="24"/>
        </w:rPr>
        <w:t xml:space="preserve">при числе санитарно-технических приборов не более:</w:t>
      </w:r>
    </w:p>
    <w:p>
      <w:pPr>
        <w:pStyle w:val="0"/>
        <w:spacing w:before="240" w:lineRule="auto"/>
        <w:ind w:firstLine="540"/>
        <w:jc w:val="both"/>
      </w:pPr>
      <w:r>
        <w:rPr>
          <w:sz w:val="24"/>
        </w:rPr>
        <w:t xml:space="preserve">120 - 100 мм;</w:t>
      </w:r>
    </w:p>
    <w:p>
      <w:pPr>
        <w:pStyle w:val="0"/>
        <w:spacing w:before="240" w:lineRule="auto"/>
        <w:ind w:firstLine="540"/>
        <w:jc w:val="both"/>
      </w:pPr>
      <w:r>
        <w:rPr>
          <w:sz w:val="24"/>
        </w:rPr>
        <w:t xml:space="preserve">300 - 125 мм;</w:t>
      </w:r>
    </w:p>
    <w:p>
      <w:pPr>
        <w:pStyle w:val="0"/>
        <w:spacing w:before="240" w:lineRule="auto"/>
        <w:ind w:firstLine="540"/>
        <w:jc w:val="both"/>
      </w:pPr>
      <w:r>
        <w:rPr>
          <w:sz w:val="24"/>
        </w:rPr>
        <w:t xml:space="preserve">1200 - 150 мм;</w:t>
      </w:r>
    </w:p>
    <w:p>
      <w:pPr>
        <w:pStyle w:val="0"/>
        <w:spacing w:before="240" w:lineRule="auto"/>
        <w:ind w:firstLine="540"/>
        <w:jc w:val="both"/>
      </w:pPr>
      <w:r>
        <w:rPr>
          <w:sz w:val="24"/>
        </w:rPr>
        <w:t xml:space="preserve">св. 1200 - по расчету, но не менее 200 мм.</w:t>
      </w:r>
    </w:p>
    <w:p>
      <w:pPr>
        <w:pStyle w:val="0"/>
        <w:spacing w:before="240" w:lineRule="auto"/>
        <w:ind w:firstLine="540"/>
        <w:jc w:val="both"/>
      </w:pPr>
      <w:r>
        <w:rPr>
          <w:sz w:val="24"/>
        </w:rPr>
        <w:t xml:space="preserve">11.6 Исключен с 21.02.2022. - </w:t>
      </w:r>
      <w:hyperlink w:history="0" r:id="rId27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bookmarkStart w:id="956" w:name="P956"/>
    <w:bookmarkEnd w:id="956"/>
    <w:p>
      <w:pPr>
        <w:pStyle w:val="0"/>
        <w:spacing w:before="240" w:lineRule="auto"/>
        <w:ind w:firstLine="540"/>
        <w:jc w:val="both"/>
      </w:pPr>
      <w:r>
        <w:rPr>
          <w:sz w:val="24"/>
        </w:rPr>
        <w:t xml:space="preserve">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w:t>
      </w:r>
      <w:hyperlink w:history="0" w:anchor="P969" w:tooltip="Рисунок 11.1 - Схема подвода воздуха к рабочему стояку">
        <w:r>
          <w:rPr>
            <w:sz w:val="24"/>
            <w:color w:val="0000ff"/>
          </w:rPr>
          <w:t xml:space="preserve">рисунок 11.1</w:t>
        </w:r>
      </w:hyperlink>
      <w:r>
        <w:rPr>
          <w:sz w:val="24"/>
        </w:rPr>
        <w:t xml:space="preserve"> а)):</w:t>
      </w:r>
    </w:p>
    <w:p>
      <w:pPr>
        <w:pStyle w:val="0"/>
        <w:spacing w:before="240" w:lineRule="auto"/>
        <w:ind w:firstLine="540"/>
        <w:jc w:val="both"/>
      </w:pPr>
      <w:r>
        <w:rPr>
          <w:sz w:val="24"/>
        </w:rPr>
        <w:t xml:space="preserve">на участке рабочего стояка (диаметр трубопровода Д</w:t>
      </w:r>
      <w:r>
        <w:rPr>
          <w:sz w:val="24"/>
          <w:vertAlign w:val="subscript"/>
        </w:rPr>
        <w:t xml:space="preserve">ст</w:t>
      </w:r>
      <w:r>
        <w:rPr>
          <w:sz w:val="24"/>
        </w:rPr>
        <w:t xml:space="preserve">) над первой точкой изменения направления 1, в которой стояк переходит в горизонтальный трубопровод (лежак) с диаметром Д</w:t>
      </w:r>
      <w:r>
        <w:rPr>
          <w:sz w:val="24"/>
          <w:vertAlign w:val="subscript"/>
        </w:rPr>
        <w:t xml:space="preserve">леж</w:t>
      </w:r>
      <w:r>
        <w:rPr>
          <w:sz w:val="24"/>
        </w:rPr>
        <w:t xml:space="preserve">;</w:t>
      </w:r>
    </w:p>
    <w:p>
      <w:pPr>
        <w:pStyle w:val="0"/>
        <w:spacing w:before="240" w:lineRule="auto"/>
        <w:ind w:firstLine="540"/>
        <w:jc w:val="both"/>
      </w:pPr>
      <w:r>
        <w:rPr>
          <w:sz w:val="24"/>
        </w:rPr>
        <w:t xml:space="preserve">в горизонтальном трубопроводе (лежаке) диаметром Д</w:t>
      </w:r>
      <w:r>
        <w:rPr>
          <w:sz w:val="24"/>
          <w:vertAlign w:val="subscript"/>
        </w:rPr>
        <w:t xml:space="preserve">леж</w:t>
      </w:r>
      <w:r>
        <w:rPr>
          <w:sz w:val="24"/>
        </w:rPr>
        <w:t xml:space="preserve">, перед второй точкой изменения направления 2.</w:t>
      </w:r>
    </w:p>
    <w:p>
      <w:pPr>
        <w:pStyle w:val="0"/>
        <w:jc w:val="both"/>
      </w:pPr>
      <w:r>
        <w:rPr>
          <w:sz w:val="24"/>
        </w:rPr>
      </w:r>
    </w:p>
    <w:p>
      <w:pPr>
        <w:pStyle w:val="0"/>
        <w:jc w:val="center"/>
      </w:pPr>
      <w:r>
        <w:rPr>
          <w:position w:val="-273"/>
        </w:rPr>
        <w:drawing>
          <wp:inline distT="0" distB="0" distL="0" distR="0">
            <wp:extent cx="6045835" cy="3620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7">
                      <a:extLst>
                        <a:ext uri="{28A0092B-C50C-407E-A947-70E740481C1C}">
                          <a14:useLocalDpi xmlns:a14="http://schemas.microsoft.com/office/drawing/2010/main" val="0"/>
                        </a:ext>
                      </a:extLst>
                    </a:blip>
                    <a:srcRect/>
                    <a:stretch>
                      <a:fillRect/>
                    </a:stretch>
                  </pic:blipFill>
                  <pic:spPr bwMode="auto">
                    <a:xfrm>
                      <a:off x="0" y="0"/>
                      <a:ext cx="6045835" cy="3620770"/>
                    </a:xfrm>
                    <a:prstGeom prst="rect">
                      <a:avLst/>
                    </a:prstGeom>
                    <a:noFill/>
                    <a:ln>
                      <a:noFill/>
                    </a:ln>
                  </pic:spPr>
                </pic:pic>
              </a:graphicData>
            </a:graphic>
          </wp:inline>
        </w:drawing>
      </w:r>
    </w:p>
    <w:p>
      <w:pPr>
        <w:pStyle w:val="0"/>
        <w:jc w:val="both"/>
      </w:pPr>
      <w:r>
        <w:rPr>
          <w:sz w:val="24"/>
        </w:rPr>
      </w:r>
    </w:p>
    <w:p>
      <w:pPr>
        <w:pStyle w:val="0"/>
        <w:jc w:val="center"/>
      </w:pPr>
      <w:r>
        <w:rPr>
          <w:sz w:val="24"/>
          <w:i w:val="on"/>
        </w:rPr>
        <w:t xml:space="preserve">а</w:t>
      </w:r>
      <w:r>
        <w:rPr>
          <w:sz w:val="24"/>
        </w:rPr>
        <w:t xml:space="preserve"> - с устройством вентиляционного трубопровода (байпаса);</w:t>
      </w:r>
    </w:p>
    <w:p>
      <w:pPr>
        <w:pStyle w:val="0"/>
        <w:jc w:val="center"/>
      </w:pPr>
      <w:r>
        <w:rPr>
          <w:sz w:val="24"/>
          <w:i w:val="on"/>
        </w:rPr>
        <w:t xml:space="preserve">б</w:t>
      </w:r>
      <w:r>
        <w:rPr>
          <w:sz w:val="24"/>
        </w:rPr>
        <w:t xml:space="preserve"> - с установкой автоматического воздушного клапана</w:t>
      </w:r>
    </w:p>
    <w:p>
      <w:pPr>
        <w:pStyle w:val="0"/>
        <w:jc w:val="both"/>
      </w:pPr>
      <w:r>
        <w:rPr>
          <w:sz w:val="24"/>
        </w:rPr>
      </w:r>
    </w:p>
    <w:p>
      <w:pPr>
        <w:pStyle w:val="0"/>
        <w:jc w:val="center"/>
      </w:pPr>
      <w:r>
        <w:rPr>
          <w:sz w:val="24"/>
          <w:i w:val="on"/>
        </w:rPr>
        <w:t xml:space="preserve">1</w:t>
      </w:r>
      <w:r>
        <w:rPr>
          <w:sz w:val="24"/>
        </w:rPr>
        <w:t xml:space="preserve"> - первая точка изменения направления; </w:t>
      </w:r>
      <w:r>
        <w:rPr>
          <w:sz w:val="24"/>
          <w:i w:val="on"/>
        </w:rPr>
        <w:t xml:space="preserve">2</w:t>
      </w:r>
      <w:r>
        <w:rPr>
          <w:sz w:val="24"/>
        </w:rPr>
        <w:t xml:space="preserve"> - вторая точка</w:t>
      </w:r>
    </w:p>
    <w:p>
      <w:pPr>
        <w:pStyle w:val="0"/>
        <w:jc w:val="center"/>
      </w:pPr>
      <w:r>
        <w:rPr>
          <w:sz w:val="24"/>
        </w:rPr>
        <w:t xml:space="preserve">изменения направления; </w:t>
      </w:r>
      <w:r>
        <w:rPr>
          <w:sz w:val="24"/>
          <w:i w:val="on"/>
        </w:rPr>
        <w:t xml:space="preserve">3</w:t>
      </w:r>
      <w:r>
        <w:rPr>
          <w:sz w:val="24"/>
        </w:rPr>
        <w:t xml:space="preserve"> - точка подключения вентиляционного</w:t>
      </w:r>
    </w:p>
    <w:p>
      <w:pPr>
        <w:pStyle w:val="0"/>
        <w:jc w:val="center"/>
      </w:pPr>
      <w:r>
        <w:rPr>
          <w:sz w:val="24"/>
        </w:rPr>
        <w:t xml:space="preserve">трубопровода (байпаса); </w:t>
      </w:r>
      <w:r>
        <w:rPr>
          <w:sz w:val="24"/>
          <w:i w:val="on"/>
        </w:rPr>
        <w:t xml:space="preserve">4</w:t>
      </w:r>
      <w:r>
        <w:rPr>
          <w:sz w:val="24"/>
        </w:rPr>
        <w:t xml:space="preserve"> - автоматический воздушный клапан</w:t>
      </w:r>
    </w:p>
    <w:p>
      <w:pPr>
        <w:pStyle w:val="0"/>
        <w:jc w:val="both"/>
      </w:pPr>
      <w:r>
        <w:rPr>
          <w:sz w:val="24"/>
        </w:rPr>
      </w:r>
    </w:p>
    <w:bookmarkStart w:id="969" w:name="P969"/>
    <w:bookmarkEnd w:id="969"/>
    <w:p>
      <w:pPr>
        <w:pStyle w:val="0"/>
        <w:jc w:val="center"/>
      </w:pPr>
      <w:r>
        <w:rPr>
          <w:sz w:val="24"/>
          <w:b w:val="on"/>
          <w:i w:val="on"/>
        </w:rPr>
        <w:t xml:space="preserve">Рисунок 11.1</w:t>
      </w:r>
      <w:r>
        <w:rPr>
          <w:sz w:val="24"/>
        </w:rPr>
        <w:t xml:space="preserve"> </w:t>
      </w:r>
      <w:r>
        <w:rPr>
          <w:sz w:val="24"/>
          <w:b w:val="on"/>
        </w:rPr>
        <w:t xml:space="preserve">- Схема подвода воздуха к рабочему стояку</w:t>
      </w:r>
    </w:p>
    <w:p>
      <w:pPr>
        <w:pStyle w:val="0"/>
        <w:jc w:val="center"/>
      </w:pPr>
      <w:r>
        <w:rPr>
          <w:sz w:val="24"/>
          <w:b w:val="on"/>
        </w:rPr>
        <w:t xml:space="preserve">при изменении направления движения стоков</w:t>
      </w:r>
    </w:p>
    <w:p>
      <w:pPr>
        <w:pStyle w:val="0"/>
        <w:jc w:val="center"/>
      </w:pPr>
      <w:r>
        <w:rPr>
          <w:sz w:val="24"/>
        </w:rPr>
      </w:r>
    </w:p>
    <w:p>
      <w:pPr>
        <w:pStyle w:val="0"/>
        <w:jc w:val="center"/>
      </w:pPr>
      <w:r>
        <w:rPr>
          <w:sz w:val="24"/>
        </w:rPr>
        <w:t xml:space="preserve">(рисунок 11.1 в ред. </w:t>
      </w:r>
      <w:hyperlink w:history="0" r:id="rId27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ind w:firstLine="540"/>
        <w:jc w:val="both"/>
      </w:pPr>
      <w:r>
        <w:rPr>
          <w:sz w:val="24"/>
        </w:rPr>
        <w:t xml:space="preserve">Эти условия выполняются при устройстве вентиляционного трубопровода (байпаса) диаметром Д</w:t>
      </w:r>
      <w:r>
        <w:rPr>
          <w:sz w:val="24"/>
          <w:vertAlign w:val="subscript"/>
        </w:rPr>
        <w:t xml:space="preserve">вент</w:t>
      </w:r>
      <w:r>
        <w:rPr>
          <w:sz w:val="24"/>
        </w:rPr>
        <w:t xml:space="preserve">, соединяющего первый (над точкой 3) и второй (под точкой 2) участки рабочего стояка.</w:t>
      </w:r>
    </w:p>
    <w:p>
      <w:pPr>
        <w:pStyle w:val="0"/>
        <w:spacing w:before="240" w:lineRule="auto"/>
        <w:ind w:firstLine="540"/>
        <w:jc w:val="both"/>
      </w:pPr>
      <w:r>
        <w:rPr>
          <w:sz w:val="24"/>
        </w:rPr>
        <w:t xml:space="preserve">Диаметр вентиляционного трубопровода должен быть равен диаметру рабочего канализационного стока (Д</w:t>
      </w:r>
      <w:r>
        <w:rPr>
          <w:sz w:val="24"/>
          <w:vertAlign w:val="subscript"/>
        </w:rPr>
        <w:t xml:space="preserve">вент</w:t>
      </w:r>
      <w:r>
        <w:rPr>
          <w:sz w:val="24"/>
        </w:rPr>
        <w:t xml:space="preserve"> = Д</w:t>
      </w:r>
      <w:r>
        <w:rPr>
          <w:sz w:val="24"/>
          <w:vertAlign w:val="subscript"/>
        </w:rPr>
        <w:t xml:space="preserve">ст</w:t>
      </w:r>
      <w:r>
        <w:rPr>
          <w:sz w:val="24"/>
        </w:rPr>
        <w:t xml:space="preserve">).</w:t>
      </w:r>
    </w:p>
    <w:p>
      <w:pPr>
        <w:pStyle w:val="0"/>
        <w:spacing w:before="240" w:lineRule="auto"/>
        <w:ind w:firstLine="540"/>
        <w:jc w:val="both"/>
      </w:pPr>
      <w:r>
        <w:rPr>
          <w:sz w:val="24"/>
        </w:rPr>
        <w:t xml:space="preserve">11.8 Для обеспечения равного давления воздуха на участках рабочего стояка, указанных в </w:t>
      </w:r>
      <w:hyperlink w:history="0" w:anchor="P956" w:tooltip="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рисунок 11.1 а)):">
        <w:r>
          <w:rPr>
            <w:sz w:val="24"/>
            <w:color w:val="0000ff"/>
          </w:rPr>
          <w:t xml:space="preserve">11.7</w:t>
        </w:r>
      </w:hyperlink>
      <w:r>
        <w:rPr>
          <w:sz w:val="24"/>
        </w:rPr>
        <w:t xml:space="preserve">, допускается установка автоматических воздушных клапанов (</w:t>
      </w:r>
      <w:hyperlink w:history="0" w:anchor="P969" w:tooltip="Рисунок 11.1 - Схема подвода воздуха к рабочему стояку">
        <w:r>
          <w:rPr>
            <w:sz w:val="24"/>
            <w:color w:val="0000ff"/>
          </w:rPr>
          <w:t xml:space="preserve">рисунок 11.1</w:t>
        </w:r>
      </w:hyperlink>
      <w:r>
        <w:rPr>
          <w:sz w:val="24"/>
        </w:rPr>
        <w:t xml:space="preserve">, </w:t>
      </w:r>
      <w:r>
        <w:rPr>
          <w:sz w:val="24"/>
          <w:i w:val="on"/>
        </w:rPr>
        <w:t xml:space="preserve">б</w:t>
      </w:r>
      <w:r>
        <w:rPr>
          <w:sz w:val="24"/>
        </w:rPr>
        <w:t xml:space="preserve">) над второй точкой изменения направления (по ходу движения стоков) вместо устройства вентиляционного трубопровода (байпаса).</w:t>
      </w:r>
    </w:p>
    <w:p>
      <w:pPr>
        <w:pStyle w:val="0"/>
        <w:jc w:val="both"/>
      </w:pPr>
      <w:r>
        <w:rPr>
          <w:sz w:val="24"/>
        </w:rPr>
        <w:t xml:space="preserve">(п. 11.8 в ред. </w:t>
      </w:r>
      <w:hyperlink w:history="0" r:id="rId27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11.9 Присоединение канализационных стояков к горизонтальным трубопроводам (лежакам) бытовой канализации следует выполнять плавно (с помощью отводов по 45°, 30° или 22,5°) в горизонтальной плоскости.</w:t>
      </w:r>
    </w:p>
    <w:p>
      <w:pPr>
        <w:pStyle w:val="0"/>
        <w:jc w:val="both"/>
      </w:pPr>
      <w:r>
        <w:rPr>
          <w:sz w:val="24"/>
        </w:rPr>
        <w:t xml:space="preserve">(в ред. </w:t>
      </w:r>
      <w:hyperlink w:history="0" r:id="rId28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В основании канализационных стояков и в точках изменения направления потока следует устанавливать неподвижные упоры или другие средства крепления для обеспечения неразрывности конструкции трубопровода при залповых сбросах сточной жидкости.</w:t>
      </w:r>
    </w:p>
    <w:p>
      <w:pPr>
        <w:pStyle w:val="0"/>
        <w:jc w:val="both"/>
      </w:pPr>
      <w:r>
        <w:rPr>
          <w:sz w:val="24"/>
        </w:rPr>
        <w:t xml:space="preserve">(в ред. </w:t>
      </w:r>
      <w:hyperlink w:history="0" r:id="rId28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Расстояние от точки присоединения последнего прибора на стояке до лежака по вертикали следует принимать не менее 2 м. При отсутствии технической возможности такого подключения прибор следует подключать с выполнением условий </w:t>
      </w:r>
      <w:hyperlink w:history="0" w:anchor="P956" w:tooltip="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рисунок 11.1 а)):">
        <w:r>
          <w:rPr>
            <w:sz w:val="24"/>
            <w:color w:val="0000ff"/>
          </w:rPr>
          <w:t xml:space="preserve">11.7</w:t>
        </w:r>
      </w:hyperlink>
      <w:r>
        <w:rPr>
          <w:sz w:val="24"/>
        </w:rPr>
        <w:t xml:space="preserve">.</w:t>
      </w:r>
    </w:p>
    <w:p>
      <w:pPr>
        <w:pStyle w:val="0"/>
        <w:jc w:val="both"/>
      </w:pPr>
      <w:r>
        <w:rPr>
          <w:sz w:val="24"/>
        </w:rPr>
        <w:t xml:space="preserve">(в ред. </w:t>
      </w:r>
      <w:hyperlink w:history="0" r:id="rId28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Абзац исключен с 14.11.2024. - </w:t>
      </w:r>
      <w:hyperlink w:history="0" r:id="rId28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11.10 Необходимо предусматривать компенсацию линейных удлинений канализационных вентилируемых стояков, применяя, как правило, соединения труб и фасонных частей на резиновых уплотнительных кольцах или манжетах (с нормативными зазорами между торцами труб). Запрещается сборка стояков сверху вниз.</w:t>
      </w:r>
    </w:p>
    <w:p>
      <w:pPr>
        <w:pStyle w:val="0"/>
        <w:jc w:val="both"/>
      </w:pPr>
      <w:r>
        <w:rPr>
          <w:sz w:val="24"/>
        </w:rPr>
        <w:t xml:space="preserve">(в ред. </w:t>
      </w:r>
      <w:hyperlink w:history="0" r:id="rId28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11.11 Диаметры канализационных вентилируемых стояков принимают в зависимости от их пропускной способности и величины расчетного расхода сточной жидкости.</w:t>
      </w:r>
    </w:p>
    <w:p>
      <w:pPr>
        <w:pStyle w:val="0"/>
        <w:spacing w:before="240" w:lineRule="auto"/>
        <w:ind w:firstLine="540"/>
        <w:jc w:val="both"/>
      </w:pPr>
      <w:r>
        <w:rPr>
          <w:sz w:val="24"/>
        </w:rPr>
        <w:t xml:space="preserve">Пропускная способность канализационных стояков при высоте гидравлических затворов санитарно-технических приборов 60 мм должна соответствовать </w:t>
      </w:r>
      <w:hyperlink w:history="0" r:id="rId285"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Данные по расходам воды и стоков от приборов приведены в </w:t>
      </w:r>
      <w:hyperlink w:history="0" w:anchor="P1933" w:tooltip="РАСХОДЫ ВОДЫ И СТОКОВ САНИТАРНЫМИ ПРИБОРАМИ">
        <w:r>
          <w:rPr>
            <w:sz w:val="24"/>
            <w:color w:val="0000ff"/>
          </w:rPr>
          <w:t xml:space="preserve">приложении Г</w:t>
        </w:r>
      </w:hyperlink>
      <w:r>
        <w:rPr>
          <w:sz w:val="24"/>
        </w:rPr>
        <w:t xml:space="preserve">.</w:t>
      </w:r>
    </w:p>
    <w:p>
      <w:pPr>
        <w:pStyle w:val="0"/>
        <w:jc w:val="both"/>
      </w:pPr>
      <w:r>
        <w:rPr>
          <w:sz w:val="24"/>
        </w:rPr>
        <w:t xml:space="preserve">(п. 11.11 в ред. </w:t>
      </w:r>
      <w:hyperlink w:history="0" r:id="rId28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11.12 Гидравлический расчет самотечных трубопроводов следует выполнять в соответствии с </w:t>
      </w:r>
      <w:hyperlink w:history="0" r:id="rId28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с учетом принятого коэффициента шероховатости материала труб.</w:t>
      </w:r>
    </w:p>
    <w:p>
      <w:pPr>
        <w:pStyle w:val="0"/>
        <w:spacing w:before="240" w:lineRule="auto"/>
        <w:ind w:firstLine="540"/>
        <w:jc w:val="both"/>
      </w:pPr>
      <w:r>
        <w:rPr>
          <w:sz w:val="24"/>
        </w:rPr>
        <w:t xml:space="preserve">11.13 Для предотвращения самосифонирования гидравлических затворов санитарно-технических приборов необходимо выполнять устройство вентиляционного стояка диаметром Д</w:t>
      </w:r>
      <w:r>
        <w:rPr>
          <w:sz w:val="24"/>
          <w:vertAlign w:val="subscript"/>
        </w:rPr>
        <w:t xml:space="preserve">вент</w:t>
      </w:r>
      <w:r>
        <w:rPr>
          <w:sz w:val="24"/>
        </w:rPr>
        <w:t xml:space="preserve">, соединяющего дальнюю от рабочего стояка точку подключения санитарно-технического прибора к горизонтальному трубопроводу (лежаку) диаметром Д</w:t>
      </w:r>
      <w:r>
        <w:rPr>
          <w:sz w:val="24"/>
          <w:vertAlign w:val="subscript"/>
        </w:rPr>
        <w:t xml:space="preserve">леж</w:t>
      </w:r>
      <w:r>
        <w:rPr>
          <w:sz w:val="24"/>
        </w:rPr>
        <w:t xml:space="preserve"> с рабочим стояком диаметром Д</w:t>
      </w:r>
      <w:r>
        <w:rPr>
          <w:sz w:val="24"/>
          <w:vertAlign w:val="subscript"/>
        </w:rPr>
        <w:t xml:space="preserve">ст</w:t>
      </w:r>
      <w:r>
        <w:rPr>
          <w:sz w:val="24"/>
        </w:rPr>
        <w:t xml:space="preserve">, или установить в этой точке воздушный клапан </w:t>
      </w:r>
      <w:hyperlink w:history="0" w:anchor="P999" w:tooltip="Рисунок 11.2 - Схема устройства длинной">
        <w:r>
          <w:rPr>
            <w:sz w:val="24"/>
            <w:color w:val="0000ff"/>
          </w:rPr>
          <w:t xml:space="preserve">(рисунок 11.2)</w:t>
        </w:r>
      </w:hyperlink>
      <w:r>
        <w:rPr>
          <w:sz w:val="24"/>
        </w:rPr>
        <w:t xml:space="preserve">.</w:t>
      </w:r>
    </w:p>
    <w:p>
      <w:pPr>
        <w:pStyle w:val="0"/>
        <w:jc w:val="both"/>
      </w:pPr>
      <w:r>
        <w:rPr>
          <w:sz w:val="24"/>
        </w:rPr>
        <w:t xml:space="preserve">(в ред. </w:t>
      </w:r>
      <w:hyperlink w:history="0" r:id="rId28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Эти мероприятия необходимо выполнять при значительном удалении санитарно-технического прибора от рабочего стояка (при длинной горизонтальной разводке), когда произведение значения уклона горизонтального трубопровода (лежака), мм/м, на его длину </w:t>
      </w:r>
      <w:r>
        <w:rPr>
          <w:sz w:val="24"/>
          <w:i w:val="on"/>
        </w:rPr>
        <w:t xml:space="preserve">L</w:t>
      </w:r>
      <w:r>
        <w:rPr>
          <w:sz w:val="24"/>
        </w:rPr>
        <w:t xml:space="preserve">, м, превышает высоту гидравлического затвора конкретного санитарно-технического прибора.</w:t>
      </w:r>
    </w:p>
    <w:p>
      <w:pPr>
        <w:pStyle w:val="0"/>
        <w:jc w:val="both"/>
      </w:pPr>
      <w:r>
        <w:rPr>
          <w:sz w:val="24"/>
        </w:rPr>
      </w:r>
    </w:p>
    <w:p>
      <w:pPr>
        <w:pStyle w:val="0"/>
        <w:jc w:val="center"/>
      </w:pPr>
      <w:r>
        <w:rPr>
          <w:position w:val="-206"/>
        </w:rPr>
        <w:drawing>
          <wp:inline distT="0" distB="0" distL="0" distR="0">
            <wp:extent cx="4411345" cy="277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9">
                      <a:extLst>
                        <a:ext uri="{28A0092B-C50C-407E-A947-70E740481C1C}">
                          <a14:useLocalDpi xmlns:a14="http://schemas.microsoft.com/office/drawing/2010/main" val="0"/>
                        </a:ext>
                      </a:extLst>
                    </a:blip>
                    <a:srcRect/>
                    <a:stretch>
                      <a:fillRect/>
                    </a:stretch>
                  </pic:blipFill>
                  <pic:spPr bwMode="auto">
                    <a:xfrm>
                      <a:off x="0" y="0"/>
                      <a:ext cx="4411345" cy="2778125"/>
                    </a:xfrm>
                    <a:prstGeom prst="rect">
                      <a:avLst/>
                    </a:prstGeom>
                    <a:noFill/>
                    <a:ln>
                      <a:noFill/>
                    </a:ln>
                  </pic:spPr>
                </pic:pic>
              </a:graphicData>
            </a:graphic>
          </wp:inline>
        </w:drawing>
      </w:r>
    </w:p>
    <w:p>
      <w:pPr>
        <w:pStyle w:val="0"/>
        <w:jc w:val="both"/>
      </w:pPr>
      <w:r>
        <w:rPr>
          <w:sz w:val="24"/>
        </w:rPr>
      </w:r>
    </w:p>
    <w:bookmarkStart w:id="999" w:name="P999"/>
    <w:bookmarkEnd w:id="999"/>
    <w:p>
      <w:pPr>
        <w:pStyle w:val="0"/>
        <w:jc w:val="center"/>
      </w:pPr>
      <w:r>
        <w:rPr>
          <w:sz w:val="24"/>
        </w:rPr>
        <w:t xml:space="preserve">Рисунок 11.2 - Схема устройства длинной</w:t>
      </w:r>
    </w:p>
    <w:p>
      <w:pPr>
        <w:pStyle w:val="0"/>
        <w:jc w:val="center"/>
      </w:pPr>
      <w:r>
        <w:rPr>
          <w:sz w:val="24"/>
        </w:rPr>
        <w:t xml:space="preserve">горизонтальной разводки</w:t>
      </w:r>
    </w:p>
    <w:p>
      <w:pPr>
        <w:pStyle w:val="0"/>
        <w:jc w:val="both"/>
      </w:pPr>
      <w:r>
        <w:rPr>
          <w:sz w:val="24"/>
        </w:rPr>
      </w:r>
    </w:p>
    <w:p>
      <w:pPr>
        <w:pStyle w:val="0"/>
        <w:ind w:firstLine="540"/>
        <w:jc w:val="both"/>
      </w:pPr>
      <w:r>
        <w:rPr>
          <w:sz w:val="24"/>
        </w:rPr>
        <w:t xml:space="preserve">11.14 При необходимости установки санитарно-технических приборов ниже уровня люка ближайшего смотрового колодца на сети наружной канализации их следует подключать к системе внутренней канализации, имеющей самотечный выпуск через канализационную насосную станцию (КНС).</w:t>
      </w:r>
    </w:p>
    <w:p>
      <w:pPr>
        <w:pStyle w:val="0"/>
        <w:spacing w:before="240" w:lineRule="auto"/>
        <w:ind w:firstLine="540"/>
        <w:jc w:val="both"/>
      </w:pPr>
      <w:r>
        <w:rPr>
          <w:sz w:val="24"/>
        </w:rPr>
        <w:t xml:space="preserve">Допускается на трубопроводах внутренних систем канализации устанавливать специальные канализационные затворы перед выпуском в наружные сети или обратные клапаны различных конструкций, предотвращающие обратный поток жидкости при подпоре в наружных сетях канализации.</w:t>
      </w:r>
    </w:p>
    <w:p>
      <w:pPr>
        <w:pStyle w:val="0"/>
        <w:jc w:val="both"/>
      </w:pPr>
      <w:r>
        <w:rPr>
          <w:sz w:val="24"/>
        </w:rPr>
        <w:t xml:space="preserve">(п. 11.14 в ред. </w:t>
      </w:r>
      <w:hyperlink w:history="0" r:id="rId29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11.15 При установке в подвальных помещениях высотных зданий санитарно-технических приборов на отметках, не позволяющих выполнять выпуск канализации самотеком, следует предусматривать насосные станции (установки), работающие в автоматическом режиме.</w:t>
      </w:r>
    </w:p>
    <w:p>
      <w:pPr>
        <w:pStyle w:val="0"/>
        <w:spacing w:before="240" w:lineRule="auto"/>
        <w:ind w:firstLine="540"/>
        <w:jc w:val="both"/>
      </w:pPr>
      <w:r>
        <w:rPr>
          <w:sz w:val="24"/>
        </w:rPr>
        <w:t xml:space="preserve">Абзац исключен с 21.02.2022. - </w:t>
      </w:r>
      <w:hyperlink w:history="0" r:id="rId29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11.16 Не допускается открытая прокладка (без устройства закрытых ниш или шахт) стояков бытовой канализации в помещениях квартир и встроенных помещениях.</w:t>
      </w:r>
    </w:p>
    <w:p>
      <w:pPr>
        <w:pStyle w:val="0"/>
        <w:jc w:val="both"/>
      </w:pPr>
      <w:r>
        <w:rPr>
          <w:sz w:val="24"/>
        </w:rPr>
        <w:t xml:space="preserve">(п. 11.16 в ред. </w:t>
      </w:r>
      <w:hyperlink w:history="0" r:id="rId29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11.17 Внутренние стояки ливневой канализации (далее - водосточные стояки) должны обеспечивать отвод дождевых и талых вод с кровель зданий.</w:t>
      </w:r>
    </w:p>
    <w:p>
      <w:pPr>
        <w:pStyle w:val="0"/>
        <w:spacing w:before="240" w:lineRule="auto"/>
        <w:ind w:firstLine="540"/>
        <w:jc w:val="both"/>
      </w:pPr>
      <w:r>
        <w:rPr>
          <w:sz w:val="24"/>
        </w:rPr>
        <w:t xml:space="preserve">Не допускается объединять выпуски водостока от стилобатной части здания со стояками, отводящими воду от высотной части здания.</w:t>
      </w:r>
    </w:p>
    <w:p>
      <w:pPr>
        <w:pStyle w:val="0"/>
        <w:spacing w:before="240" w:lineRule="auto"/>
        <w:ind w:firstLine="540"/>
        <w:jc w:val="both"/>
      </w:pPr>
      <w:r>
        <w:rPr>
          <w:sz w:val="24"/>
        </w:rPr>
        <w:t xml:space="preserve">Воду из систем внутренних водостоков следует отводить в наружные сети ливневой канализации. Устройство открытых выпусков водосточных стояков, сбрасывающих воду в лотки на поверхности земли, не допускается.</w:t>
      </w:r>
    </w:p>
    <w:p>
      <w:pPr>
        <w:pStyle w:val="0"/>
        <w:spacing w:before="240" w:lineRule="auto"/>
        <w:ind w:firstLine="540"/>
        <w:jc w:val="both"/>
      </w:pPr>
      <w:r>
        <w:rPr>
          <w:sz w:val="24"/>
        </w:rPr>
        <w:t xml:space="preserve">Водосточные стояки и подвесные линии от водосточных воронок следует предусматривать вне пределов квартир (апартаментов) с обеспечением свободного доступа для обслуживающего персонала.</w:t>
      </w:r>
    </w:p>
    <w:p>
      <w:pPr>
        <w:pStyle w:val="0"/>
        <w:spacing w:before="240" w:lineRule="auto"/>
        <w:ind w:firstLine="540"/>
        <w:jc w:val="both"/>
      </w:pPr>
      <w:r>
        <w:rPr>
          <w:sz w:val="24"/>
        </w:rPr>
        <w:t xml:space="preserve">Водосточные воронки и, при необходимости, участки кровли, примыкающие к воронкам, следует предусматривать с электроподогревом.</w:t>
      </w:r>
    </w:p>
    <w:p>
      <w:pPr>
        <w:pStyle w:val="0"/>
        <w:spacing w:before="240" w:lineRule="auto"/>
        <w:ind w:firstLine="540"/>
        <w:jc w:val="both"/>
      </w:pPr>
      <w:r>
        <w:rPr>
          <w:sz w:val="24"/>
        </w:rPr>
        <w:t xml:space="preserve">Технологический дренаж от систем кондиционирования воздуха рекомендуется выполнять отдельными стояками и выпусками в сеть ливневой или дренажной канализации.</w:t>
      </w:r>
    </w:p>
    <w:p>
      <w:pPr>
        <w:pStyle w:val="0"/>
        <w:jc w:val="both"/>
      </w:pPr>
      <w:r>
        <w:rPr>
          <w:sz w:val="24"/>
        </w:rPr>
        <w:t xml:space="preserve">(п. 11.17 в ред. </w:t>
      </w:r>
      <w:hyperlink w:history="0" r:id="rId29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11.18 Расходы дождевых и талых вод с водосборной площади кровли следует определять расчетом по </w:t>
      </w:r>
      <w:hyperlink w:history="0" r:id="rId294"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11.19 На промежуточных технических этажах и в межквартирных коридорах, при наличии систем АУП, для удаления воды при тушении пожара необходимо устанавливать трапы с устройством гидрозатвора или приемные патрубки с решетками. Трапы или приемные патрубки следует подключать к отдельным стоякам с самостоятельными выпусками в наружную сеть ливневой канализации. Перед выпусками следует устанавливать гидрозатворы.</w:t>
      </w:r>
    </w:p>
    <w:p>
      <w:pPr>
        <w:pStyle w:val="0"/>
        <w:jc w:val="both"/>
      </w:pPr>
      <w:r>
        <w:rPr>
          <w:sz w:val="24"/>
        </w:rPr>
        <w:t xml:space="preserve">(в ред. </w:t>
      </w:r>
      <w:hyperlink w:history="0" r:id="rId29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Для удаления воды при тушении пожара перед шахтами лифтов или лифтовыми холлами для исключения возможности залива шахт рекомендуется устанавливать перехватывающие лотки.</w:t>
      </w:r>
    </w:p>
    <w:p>
      <w:pPr>
        <w:pStyle w:val="0"/>
        <w:jc w:val="both"/>
      </w:pPr>
      <w:r>
        <w:rPr>
          <w:sz w:val="24"/>
        </w:rPr>
        <w:t xml:space="preserve">(в ред. </w:t>
      </w:r>
      <w:hyperlink w:history="0" r:id="rId29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11.20 Трубопроводы ливневой канализации высотного здания следует предусматривать из полимерных, высокопрочных чугунных или толстостенных стальных труб с внутренним и внешним антикоррозийным покрытием.</w:t>
      </w:r>
    </w:p>
    <w:p>
      <w:pPr>
        <w:pStyle w:val="0"/>
        <w:jc w:val="both"/>
      </w:pPr>
      <w:r>
        <w:rPr>
          <w:sz w:val="24"/>
        </w:rPr>
        <w:t xml:space="preserve">(п. 11.20 в ред. </w:t>
      </w:r>
      <w:hyperlink w:history="0" r:id="rId29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11.21 Рабочее давление применяемого трубопровода должно соответствовать статическому давлению воды в трубопроводе системы ливневой канализации при его полном наполнении (при засорах).</w:t>
      </w:r>
    </w:p>
    <w:p>
      <w:pPr>
        <w:pStyle w:val="0"/>
        <w:jc w:val="both"/>
      </w:pPr>
      <w:r>
        <w:rPr>
          <w:sz w:val="24"/>
        </w:rPr>
        <w:t xml:space="preserve">(в ред. </w:t>
      </w:r>
      <w:hyperlink w:history="0" r:id="rId29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Допускается применение трубопроводов с рабочим давлением меньшим, чем возможное давление при полном наполнении трубопровода. При этом для исключения превышения давления воды рядом с основным водосточным стояком необходимо предусмотреть резервный стояк (рисунок 11.3) с устройством между ними перемычек на каждом промежуточном техническом этаже. Допускается устройство перемычек на каждом этаже.</w:t>
      </w:r>
    </w:p>
    <w:p>
      <w:pPr>
        <w:pStyle w:val="0"/>
        <w:jc w:val="both"/>
      </w:pPr>
      <w:r>
        <w:rPr>
          <w:sz w:val="24"/>
        </w:rPr>
      </w:r>
    </w:p>
    <w:p>
      <w:pPr>
        <w:pStyle w:val="0"/>
        <w:jc w:val="center"/>
      </w:pPr>
      <w:r>
        <w:rPr>
          <w:position w:val="-427"/>
        </w:rPr>
        <w:drawing>
          <wp:inline distT="0" distB="0" distL="0" distR="0">
            <wp:extent cx="2682875" cy="55867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9">
                      <a:extLst>
                        <a:ext uri="{28A0092B-C50C-407E-A947-70E740481C1C}">
                          <a14:useLocalDpi xmlns:a14="http://schemas.microsoft.com/office/drawing/2010/main" val="0"/>
                        </a:ext>
                      </a:extLst>
                    </a:blip>
                    <a:srcRect/>
                    <a:stretch>
                      <a:fillRect/>
                    </a:stretch>
                  </pic:blipFill>
                  <pic:spPr bwMode="auto">
                    <a:xfrm>
                      <a:off x="0" y="0"/>
                      <a:ext cx="2682875" cy="5586730"/>
                    </a:xfrm>
                    <a:prstGeom prst="rect">
                      <a:avLst/>
                    </a:prstGeom>
                    <a:noFill/>
                    <a:ln>
                      <a:noFill/>
                    </a:ln>
                  </pic:spPr>
                </pic:pic>
              </a:graphicData>
            </a:graphic>
          </wp:inline>
        </w:drawing>
      </w:r>
    </w:p>
    <w:p>
      <w:pPr>
        <w:pStyle w:val="0"/>
        <w:jc w:val="both"/>
      </w:pPr>
      <w:r>
        <w:rPr>
          <w:sz w:val="24"/>
        </w:rPr>
      </w:r>
    </w:p>
    <w:p>
      <w:pPr>
        <w:pStyle w:val="0"/>
        <w:jc w:val="center"/>
      </w:pPr>
      <w:r>
        <w:rPr>
          <w:sz w:val="24"/>
          <w:i w:val="on"/>
        </w:rPr>
        <w:t xml:space="preserve">1</w:t>
      </w:r>
      <w:r>
        <w:rPr>
          <w:sz w:val="24"/>
        </w:rPr>
        <w:t xml:space="preserve"> - основной водосточный стояк; </w:t>
      </w:r>
      <w:r>
        <w:rPr>
          <w:sz w:val="24"/>
          <w:i w:val="on"/>
        </w:rPr>
        <w:t xml:space="preserve">2</w:t>
      </w:r>
      <w:r>
        <w:rPr>
          <w:sz w:val="24"/>
        </w:rPr>
        <w:t xml:space="preserve"> - резервный</w:t>
      </w:r>
    </w:p>
    <w:p>
      <w:pPr>
        <w:pStyle w:val="0"/>
        <w:jc w:val="center"/>
      </w:pPr>
      <w:r>
        <w:rPr>
          <w:sz w:val="24"/>
        </w:rPr>
        <w:t xml:space="preserve">водосточный стояк; </w:t>
      </w:r>
      <w:r>
        <w:rPr>
          <w:sz w:val="24"/>
          <w:i w:val="on"/>
        </w:rPr>
        <w:t xml:space="preserve">3</w:t>
      </w:r>
      <w:r>
        <w:rPr>
          <w:sz w:val="24"/>
        </w:rPr>
        <w:t xml:space="preserve"> - водосточная воронка;</w:t>
      </w:r>
    </w:p>
    <w:p>
      <w:pPr>
        <w:pStyle w:val="0"/>
        <w:jc w:val="center"/>
      </w:pPr>
      <w:r>
        <w:rPr>
          <w:sz w:val="24"/>
          <w:i w:val="on"/>
        </w:rPr>
        <w:t xml:space="preserve">4</w:t>
      </w:r>
      <w:r>
        <w:rPr>
          <w:sz w:val="24"/>
        </w:rPr>
        <w:t xml:space="preserve"> - автоматический воздушный клапан;</w:t>
      </w:r>
    </w:p>
    <w:p>
      <w:pPr>
        <w:pStyle w:val="0"/>
        <w:jc w:val="center"/>
      </w:pPr>
      <w:r>
        <w:rPr>
          <w:sz w:val="24"/>
          <w:i w:val="on"/>
        </w:rPr>
        <w:t xml:space="preserve">5</w:t>
      </w:r>
      <w:r>
        <w:rPr>
          <w:sz w:val="24"/>
        </w:rPr>
        <w:t xml:space="preserve"> - перемычка; </w:t>
      </w:r>
      <w:r>
        <w:rPr>
          <w:sz w:val="24"/>
          <w:i w:val="on"/>
        </w:rPr>
        <w:t xml:space="preserve">R</w:t>
      </w:r>
      <w:r>
        <w:rPr>
          <w:sz w:val="24"/>
        </w:rPr>
        <w:t xml:space="preserve"> - ревизия</w:t>
      </w:r>
    </w:p>
    <w:p>
      <w:pPr>
        <w:pStyle w:val="0"/>
        <w:jc w:val="center"/>
      </w:pPr>
      <w:r>
        <w:rPr>
          <w:sz w:val="24"/>
        </w:rPr>
      </w:r>
    </w:p>
    <w:p>
      <w:pPr>
        <w:pStyle w:val="0"/>
        <w:jc w:val="center"/>
      </w:pPr>
      <w:r>
        <w:rPr>
          <w:sz w:val="24"/>
        </w:rPr>
        <w:t xml:space="preserve">(в ред. </w:t>
      </w:r>
      <w:hyperlink w:history="0" r:id="rId30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jc w:val="center"/>
      </w:pPr>
      <w:r>
        <w:rPr>
          <w:sz w:val="24"/>
        </w:rPr>
        <w:t xml:space="preserve">Рисунок 11.3 - Схема расположения основного</w:t>
      </w:r>
    </w:p>
    <w:p>
      <w:pPr>
        <w:pStyle w:val="0"/>
        <w:jc w:val="center"/>
      </w:pPr>
      <w:r>
        <w:rPr>
          <w:sz w:val="24"/>
        </w:rPr>
        <w:t xml:space="preserve">и резервного водосточных стояков</w:t>
      </w:r>
    </w:p>
    <w:p>
      <w:pPr>
        <w:pStyle w:val="0"/>
        <w:jc w:val="center"/>
      </w:pPr>
      <w:r>
        <w:rPr>
          <w:sz w:val="24"/>
        </w:rPr>
        <w:t xml:space="preserve">с устройством перемычек</w:t>
      </w:r>
    </w:p>
    <w:p>
      <w:pPr>
        <w:pStyle w:val="0"/>
        <w:jc w:val="both"/>
      </w:pPr>
      <w:r>
        <w:rPr>
          <w:sz w:val="24"/>
        </w:rPr>
      </w:r>
    </w:p>
    <w:p>
      <w:pPr>
        <w:pStyle w:val="0"/>
        <w:ind w:firstLine="540"/>
        <w:jc w:val="both"/>
      </w:pPr>
      <w:r>
        <w:rPr>
          <w:sz w:val="24"/>
        </w:rPr>
        <w:t xml:space="preserve">Верхняя часть резервного стояка должна заканчиваться на верхнем техническом этаже с подключением его к основному водосточному стояку под потолком или с установкой вентиляционного клапана.</w:t>
      </w:r>
    </w:p>
    <w:p>
      <w:pPr>
        <w:pStyle w:val="0"/>
        <w:spacing w:before="240" w:lineRule="auto"/>
        <w:ind w:firstLine="540"/>
        <w:jc w:val="both"/>
      </w:pPr>
      <w:r>
        <w:rPr>
          <w:sz w:val="24"/>
        </w:rPr>
        <w:t xml:space="preserve">На основном и резервном водосточных стояках должны быть предусмотрены самостоятельные выпуски в наружную водосточную сеть (допускается в один колодец).</w:t>
      </w:r>
    </w:p>
    <w:p>
      <w:pPr>
        <w:pStyle w:val="0"/>
        <w:spacing w:before="240" w:lineRule="auto"/>
        <w:ind w:firstLine="540"/>
        <w:jc w:val="both"/>
      </w:pPr>
      <w:r>
        <w:rPr>
          <w:sz w:val="24"/>
        </w:rPr>
        <w:t xml:space="preserve">11.22 Не допускается прокладка стояков системы ливневой канализации в помещениях квартир.</w:t>
      </w:r>
    </w:p>
    <w:p>
      <w:pPr>
        <w:pStyle w:val="0"/>
        <w:spacing w:before="240" w:lineRule="auto"/>
        <w:ind w:firstLine="540"/>
        <w:jc w:val="both"/>
      </w:pPr>
      <w:r>
        <w:rPr>
          <w:sz w:val="24"/>
        </w:rPr>
        <w:t xml:space="preserve">При устройстве стояков ливневой канализации из пластиковых материалов их прокладку следует предусматривать в выделенных в противопожарном отношении нишах.</w:t>
      </w:r>
    </w:p>
    <w:p>
      <w:pPr>
        <w:pStyle w:val="0"/>
        <w:spacing w:before="240" w:lineRule="auto"/>
        <w:ind w:firstLine="540"/>
        <w:jc w:val="both"/>
      </w:pPr>
      <w:r>
        <w:rPr>
          <w:sz w:val="24"/>
        </w:rPr>
        <w:t xml:space="preserve">Испытание стояков водостока выполняют наполнением их через верхнюю ревизию на испытуемом участке начиная снизу от колодца на сети до первой перемычки между рабочим и резервным стояками, далее от перемычки до перемычки и так далее до кровли. Утечки контролируются визуально по уровню воды в ревизиях на стояках.</w:t>
      </w:r>
    </w:p>
    <w:p>
      <w:pPr>
        <w:pStyle w:val="0"/>
        <w:jc w:val="both"/>
      </w:pPr>
      <w:r>
        <w:rPr>
          <w:sz w:val="24"/>
        </w:rPr>
        <w:t xml:space="preserve">(п. 11.22 в ред. </w:t>
      </w:r>
      <w:hyperlink w:history="0" r:id="rId30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11.23 В нижнем подземном этаже следует предусматривать приямки и насосные установки для откачки случайных вод и воды при тушении пожара.</w:t>
      </w:r>
    </w:p>
    <w:p>
      <w:pPr>
        <w:pStyle w:val="0"/>
        <w:spacing w:before="240" w:lineRule="auto"/>
        <w:ind w:firstLine="540"/>
        <w:jc w:val="both"/>
      </w:pPr>
      <w:r>
        <w:rPr>
          <w:sz w:val="24"/>
        </w:rPr>
        <w:t xml:space="preserve">11.24 В целях экономии воды питьевого качества рекомендуется предусматривать систему сбора и очистки дождевых и серых стоков для полива прилегающей территории здания, смыва в бачках унитазов и писсуарах.</w:t>
      </w:r>
    </w:p>
    <w:p>
      <w:pPr>
        <w:pStyle w:val="0"/>
        <w:spacing w:before="240" w:lineRule="auto"/>
        <w:ind w:firstLine="540"/>
        <w:jc w:val="both"/>
      </w:pPr>
      <w:r>
        <w:rPr>
          <w:sz w:val="24"/>
        </w:rPr>
        <w:t xml:space="preserve">В составе системы очистки дождевой и серой воды следует предусматривать механические и сорбционные фильтры.</w:t>
      </w:r>
    </w:p>
    <w:p>
      <w:pPr>
        <w:pStyle w:val="0"/>
        <w:jc w:val="both"/>
      </w:pPr>
      <w:r>
        <w:rPr>
          <w:sz w:val="24"/>
        </w:rPr>
        <w:t xml:space="preserve">(п. 11.24 введен </w:t>
      </w:r>
      <w:hyperlink w:history="0" r:id="rId30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12 Электроснабжение и электрооборудование</w:t>
      </w:r>
    </w:p>
    <w:p>
      <w:pPr>
        <w:pStyle w:val="0"/>
        <w:ind w:firstLine="540"/>
        <w:jc w:val="both"/>
      </w:pPr>
      <w:r>
        <w:rPr>
          <w:sz w:val="24"/>
        </w:rPr>
      </w:r>
    </w:p>
    <w:p>
      <w:pPr>
        <w:pStyle w:val="0"/>
        <w:jc w:val="both"/>
      </w:pPr>
      <w:r>
        <w:rPr>
          <w:sz w:val="24"/>
        </w:rPr>
        <w:t xml:space="preserve">(раздел 12 в ред. </w:t>
      </w:r>
      <w:hyperlink w:history="0" r:id="rId30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0"/>
        <w:ind w:firstLine="540"/>
        <w:jc w:val="both"/>
      </w:pPr>
      <w:r>
        <w:rPr>
          <w:sz w:val="24"/>
        </w:rPr>
        <w:t xml:space="preserve">12.1 Системы электроснабжения и электрооборудования высотного здания следует проектировать с учетом требований </w:t>
      </w:r>
      <w:hyperlink w:history="0" r:id="rId304"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w:t>
        </w:r>
      </w:hyperlink>
      <w:r>
        <w:rPr>
          <w:sz w:val="24"/>
        </w:rPr>
        <w:t xml:space="preserve">, </w:t>
      </w:r>
      <w:hyperlink w:history="0" r:id="rId30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12.2 Источники электроэнергии, используемые для электроснабжения высотных зданий, подразделяют на внешние и внутренние.</w:t>
      </w:r>
    </w:p>
    <w:p>
      <w:pPr>
        <w:pStyle w:val="0"/>
        <w:spacing w:before="240" w:lineRule="auto"/>
        <w:ind w:firstLine="540"/>
        <w:jc w:val="both"/>
      </w:pPr>
      <w:r>
        <w:rPr>
          <w:sz w:val="24"/>
        </w:rPr>
        <w:t xml:space="preserve">К внешним источникам электроэнергии относят трансформаторные подстанции (сетевые подстанции, РТП, ТП), обеспечивающие подачу электроэнергии по кабельным линиям до ГРЩ и ВРУ высотного здания. Трансформаторные подстанции (сетевые подстанции, РТП, ТП) также могут быть встроены в высотное здание или его стилобатную часть.</w:t>
      </w:r>
    </w:p>
    <w:p>
      <w:pPr>
        <w:pStyle w:val="0"/>
        <w:spacing w:before="240" w:lineRule="auto"/>
        <w:ind w:firstLine="540"/>
        <w:jc w:val="both"/>
      </w:pPr>
      <w:r>
        <w:rPr>
          <w:sz w:val="24"/>
        </w:rPr>
        <w:t xml:space="preserve">К внутренним источникам электроэнергии относят:</w:t>
      </w:r>
    </w:p>
    <w:p>
      <w:pPr>
        <w:pStyle w:val="0"/>
        <w:spacing w:before="240" w:lineRule="auto"/>
        <w:ind w:firstLine="540"/>
        <w:jc w:val="both"/>
      </w:pPr>
      <w:r>
        <w:rPr>
          <w:sz w:val="24"/>
        </w:rPr>
        <w:t xml:space="preserve">- автономные дизельные электростанции или газогенераторные электростанции;</w:t>
      </w:r>
    </w:p>
    <w:p>
      <w:pPr>
        <w:pStyle w:val="0"/>
        <w:spacing w:before="240" w:lineRule="auto"/>
        <w:ind w:firstLine="540"/>
        <w:jc w:val="both"/>
      </w:pPr>
      <w:r>
        <w:rPr>
          <w:sz w:val="24"/>
        </w:rPr>
        <w:t xml:space="preserve">- источники бесперебойного питания;</w:t>
      </w:r>
    </w:p>
    <w:p>
      <w:pPr>
        <w:pStyle w:val="0"/>
        <w:spacing w:before="240" w:lineRule="auto"/>
        <w:ind w:firstLine="540"/>
        <w:jc w:val="both"/>
      </w:pPr>
      <w:r>
        <w:rPr>
          <w:sz w:val="24"/>
        </w:rPr>
        <w:t xml:space="preserve">- прочие источники.</w:t>
      </w:r>
    </w:p>
    <w:p>
      <w:pPr>
        <w:pStyle w:val="0"/>
        <w:spacing w:before="240" w:lineRule="auto"/>
        <w:ind w:firstLine="540"/>
        <w:jc w:val="both"/>
      </w:pPr>
      <w:r>
        <w:rPr>
          <w:sz w:val="24"/>
        </w:rPr>
        <w:t xml:space="preserve">12.3 Размещение внутренних источников электроснабжения высотного здания (встроенные РТП, ТП, ДЭС, ИБП, прочие источники) не должно оказывать негативное влияние на находящихся в здании людей и нормальное функционирование систем инженерно-технического обеспечения.</w:t>
      </w:r>
    </w:p>
    <w:p>
      <w:pPr>
        <w:pStyle w:val="0"/>
        <w:spacing w:before="240" w:lineRule="auto"/>
        <w:ind w:firstLine="540"/>
        <w:jc w:val="both"/>
      </w:pPr>
      <w:r>
        <w:rPr>
          <w:sz w:val="24"/>
        </w:rPr>
        <w:t xml:space="preserve">Расположение ТП должно быть выбрано таким образом, чтобы исключить постоянное пребывание людей в смежных помещениях. Помещения ТП должны быть экранированы от смежных помещений.</w:t>
      </w:r>
    </w:p>
    <w:p>
      <w:pPr>
        <w:pStyle w:val="0"/>
        <w:spacing w:before="240" w:lineRule="auto"/>
        <w:ind w:firstLine="540"/>
        <w:jc w:val="both"/>
      </w:pPr>
      <w:r>
        <w:rPr>
          <w:sz w:val="24"/>
        </w:rPr>
        <w:t xml:space="preserve">Трансформаторы встроенных и пристроенных подстанций высотных зданий должны быть сухими или с негорючим заполнителем.</w:t>
      </w:r>
    </w:p>
    <w:p>
      <w:pPr>
        <w:pStyle w:val="0"/>
        <w:spacing w:before="240" w:lineRule="auto"/>
        <w:ind w:firstLine="540"/>
        <w:jc w:val="both"/>
      </w:pPr>
      <w:r>
        <w:rPr>
          <w:sz w:val="24"/>
        </w:rPr>
        <w:t xml:space="preserve">Размещение ТП и РТП следует выполнять в соответствии с </w:t>
      </w:r>
      <w:hyperlink w:history="0" w:anchor="P1436" w:tooltip="14.4 Мероприятия по обеспечению пожарной безопасности в инженерных системах помещений, входящих в состав высотного комплекса">
        <w:r>
          <w:rPr>
            <w:sz w:val="24"/>
            <w:color w:val="0000ff"/>
          </w:rPr>
          <w:t xml:space="preserve">14.4</w:t>
        </w:r>
      </w:hyperlink>
      <w:r>
        <w:rPr>
          <w:sz w:val="24"/>
        </w:rPr>
        <w:t xml:space="preserve">.</w:t>
      </w:r>
    </w:p>
    <w:p>
      <w:pPr>
        <w:pStyle w:val="0"/>
        <w:spacing w:before="240" w:lineRule="auto"/>
        <w:ind w:firstLine="540"/>
        <w:jc w:val="both"/>
      </w:pPr>
      <w:r>
        <w:rPr>
          <w:sz w:val="24"/>
        </w:rPr>
        <w:t xml:space="preserve">12.4 Устройство ДЭС должно выполняться в соответствии с </w:t>
      </w:r>
      <w:hyperlink w:history="0" w:anchor="P1436" w:tooltip="14.4 Мероприятия по обеспечению пожарной безопасности в инженерных системах помещений, входящих в состав высотного комплекса">
        <w:r>
          <w:rPr>
            <w:sz w:val="24"/>
            <w:color w:val="0000ff"/>
          </w:rPr>
          <w:t xml:space="preserve">14.4</w:t>
        </w:r>
      </w:hyperlink>
      <w:r>
        <w:rPr>
          <w:sz w:val="24"/>
        </w:rPr>
        <w:t xml:space="preserve">.</w:t>
      </w:r>
    </w:p>
    <w:p>
      <w:pPr>
        <w:pStyle w:val="0"/>
        <w:spacing w:before="240" w:lineRule="auto"/>
        <w:ind w:firstLine="540"/>
        <w:jc w:val="both"/>
      </w:pPr>
      <w:r>
        <w:rPr>
          <w:sz w:val="24"/>
        </w:rPr>
        <w:t xml:space="preserve">Примечание - Требования к устройству ДЭС также изложены в </w:t>
      </w:r>
      <w:hyperlink w:history="0" r:id="rId306"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w:t>
        </w:r>
      </w:hyperlink>
      <w:r>
        <w:rPr>
          <w:sz w:val="24"/>
        </w:rPr>
        <w:t xml:space="preserve">.</w:t>
      </w:r>
    </w:p>
    <w:p>
      <w:pPr>
        <w:pStyle w:val="0"/>
        <w:jc w:val="both"/>
      </w:pPr>
      <w:r>
        <w:rPr>
          <w:sz w:val="24"/>
        </w:rPr>
      </w:r>
    </w:p>
    <w:p>
      <w:pPr>
        <w:pStyle w:val="0"/>
        <w:ind w:firstLine="540"/>
        <w:jc w:val="both"/>
      </w:pPr>
      <w:r>
        <w:rPr>
          <w:sz w:val="24"/>
        </w:rPr>
        <w:t xml:space="preserve">12.5 Мощность ДЭС и запас топлива должны быть рассчитаны на работу СПЗ в течение расчетного времени тушения пожара.</w:t>
      </w:r>
    </w:p>
    <w:p>
      <w:pPr>
        <w:pStyle w:val="0"/>
        <w:spacing w:before="240" w:lineRule="auto"/>
        <w:ind w:firstLine="540"/>
        <w:jc w:val="both"/>
      </w:pPr>
      <w:r>
        <w:rPr>
          <w:sz w:val="24"/>
        </w:rPr>
        <w:t xml:space="preserve">12.6 Высотные здания следует оборудовать системой заземления в соответствии с [</w:t>
      </w:r>
      <w:hyperlink w:history="0" w:anchor="P3091" w:tooltip="[6] ПУЭ Правила устройства электроустановок (7-е изд.)">
        <w:r>
          <w:rPr>
            <w:sz w:val="24"/>
            <w:color w:val="0000ff"/>
          </w:rPr>
          <w:t xml:space="preserve">6</w:t>
        </w:r>
      </w:hyperlink>
      <w:r>
        <w:rPr>
          <w:sz w:val="24"/>
        </w:rPr>
        <w:t xml:space="preserve">, </w:t>
      </w:r>
      <w:hyperlink w:history="0" r:id="rId307"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глава 1.7</w:t>
        </w:r>
      </w:hyperlink>
      <w:r>
        <w:rPr>
          <w:sz w:val="24"/>
        </w:rPr>
        <w:t xml:space="preserve">] и системой молниезащиты. Для зданий выше 150 м и зданий сложной конфигурации допускается применение компьютерных программ для проектирования систем молниезащиты.</w:t>
      </w:r>
    </w:p>
    <w:p>
      <w:pPr>
        <w:pStyle w:val="0"/>
        <w:spacing w:before="240" w:lineRule="auto"/>
        <w:ind w:firstLine="540"/>
        <w:jc w:val="both"/>
      </w:pPr>
      <w:r>
        <w:rPr>
          <w:sz w:val="24"/>
        </w:rPr>
        <w:t xml:space="preserve">12.7 Источники бесперебойного питания следует размещать в технических помещениях здания, при этом они должны обеспечивать функционирование систем инженерно-технического обеспечения при прекращении подачи электроэнергии или при отключении внешних и внутренних источников основного электроснабжения.</w:t>
      </w:r>
    </w:p>
    <w:p>
      <w:pPr>
        <w:pStyle w:val="0"/>
        <w:spacing w:before="240" w:lineRule="auto"/>
        <w:ind w:firstLine="540"/>
        <w:jc w:val="both"/>
      </w:pPr>
      <w:r>
        <w:rPr>
          <w:sz w:val="24"/>
        </w:rPr>
        <w:t xml:space="preserve">Примечание - Информацию о прекращении подачи основного электроснабжения и переходе на электроснабжение от ДЭС или ИБП следует передавать на автоматизированное рабочее место диспетчера.</w:t>
      </w:r>
    </w:p>
    <w:p>
      <w:pPr>
        <w:pStyle w:val="0"/>
        <w:jc w:val="both"/>
      </w:pPr>
      <w:r>
        <w:rPr>
          <w:sz w:val="24"/>
        </w:rPr>
      </w:r>
    </w:p>
    <w:p>
      <w:pPr>
        <w:pStyle w:val="0"/>
        <w:ind w:firstLine="540"/>
        <w:jc w:val="both"/>
      </w:pPr>
      <w:r>
        <w:rPr>
          <w:sz w:val="24"/>
        </w:rPr>
        <w:t xml:space="preserve">12.8 Встроенные и встроенно-пристроенные нежилые помещения должны быть обеспечены питанием от самостоятельных ВРУ.</w:t>
      </w:r>
    </w:p>
    <w:p>
      <w:pPr>
        <w:pStyle w:val="0"/>
        <w:jc w:val="both"/>
      </w:pPr>
      <w:r>
        <w:rPr>
          <w:sz w:val="24"/>
        </w:rPr>
        <w:t xml:space="preserve">(в ред. </w:t>
      </w:r>
      <w:hyperlink w:history="0" r:id="rId30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Электроснабжение встроенных, в том числе подземных или встроенно-пристроенных стоянок автомобилей, следует выполнять отдельными линиями от ТП (ГРЩ).</w:t>
      </w:r>
    </w:p>
    <w:p>
      <w:pPr>
        <w:pStyle w:val="0"/>
        <w:jc w:val="both"/>
      </w:pPr>
      <w:r>
        <w:rPr>
          <w:sz w:val="24"/>
        </w:rPr>
        <w:t xml:space="preserve">(в ред. </w:t>
      </w:r>
      <w:hyperlink w:history="0" r:id="rId30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bookmarkStart w:id="1079" w:name="P1079"/>
    <w:bookmarkEnd w:id="1079"/>
    <w:p>
      <w:pPr>
        <w:pStyle w:val="0"/>
        <w:spacing w:before="240" w:lineRule="auto"/>
        <w:ind w:firstLine="540"/>
        <w:jc w:val="both"/>
      </w:pPr>
      <w:r>
        <w:rPr>
          <w:sz w:val="24"/>
        </w:rPr>
        <w:t xml:space="preserve">12.9 Электроприемники систем электрооборудования высотных зданий по степени обеспечения надежности электроснабжения подразделяют на следующие категории:</w:t>
      </w:r>
    </w:p>
    <w:p>
      <w:pPr>
        <w:pStyle w:val="0"/>
        <w:spacing w:before="240" w:lineRule="auto"/>
        <w:ind w:firstLine="540"/>
        <w:jc w:val="both"/>
      </w:pPr>
      <w:r>
        <w:rPr>
          <w:sz w:val="24"/>
        </w:rPr>
        <w:t xml:space="preserve">1-я категория (по </w:t>
      </w:r>
      <w:hyperlink w:history="0" w:anchor="P1084" w:tooltip="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
        <w:r>
          <w:rPr>
            <w:sz w:val="24"/>
            <w:color w:val="0000ff"/>
          </w:rPr>
          <w:t xml:space="preserve">12.10</w:t>
        </w:r>
      </w:hyperlink>
      <w:r>
        <w:rPr>
          <w:sz w:val="24"/>
        </w:rPr>
        <w:t xml:space="preserve">);</w:t>
      </w:r>
    </w:p>
    <w:p>
      <w:pPr>
        <w:pStyle w:val="0"/>
        <w:spacing w:before="240" w:lineRule="auto"/>
        <w:ind w:firstLine="540"/>
        <w:jc w:val="both"/>
      </w:pPr>
      <w:r>
        <w:rPr>
          <w:sz w:val="24"/>
        </w:rPr>
        <w:t xml:space="preserve">2-я категория (по </w:t>
      </w:r>
      <w:hyperlink w:history="0" w:anchor="P1097" w:tooltip="12.12 К электроприемникам 2-й категории относят все остальные электроприемники, не подпадающие под определения электроприемников 1-й категории (см. 12.9) и электроприемников особой группы 1-й категории (см. 12.10).">
        <w:r>
          <w:rPr>
            <w:sz w:val="24"/>
            <w:color w:val="0000ff"/>
          </w:rPr>
          <w:t xml:space="preserve">12.12</w:t>
        </w:r>
      </w:hyperlink>
      <w:r>
        <w:rPr>
          <w:sz w:val="24"/>
        </w:rPr>
        <w:t xml:space="preserve">).</w:t>
      </w:r>
    </w:p>
    <w:p>
      <w:pPr>
        <w:pStyle w:val="0"/>
        <w:spacing w:before="240" w:lineRule="auto"/>
        <w:ind w:firstLine="540"/>
        <w:jc w:val="both"/>
      </w:pPr>
      <w:r>
        <w:rPr>
          <w:sz w:val="24"/>
        </w:rPr>
        <w:t xml:space="preserve">Примечание - В составе потребителей 1-й категории, по заданию на проектирование, могут быть выделены потребители особой группы 1-й категории (по </w:t>
      </w:r>
      <w:hyperlink w:history="0" w:anchor="P1085" w:tooltip="12.11 При выделении электроприемников особой группы 1-й категории, к последним следует относить:">
        <w:r>
          <w:rPr>
            <w:sz w:val="24"/>
            <w:color w:val="0000ff"/>
          </w:rPr>
          <w:t xml:space="preserve">12.11</w:t>
        </w:r>
      </w:hyperlink>
      <w:r>
        <w:rPr>
          <w:sz w:val="24"/>
        </w:rPr>
        <w:t xml:space="preserve">).</w:t>
      </w:r>
    </w:p>
    <w:p>
      <w:pPr>
        <w:pStyle w:val="0"/>
        <w:jc w:val="both"/>
      </w:pPr>
      <w:r>
        <w:rPr>
          <w:sz w:val="24"/>
        </w:rPr>
      </w:r>
    </w:p>
    <w:bookmarkStart w:id="1084" w:name="P1084"/>
    <w:bookmarkEnd w:id="1084"/>
    <w:p>
      <w:pPr>
        <w:pStyle w:val="0"/>
        <w:ind w:firstLine="540"/>
        <w:jc w:val="both"/>
      </w:pPr>
      <w:r>
        <w:rPr>
          <w:sz w:val="24"/>
        </w:rPr>
        <w:t xml:space="preserve">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противопожарными шторами, системы противодымной вентиляции, система диспетчеризации, охранно-тревожная сигнализация, системы связи безопасных зон для МГН на этажах с помещением пожарного поста (диспетчерской) здания, системы видеонаблюдения, серверное оборудование, щиты гарантированного питания, системы мониторинга состояния строительных конструкций и систем инженерно-технического обеспечения, системы экстренной связи с аварийно-спасательными службами, противопожарные устройства систем инженерно-технического обеспечения; насосы дренажных приямков и насосы отвода воды из подземных стоянок автомобилей после тушения пожара, устройства привода автоматических противопожарных дверей, ворот, штор, занавесов, экранов.</w:t>
      </w:r>
    </w:p>
    <w:bookmarkStart w:id="1085" w:name="P1085"/>
    <w:bookmarkEnd w:id="1085"/>
    <w:p>
      <w:pPr>
        <w:pStyle w:val="0"/>
        <w:spacing w:before="240" w:lineRule="auto"/>
        <w:ind w:firstLine="540"/>
        <w:jc w:val="both"/>
      </w:pPr>
      <w:r>
        <w:rPr>
          <w:sz w:val="24"/>
        </w:rPr>
        <w:t xml:space="preserve">12.11 При выделении электроприемников особой группы 1-й категории, к последним следует относить:</w:t>
      </w:r>
    </w:p>
    <w:p>
      <w:pPr>
        <w:pStyle w:val="0"/>
        <w:spacing w:before="240" w:lineRule="auto"/>
        <w:ind w:firstLine="540"/>
        <w:jc w:val="both"/>
      </w:pPr>
      <w:r>
        <w:rPr>
          <w:sz w:val="24"/>
        </w:rPr>
        <w:t xml:space="preserve">- лифты для транспортирования пожарных подразделений;</w:t>
      </w:r>
    </w:p>
    <w:p>
      <w:pPr>
        <w:pStyle w:val="0"/>
        <w:spacing w:before="240" w:lineRule="auto"/>
        <w:ind w:firstLine="540"/>
        <w:jc w:val="both"/>
      </w:pPr>
      <w:r>
        <w:rPr>
          <w:sz w:val="24"/>
        </w:rPr>
        <w:t xml:space="preserve">- приемные станции и оборудование систем автоматической пожарной сигнализации и систем оповещения и управления эвакуацией людей при пожаре;</w:t>
      </w:r>
    </w:p>
    <w:p>
      <w:pPr>
        <w:pStyle w:val="0"/>
        <w:spacing w:before="240" w:lineRule="auto"/>
        <w:ind w:firstLine="540"/>
        <w:jc w:val="both"/>
      </w:pPr>
      <w:r>
        <w:rPr>
          <w:sz w:val="24"/>
        </w:rPr>
        <w:t xml:space="preserve">- эвакуационное освещение, освещение площадок для вертолетов или аварийно-спасательных кабин;</w:t>
      </w:r>
    </w:p>
    <w:p>
      <w:pPr>
        <w:pStyle w:val="0"/>
        <w:spacing w:before="240" w:lineRule="auto"/>
        <w:ind w:firstLine="540"/>
        <w:jc w:val="both"/>
      </w:pPr>
      <w:r>
        <w:rPr>
          <w:sz w:val="24"/>
        </w:rPr>
        <w:t xml:space="preserve">- электроприемники системы противодымной защиты;</w:t>
      </w:r>
    </w:p>
    <w:p>
      <w:pPr>
        <w:pStyle w:val="0"/>
        <w:spacing w:before="240" w:lineRule="auto"/>
        <w:ind w:firstLine="540"/>
        <w:jc w:val="both"/>
      </w:pPr>
      <w:r>
        <w:rPr>
          <w:sz w:val="24"/>
        </w:rPr>
        <w:t xml:space="preserve">- электроприемники систем автоматического пожаротушения и внутреннего противопожарного водопровода;</w:t>
      </w:r>
    </w:p>
    <w:p>
      <w:pPr>
        <w:pStyle w:val="0"/>
        <w:spacing w:before="240" w:lineRule="auto"/>
        <w:ind w:firstLine="540"/>
        <w:jc w:val="both"/>
      </w:pPr>
      <w:r>
        <w:rPr>
          <w:sz w:val="24"/>
        </w:rPr>
        <w:t xml:space="preserve">- электроприемники систем противодымной вентиляции;</w:t>
      </w:r>
    </w:p>
    <w:p>
      <w:pPr>
        <w:pStyle w:val="0"/>
        <w:spacing w:before="240" w:lineRule="auto"/>
        <w:ind w:firstLine="540"/>
        <w:jc w:val="both"/>
      </w:pPr>
      <w:r>
        <w:rPr>
          <w:sz w:val="24"/>
        </w:rPr>
        <w:t xml:space="preserve">- электроприемники аварийно-спасательного оборудования и специальной пожарной техники, предусмотренные проектной документацией;</w:t>
      </w:r>
    </w:p>
    <w:p>
      <w:pPr>
        <w:pStyle w:val="0"/>
        <w:spacing w:before="240" w:lineRule="auto"/>
        <w:ind w:firstLine="540"/>
        <w:jc w:val="both"/>
      </w:pPr>
      <w:r>
        <w:rPr>
          <w:sz w:val="24"/>
        </w:rPr>
        <w:t xml:space="preserve">- электроприемники автоматических противопожарных и противодымных дверей, ворот, штор и т.п.</w:t>
      </w:r>
    </w:p>
    <w:p>
      <w:pPr>
        <w:pStyle w:val="0"/>
        <w:spacing w:before="240" w:lineRule="auto"/>
        <w:ind w:firstLine="540"/>
        <w:jc w:val="both"/>
      </w:pPr>
      <w:r>
        <w:rPr>
          <w:sz w:val="24"/>
        </w:rPr>
        <w:t xml:space="preserve">Для электроприемников особой группы 1-й категории по заданию на проектирование может быть предусмотрен третий, независимый источник питания, обеспечивающий работу электроприемников в течение расчетного времени тушения пожара.</w:t>
      </w:r>
    </w:p>
    <w:p>
      <w:pPr>
        <w:pStyle w:val="0"/>
        <w:spacing w:before="240" w:lineRule="auto"/>
        <w:ind w:firstLine="540"/>
        <w:jc w:val="both"/>
      </w:pPr>
      <w:r>
        <w:rPr>
          <w:sz w:val="24"/>
        </w:rPr>
        <w:t xml:space="preserve">Примечание - В качестве независимого источника питания для электроприемников особой группы 1-й категории могут быть использованы ДЭС или ИБП, которые должны включаться автоматически при отключении внешнего питания.</w:t>
      </w:r>
    </w:p>
    <w:p>
      <w:pPr>
        <w:pStyle w:val="0"/>
        <w:jc w:val="both"/>
      </w:pPr>
      <w:r>
        <w:rPr>
          <w:sz w:val="24"/>
        </w:rPr>
      </w:r>
    </w:p>
    <w:bookmarkStart w:id="1097" w:name="P1097"/>
    <w:bookmarkEnd w:id="1097"/>
    <w:p>
      <w:pPr>
        <w:pStyle w:val="0"/>
        <w:ind w:firstLine="540"/>
        <w:jc w:val="both"/>
      </w:pPr>
      <w:r>
        <w:rPr>
          <w:sz w:val="24"/>
        </w:rPr>
        <w:t xml:space="preserve">12.12 К электроприемникам 2-й категории относят все остальные электроприемники, не подпадающие под определения электроприемников 1-й категории (см. </w:t>
      </w:r>
      <w:hyperlink w:history="0" w:anchor="P1079" w:tooltip="12.9 Электроприемники систем электрооборудования высотных зданий по степени обеспечения надежности электроснабжения подразделяют на следующие категории:">
        <w:r>
          <w:rPr>
            <w:sz w:val="24"/>
            <w:color w:val="0000ff"/>
          </w:rPr>
          <w:t xml:space="preserve">12.9</w:t>
        </w:r>
      </w:hyperlink>
      <w:r>
        <w:rPr>
          <w:sz w:val="24"/>
        </w:rPr>
        <w:t xml:space="preserve">) и электроприемников особой группы 1-й категории (см. </w:t>
      </w:r>
      <w:hyperlink w:history="0" w:anchor="P1084" w:tooltip="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
        <w:r>
          <w:rPr>
            <w:sz w:val="24"/>
            <w:color w:val="0000ff"/>
          </w:rPr>
          <w:t xml:space="preserve">12.10</w:t>
        </w:r>
      </w:hyperlink>
      <w:r>
        <w:rPr>
          <w:sz w:val="24"/>
        </w:rPr>
        <w:t xml:space="preserve">).</w:t>
      </w:r>
    </w:p>
    <w:p>
      <w:pPr>
        <w:pStyle w:val="0"/>
        <w:spacing w:before="240" w:lineRule="auto"/>
        <w:ind w:firstLine="540"/>
        <w:jc w:val="both"/>
      </w:pPr>
      <w:r>
        <w:rPr>
          <w:sz w:val="24"/>
        </w:rPr>
        <w:t xml:space="preserve">12.13 Распределительные устройства высотных зданий включают:</w:t>
      </w:r>
    </w:p>
    <w:p>
      <w:pPr>
        <w:pStyle w:val="0"/>
        <w:spacing w:before="240" w:lineRule="auto"/>
        <w:ind w:firstLine="540"/>
        <w:jc w:val="both"/>
      </w:pPr>
      <w:r>
        <w:rPr>
          <w:sz w:val="24"/>
        </w:rPr>
        <w:t xml:space="preserve">- главные распределительные щиты;</w:t>
      </w:r>
    </w:p>
    <w:p>
      <w:pPr>
        <w:pStyle w:val="0"/>
        <w:spacing w:before="240" w:lineRule="auto"/>
        <w:ind w:firstLine="540"/>
        <w:jc w:val="both"/>
      </w:pPr>
      <w:r>
        <w:rPr>
          <w:sz w:val="24"/>
        </w:rPr>
        <w:t xml:space="preserve">- вводно-распределительные устройства;</w:t>
      </w:r>
    </w:p>
    <w:p>
      <w:pPr>
        <w:pStyle w:val="0"/>
        <w:spacing w:before="240" w:lineRule="auto"/>
        <w:ind w:firstLine="540"/>
        <w:jc w:val="both"/>
      </w:pPr>
      <w:r>
        <w:rPr>
          <w:sz w:val="24"/>
        </w:rPr>
        <w:t xml:space="preserve">- распределительные щиты;</w:t>
      </w:r>
    </w:p>
    <w:p>
      <w:pPr>
        <w:pStyle w:val="0"/>
        <w:spacing w:before="240" w:lineRule="auto"/>
        <w:ind w:firstLine="540"/>
        <w:jc w:val="both"/>
      </w:pPr>
      <w:r>
        <w:rPr>
          <w:sz w:val="24"/>
        </w:rPr>
        <w:t xml:space="preserve">- этажные распределительные щиты;</w:t>
      </w:r>
    </w:p>
    <w:p>
      <w:pPr>
        <w:pStyle w:val="0"/>
        <w:spacing w:before="240" w:lineRule="auto"/>
        <w:ind w:firstLine="540"/>
        <w:jc w:val="both"/>
      </w:pPr>
      <w:r>
        <w:rPr>
          <w:sz w:val="24"/>
        </w:rPr>
        <w:t xml:space="preserve">- панели автоматического включения резерва.</w:t>
      </w:r>
    </w:p>
    <w:p>
      <w:pPr>
        <w:pStyle w:val="0"/>
        <w:spacing w:before="240" w:lineRule="auto"/>
        <w:ind w:firstLine="540"/>
        <w:jc w:val="both"/>
      </w:pPr>
      <w:r>
        <w:rPr>
          <w:sz w:val="24"/>
        </w:rPr>
        <w:t xml:space="preserve">12.14 Главный распределительный щит, как правило, следует размещать в смежном с РТП или ТП помещении.</w:t>
      </w:r>
    </w:p>
    <w:p>
      <w:pPr>
        <w:pStyle w:val="0"/>
        <w:spacing w:before="240" w:lineRule="auto"/>
        <w:ind w:firstLine="540"/>
        <w:jc w:val="both"/>
      </w:pPr>
      <w:r>
        <w:rPr>
          <w:sz w:val="24"/>
        </w:rPr>
        <w:t xml:space="preserve">Главный распределительный щит и вводно-распределительное устройство, как правило, должны быть размещены в специально выделенных помещениях.</w:t>
      </w:r>
    </w:p>
    <w:p>
      <w:pPr>
        <w:pStyle w:val="0"/>
        <w:spacing w:before="240" w:lineRule="auto"/>
        <w:ind w:firstLine="540"/>
        <w:jc w:val="both"/>
      </w:pPr>
      <w:r>
        <w:rPr>
          <w:sz w:val="24"/>
        </w:rPr>
        <w:t xml:space="preserve">Допускается размещение ГРЩ и ВРУ в специально выделенных помещениях, расположенных на верхних и верхних технических этажах.</w:t>
      </w:r>
    </w:p>
    <w:p>
      <w:pPr>
        <w:pStyle w:val="0"/>
        <w:spacing w:before="240" w:lineRule="auto"/>
        <w:ind w:firstLine="540"/>
        <w:jc w:val="both"/>
      </w:pPr>
      <w:r>
        <w:rPr>
          <w:sz w:val="24"/>
        </w:rPr>
        <w:t xml:space="preserve">Допускается размещать ГРЩ и ВРУ для электроснабжения разных пожарных отсеков по высоте здания на первом, минус первом подземном уровне и/или технических этажах, с расположением в общем выделенном помещении ВРУ разных пожарных отсеков, с обеспечением нормативного предела огнестойкости транзитных кабельных проходок (или шахт и коробов для их прокладки) через помещения автостоянки и пожарные отсеки наземной части.</w:t>
      </w:r>
    </w:p>
    <w:p>
      <w:pPr>
        <w:pStyle w:val="0"/>
        <w:spacing w:before="240" w:lineRule="auto"/>
        <w:ind w:firstLine="540"/>
        <w:jc w:val="both"/>
      </w:pPr>
      <w:r>
        <w:rPr>
          <w:sz w:val="24"/>
        </w:rPr>
        <w:t xml:space="preserve">Питание электроприемников разных пожарных отсеков допускается осуществлять от одного ВРУ, расположенного в нижнем пожарном отсеке.</w:t>
      </w:r>
    </w:p>
    <w:p>
      <w:pPr>
        <w:pStyle w:val="0"/>
        <w:spacing w:before="240" w:lineRule="auto"/>
        <w:ind w:firstLine="540"/>
        <w:jc w:val="both"/>
      </w:pPr>
      <w:r>
        <w:rPr>
          <w:sz w:val="24"/>
        </w:rPr>
        <w:t xml:space="preserve">12.15 Для каждого пожарного отсека высотного здания необходимо предусматривать самостоятельные ВРУ, распределительные панели или распределительные щиты для электроприемников систем противопожарной защиты и потребителей особой группы 1-й категории.</w:t>
      </w:r>
    </w:p>
    <w:p>
      <w:pPr>
        <w:pStyle w:val="0"/>
        <w:spacing w:before="240" w:lineRule="auto"/>
        <w:ind w:firstLine="540"/>
        <w:jc w:val="both"/>
      </w:pPr>
      <w:r>
        <w:rPr>
          <w:sz w:val="24"/>
        </w:rPr>
        <w:t xml:space="preserve">Допускается совместное питание СПЗ разного функционального назначения, расположенных в одном пожарном отсеке, от общего НКУ СПЗ.</w:t>
      </w:r>
    </w:p>
    <w:p>
      <w:pPr>
        <w:pStyle w:val="0"/>
        <w:spacing w:before="240" w:lineRule="auto"/>
        <w:ind w:firstLine="540"/>
        <w:jc w:val="both"/>
      </w:pPr>
      <w:r>
        <w:rPr>
          <w:sz w:val="24"/>
        </w:rPr>
        <w:t xml:space="preserve">12.16 Панели АВР размещают, как правило, в составе ГРЩ и в составе ВРУ. Допускается, в зависимости от конструктивного исполнения здания, панели АВР устанавливать в местах расположения электроприемников 1-й категории и особой группы 1-й категории.</w:t>
      </w:r>
    </w:p>
    <w:p>
      <w:pPr>
        <w:pStyle w:val="0"/>
        <w:spacing w:before="240" w:lineRule="auto"/>
        <w:ind w:firstLine="540"/>
        <w:jc w:val="both"/>
      </w:pPr>
      <w:r>
        <w:rPr>
          <w:sz w:val="24"/>
        </w:rPr>
        <w:t xml:space="preserve">12.17 Приборы учета потребления электроэнергии следует устанавливать во внеквартирных коридорах или в общественных зонах в специальных запирающихся шкафах.</w:t>
      </w:r>
    </w:p>
    <w:p>
      <w:pPr>
        <w:pStyle w:val="0"/>
        <w:spacing w:before="240" w:lineRule="auto"/>
        <w:ind w:firstLine="540"/>
        <w:jc w:val="both"/>
      </w:pPr>
      <w:r>
        <w:rPr>
          <w:sz w:val="24"/>
        </w:rPr>
        <w:t xml:space="preserve">12.18 Для питания электроприемников рекомендуется устанавливать УЗО с током срабатывания:</w:t>
      </w:r>
    </w:p>
    <w:p>
      <w:pPr>
        <w:pStyle w:val="0"/>
        <w:spacing w:before="240" w:lineRule="auto"/>
        <w:ind w:firstLine="540"/>
        <w:jc w:val="both"/>
      </w:pPr>
      <w:r>
        <w:rPr>
          <w:sz w:val="24"/>
        </w:rPr>
        <w:t xml:space="preserve">- 100 (300) мА - в поэтажных распределительных щитах;</w:t>
      </w:r>
    </w:p>
    <w:p>
      <w:pPr>
        <w:pStyle w:val="0"/>
        <w:spacing w:before="240" w:lineRule="auto"/>
        <w:ind w:firstLine="540"/>
        <w:jc w:val="both"/>
      </w:pPr>
      <w:r>
        <w:rPr>
          <w:sz w:val="24"/>
        </w:rPr>
        <w:t xml:space="preserve">- не более 30 мА - в щитах апартаментов (квартир).</w:t>
      </w:r>
    </w:p>
    <w:p>
      <w:pPr>
        <w:pStyle w:val="0"/>
        <w:spacing w:before="240" w:lineRule="auto"/>
        <w:ind w:firstLine="540"/>
        <w:jc w:val="both"/>
      </w:pPr>
      <w:r>
        <w:rPr>
          <w:sz w:val="24"/>
        </w:rPr>
        <w:t xml:space="preserve">На ВРУ должны быть установлены УЗО на 300 мА, осуществляющие противопожарную защиту.</w:t>
      </w:r>
    </w:p>
    <w:p>
      <w:pPr>
        <w:pStyle w:val="0"/>
        <w:spacing w:before="240" w:lineRule="auto"/>
        <w:ind w:firstLine="540"/>
        <w:jc w:val="both"/>
      </w:pPr>
      <w:r>
        <w:rPr>
          <w:sz w:val="24"/>
        </w:rPr>
        <w:t xml:space="preserve">Если расчетом по </w:t>
      </w:r>
      <w:hyperlink w:history="0" r:id="rId310"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пункту А.1.2</w:t>
        </w:r>
      </w:hyperlink>
      <w:r>
        <w:rPr>
          <w:sz w:val="24"/>
        </w:rPr>
        <w:t xml:space="preserve"> СП 256.1325800.2016 установлено, что номинальные отключающие дифференциальные токи УЗО должны быть больше, то следует использовать УЗО с более высокими номинальными отключающими дифференциальными токами; при этом для групповых линий, питающих штепсельные соединители, необходимо предусматривать УЗО с номинальным отключающим дифференциальным током не более 30 мА.</w:t>
      </w:r>
    </w:p>
    <w:p>
      <w:pPr>
        <w:pStyle w:val="0"/>
        <w:spacing w:before="240" w:lineRule="auto"/>
        <w:ind w:firstLine="540"/>
        <w:jc w:val="both"/>
      </w:pPr>
      <w:r>
        <w:rPr>
          <w:sz w:val="24"/>
        </w:rPr>
        <w:t xml:space="preserve">12.19 Электропроводки следует комплектовать кабелями и проводами с медными токопроводящими жилами.</w:t>
      </w:r>
    </w:p>
    <w:p>
      <w:pPr>
        <w:pStyle w:val="0"/>
        <w:spacing w:before="240" w:lineRule="auto"/>
        <w:ind w:firstLine="540"/>
        <w:jc w:val="both"/>
      </w:pPr>
      <w:r>
        <w:rPr>
          <w:sz w:val="24"/>
        </w:rPr>
        <w:t xml:space="preserve">Кабели, прокладываемые открыто, не должны распространять горение при групповой прокладке по категории A </w:t>
      </w:r>
      <w:hyperlink w:history="0" r:id="rId311" w:tooltip="&quot;ГОСТ IEC 60332-3-22-2011. Межгосударственный стандарт.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quot; (введен в действие Приказом Росстандарта от 13.12.2011 N 1431-ст) ------------ Утратил силу или отменен {КонсультантПлюс}">
        <w:r>
          <w:rPr>
            <w:sz w:val="24"/>
            <w:color w:val="0000ff"/>
          </w:rPr>
          <w:t xml:space="preserve">(ГОСТ IEC 60332-3-22)</w:t>
        </w:r>
      </w:hyperlink>
      <w:r>
        <w:rPr>
          <w:sz w:val="24"/>
        </w:rPr>
        <w:t xml:space="preserve">, они должны быть с низким дымо- и газовыделением (нг-LS, нг-HF или нг-FRHF) или должны быть обработаны специальными огнезащитными покрытиями.</w:t>
      </w:r>
    </w:p>
    <w:p>
      <w:pPr>
        <w:pStyle w:val="0"/>
        <w:spacing w:before="240" w:lineRule="auto"/>
        <w:ind w:firstLine="540"/>
        <w:jc w:val="both"/>
      </w:pPr>
      <w:r>
        <w:rPr>
          <w:sz w:val="24"/>
        </w:rPr>
        <w:t xml:space="preserve">12.20 Питающие кабели от ТП и автономного источника питания до ВРУ с АВР должны прокладываться в раздельных, выделенных в противопожарном отношении, огнестойких каналах (коробах) или выполняться огнестойкими кабелями или шинопроводами.</w:t>
      </w:r>
    </w:p>
    <w:p>
      <w:pPr>
        <w:pStyle w:val="0"/>
        <w:spacing w:before="240" w:lineRule="auto"/>
        <w:ind w:firstLine="540"/>
        <w:jc w:val="both"/>
      </w:pPr>
      <w:r>
        <w:rPr>
          <w:sz w:val="24"/>
        </w:rPr>
        <w:t xml:space="preserve">Работоспособность кабельных линий и электропроводок в условиях пожара должна обеспечиваться в соответствии с требованиями </w:t>
      </w:r>
      <w:hyperlink w:history="0" r:id="rId31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31565, а не ГОСТ Р 31565.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12.21 Электропроводки систем противопожарной защиты, прокладываемые от ВРУ, должны быть выполнены пожаростойкими (огнестойкими). Выбор кабелей осуществляется в соответствии с требованиями </w:t>
      </w:r>
      <w:hyperlink w:history="0" r:id="rId31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Р 31565</w:t>
        </w:r>
      </w:hyperlink>
      <w:r>
        <w:rPr>
          <w:sz w:val="24"/>
        </w:rPr>
        <w:t xml:space="preserve">, </w:t>
      </w:r>
      <w:hyperlink w:history="0" r:id="rId314" w:tooltip="&quot;ГОСТ IEC 60702-1-2017. Межгосударственный стандарт. Кабели с минеральной изоляцией и концевые заделки к ним на номинальное напряжение не более 750 В. Часть 1. Кабели&quot; (введен в действие Приказом Росстандарта от 25.09.2018 N 644-ст) {КонсультантПлюс}">
        <w:r>
          <w:rPr>
            <w:sz w:val="24"/>
            <w:color w:val="0000ff"/>
          </w:rPr>
          <w:t xml:space="preserve">ГОСТ IEC 60702-1</w:t>
        </w:r>
      </w:hyperlink>
      <w:r>
        <w:rPr>
          <w:sz w:val="24"/>
        </w:rPr>
        <w:t xml:space="preserve">. Время работоспособности электропроводок в условиях пожара определяется в соответствии с </w:t>
      </w:r>
      <w:hyperlink w:history="0" r:id="rId315"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w:t>
      </w:r>
    </w:p>
    <w:p>
      <w:pPr>
        <w:pStyle w:val="0"/>
        <w:spacing w:before="240" w:lineRule="auto"/>
        <w:ind w:firstLine="540"/>
        <w:jc w:val="both"/>
      </w:pPr>
      <w:r>
        <w:rPr>
          <w:sz w:val="24"/>
        </w:rPr>
        <w:t xml:space="preserve">12.22 Кабельные проходки, герметичные вводы и шинопроводы </w:t>
      </w:r>
      <w:hyperlink w:history="0" r:id="rId316"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 прокладываемые через ограждающие конструкции с нормируемыми пределами огнестойкости, должны иметь предел огнестойкости не ниже предела огнестойкости конструкции в месте ее пересечения.</w:t>
      </w:r>
    </w:p>
    <w:p>
      <w:pPr>
        <w:pStyle w:val="0"/>
        <w:spacing w:before="240" w:lineRule="auto"/>
        <w:ind w:firstLine="540"/>
        <w:jc w:val="both"/>
      </w:pPr>
      <w:r>
        <w:rPr>
          <w:sz w:val="24"/>
        </w:rPr>
        <w:t xml:space="preserve">12.23 Конструкция кабельных проходок должна обеспечивать возможность замены и (или) дополнительной прокладки проводов, кабелей, возможность их технического обслуживания.</w:t>
      </w:r>
    </w:p>
    <w:p>
      <w:pPr>
        <w:pStyle w:val="0"/>
        <w:spacing w:before="240" w:lineRule="auto"/>
        <w:ind w:firstLine="540"/>
        <w:jc w:val="both"/>
      </w:pPr>
      <w:r>
        <w:rPr>
          <w:sz w:val="24"/>
        </w:rPr>
        <w:t xml:space="preserve">12.24 Электропроводки для систем противопожарной защиты при групповой прокладке должны быть выполнены с пределом огнестойкости не менее 120 мин.</w:t>
      </w:r>
    </w:p>
    <w:p>
      <w:pPr>
        <w:pStyle w:val="0"/>
        <w:spacing w:before="240" w:lineRule="auto"/>
        <w:ind w:firstLine="540"/>
        <w:jc w:val="both"/>
      </w:pPr>
      <w:r>
        <w:rPr>
          <w:sz w:val="24"/>
        </w:rPr>
        <w:t xml:space="preserve">Электропроводки для систем противопожарной защиты, прокладываемые замоноличенно, в пустотах строительных конструкций из негорючих материалов или в металлических трубах, обладающих локализационной способностью, допускается выполнять кабелями или проводами, к которым не предъявляются требования по нераспространению горения.</w:t>
      </w:r>
    </w:p>
    <w:p>
      <w:pPr>
        <w:pStyle w:val="0"/>
        <w:spacing w:before="240" w:lineRule="auto"/>
        <w:ind w:firstLine="540"/>
        <w:jc w:val="both"/>
      </w:pPr>
      <w:r>
        <w:rPr>
          <w:sz w:val="24"/>
        </w:rPr>
        <w:t xml:space="preserve">12.25 Поэтажная разводка кабелей (и проводов) от этажного распределительного щита до помещений должна быть выполнена в каналах или погонажной арматуре, удовлетворяющей требованиям пожарной безопасности (ГОСТ 35043-2023, </w:t>
      </w:r>
      <w:hyperlink w:history="0" r:id="rId317"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раздел 4</w:t>
        </w:r>
      </w:hyperlink>
      <w:r>
        <w:rPr>
          <w:sz w:val="24"/>
        </w:rPr>
        <w:t xml:space="preserve">).</w:t>
      </w:r>
    </w:p>
    <w:p>
      <w:pPr>
        <w:pStyle w:val="0"/>
        <w:jc w:val="both"/>
      </w:pPr>
      <w:r>
        <w:rPr>
          <w:sz w:val="24"/>
        </w:rPr>
        <w:t xml:space="preserve">(в ред. </w:t>
      </w:r>
      <w:hyperlink w:history="0" r:id="rId31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12.26 Аварийное освещение следует предусматривать по </w:t>
      </w:r>
      <w:hyperlink w:history="0" r:id="rId31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12.27 Светильники, применяемые в системах электроосвещения, должны соответствовать требованиям пожарной безопасности по </w:t>
      </w:r>
      <w:hyperlink w:history="0" r:id="rId320"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12.28 Конструкция светильников, применяемых для эвакуационного освещения с автономными источниками питания, должна обеспечивать их надежное функционирование в условиях повышенных температур.</w:t>
      </w:r>
    </w:p>
    <w:p>
      <w:pPr>
        <w:pStyle w:val="0"/>
        <w:spacing w:before="240" w:lineRule="auto"/>
        <w:ind w:firstLine="540"/>
        <w:jc w:val="both"/>
      </w:pPr>
      <w:r>
        <w:rPr>
          <w:sz w:val="24"/>
        </w:rPr>
        <w:t xml:space="preserve">Светильники должны быть обеспечены интегрированным испытательным устройством или средствами присоединения к дистанционному испытательному устройству, моделирующему отказ рабочей сети питания.</w:t>
      </w:r>
    </w:p>
    <w:p>
      <w:pPr>
        <w:pStyle w:val="0"/>
        <w:spacing w:before="240" w:lineRule="auto"/>
        <w:ind w:firstLine="540"/>
        <w:jc w:val="both"/>
      </w:pPr>
      <w:r>
        <w:rPr>
          <w:sz w:val="24"/>
        </w:rPr>
        <w:t xml:space="preserve">Примечание - Эвакуационное освещение допускается выполнять светильниками со встроенными источниками питания (аккумуляторами), имеющими ресурс работы аккумулятора в течение времени, необходимого для полной эвакуации людей, без предъявления требований к огнестойкости питающих их кабелей.</w:t>
      </w:r>
    </w:p>
    <w:p>
      <w:pPr>
        <w:pStyle w:val="0"/>
        <w:jc w:val="both"/>
      </w:pPr>
      <w:r>
        <w:rPr>
          <w:sz w:val="24"/>
        </w:rPr>
      </w:r>
    </w:p>
    <w:p>
      <w:pPr>
        <w:pStyle w:val="0"/>
        <w:ind w:firstLine="540"/>
        <w:jc w:val="both"/>
      </w:pPr>
      <w:r>
        <w:rPr>
          <w:sz w:val="24"/>
        </w:rPr>
        <w:t xml:space="preserve">12.29 Светильники, применяемые для оборудования вертолетных площадок высотных зданий и огней светового ограждения, должны быть виброустойчивого исполнения со степенью защиты оболочек не ниже IP 65 (классификация по </w:t>
      </w:r>
      <w:hyperlink w:history="0" r:id="rId321"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и иметь резервное питание.</w:t>
      </w:r>
    </w:p>
    <w:p>
      <w:pPr>
        <w:pStyle w:val="0"/>
        <w:jc w:val="both"/>
      </w:pPr>
      <w:r>
        <w:rPr>
          <w:sz w:val="24"/>
        </w:rPr>
      </w:r>
    </w:p>
    <w:p>
      <w:pPr>
        <w:pStyle w:val="2"/>
        <w:outlineLvl w:val="1"/>
        <w:ind w:firstLine="540"/>
        <w:jc w:val="both"/>
      </w:pPr>
      <w:r>
        <w:rPr>
          <w:sz w:val="24"/>
        </w:rPr>
        <w:t xml:space="preserve">13 Системы связи, сигнализации, автоматизации и диспетчеризации</w:t>
      </w:r>
    </w:p>
    <w:p>
      <w:pPr>
        <w:pStyle w:val="0"/>
        <w:ind w:firstLine="540"/>
        <w:jc w:val="both"/>
      </w:pPr>
      <w:r>
        <w:rPr>
          <w:sz w:val="24"/>
        </w:rPr>
      </w:r>
    </w:p>
    <w:p>
      <w:pPr>
        <w:pStyle w:val="0"/>
        <w:jc w:val="both"/>
      </w:pPr>
      <w:r>
        <w:rPr>
          <w:sz w:val="24"/>
        </w:rPr>
        <w:t xml:space="preserve">(раздел 13 в ред. </w:t>
      </w:r>
      <w:hyperlink w:history="0" r:id="rId32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2"/>
        <w:outlineLvl w:val="2"/>
        <w:ind w:firstLine="540"/>
        <w:jc w:val="both"/>
      </w:pPr>
      <w:r>
        <w:rPr>
          <w:sz w:val="24"/>
          <w:b w:val="on"/>
        </w:rPr>
        <w:t xml:space="preserve">13.1 Основные положения</w:t>
      </w:r>
    </w:p>
    <w:p>
      <w:pPr>
        <w:pStyle w:val="0"/>
        <w:spacing w:before="240" w:lineRule="auto"/>
        <w:ind w:firstLine="540"/>
        <w:jc w:val="both"/>
      </w:pPr>
      <w:r>
        <w:rPr>
          <w:sz w:val="24"/>
        </w:rPr>
        <w:t xml:space="preserve">13.1.1 Высотные здания необходимо оснащать системами связи, сигнализации, автоматизации и диспетчеризации в соответствии с заданием на проектирование, </w:t>
      </w:r>
      <w:hyperlink w:history="0" r:id="rId32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w:t>
      </w:r>
      <w:hyperlink w:history="0" w:anchor="P2452" w:tooltip="НОМЕНКЛАТУРА СИСТЕМ СВЯЗИ, СИГНАЛИЗАЦИИ,">
        <w:r>
          <w:rPr>
            <w:sz w:val="24"/>
            <w:color w:val="0000ff"/>
          </w:rPr>
          <w:t xml:space="preserve">приложением Е</w:t>
        </w:r>
      </w:hyperlink>
      <w:r>
        <w:rPr>
          <w:sz w:val="24"/>
        </w:rPr>
        <w:t xml:space="preserve">. Перечень систем связи, сигнализации, автоматизации и диспетчеризации, которыми минимально необходимо оснастить высотное здание, приведен в </w:t>
      </w:r>
      <w:hyperlink w:history="0" w:anchor="P2452" w:tooltip="НОМЕНКЛАТУРА СИСТЕМ СВЯЗИ, СИГНАЛИЗАЦИИ,">
        <w:r>
          <w:rPr>
            <w:sz w:val="24"/>
            <w:color w:val="0000ff"/>
          </w:rPr>
          <w:t xml:space="preserve">приложении Е</w:t>
        </w:r>
      </w:hyperlink>
      <w:r>
        <w:rPr>
          <w:sz w:val="24"/>
        </w:rPr>
        <w:t xml:space="preserve">. Требования к оснащаемым системам связи и сигнализации приведены в настоящем разделе.</w:t>
      </w:r>
    </w:p>
    <w:p>
      <w:pPr>
        <w:pStyle w:val="0"/>
        <w:spacing w:before="240" w:lineRule="auto"/>
        <w:ind w:firstLine="540"/>
        <w:jc w:val="both"/>
      </w:pPr>
      <w:r>
        <w:rPr>
          <w:sz w:val="24"/>
        </w:rPr>
        <w:t xml:space="preserve">13.1.2 В высотных зданиях и комплексах необходимо предусматривать блок диспетчерских помещений оперативного персонала служб безопасности и эксплуатации здания со следующими помещениями:</w:t>
      </w:r>
    </w:p>
    <w:p>
      <w:pPr>
        <w:pStyle w:val="0"/>
        <w:spacing w:before="240" w:lineRule="auto"/>
        <w:ind w:firstLine="540"/>
        <w:jc w:val="both"/>
      </w:pPr>
      <w:r>
        <w:rPr>
          <w:sz w:val="24"/>
        </w:rPr>
        <w:t xml:space="preserve">- центральным пунктом управления системами противопожарной защиты (ЦПУ СПЗ) - пожарный пост, площадью не менее 10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центральным пунктом управления системами безопасности (ЦПУ СБ) - пост охраны, площадью не менее 15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центральным пунктом управления системами инженерно-технического обеспечения (ЦПУ ИС) - диспетчерская, площадью не менее 10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аппаратной, площадью не менее 10 м</w:t>
      </w:r>
      <w:r>
        <w:rPr>
          <w:sz w:val="24"/>
          <w:vertAlign w:val="superscript"/>
        </w:rPr>
        <w:t xml:space="preserve">2</w:t>
      </w:r>
      <w:r>
        <w:rPr>
          <w:sz w:val="24"/>
        </w:rPr>
        <w:t xml:space="preserve"> и шириной не менее 2,5 м с устройством глухих стен без окон.</w:t>
      </w:r>
    </w:p>
    <w:p>
      <w:pPr>
        <w:pStyle w:val="0"/>
        <w:spacing w:before="240" w:lineRule="auto"/>
        <w:ind w:firstLine="540"/>
        <w:jc w:val="both"/>
      </w:pPr>
      <w:r>
        <w:rPr>
          <w:sz w:val="24"/>
        </w:rPr>
        <w:t xml:space="preserve">Допускается объединение помещений ЦПУ СПЗ, ЦПУ СБ, ЦПУ ИС в единое помещение (диспетчерская), площадью не менее 30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Площади помещений должны соответствовать количеству размещаемого в них оборудования. Блок диспетчерских помещений необходимо размещать в едином блоке, на первом или цокольном этаже с выходом непосредственно наружу или на лестничную клетку, ведущую наружу, обеспечивая защиту от несанкционированного проникновения посторонних лиц как в блок, так и в отдельные помещения в блоке. В составе блока диспетчерских помещений должен быть предусмотрен санитарный узел с унитазом и умывальником.</w:t>
      </w:r>
    </w:p>
    <w:p>
      <w:pPr>
        <w:pStyle w:val="0"/>
        <w:spacing w:before="240" w:lineRule="auto"/>
        <w:ind w:firstLine="540"/>
        <w:jc w:val="both"/>
      </w:pPr>
      <w:r>
        <w:rPr>
          <w:sz w:val="24"/>
        </w:rPr>
        <w:t xml:space="preserve">13.1.3 Системы связи сигнализации высотных зданий следует проектировать с учетом деления высотного здания по пожарным отсекам. Также следует учитывать деление высотного здания или комплекса по корпусам и жилым секциям (для жилых зданий).</w:t>
      </w:r>
    </w:p>
    <w:p>
      <w:pPr>
        <w:pStyle w:val="0"/>
        <w:spacing w:before="240" w:lineRule="auto"/>
        <w:ind w:firstLine="540"/>
        <w:jc w:val="both"/>
      </w:pPr>
      <w:r>
        <w:rPr>
          <w:sz w:val="24"/>
        </w:rPr>
        <w:t xml:space="preserve">Как минимум, в каждом пожарном отсеке необходимо предусматривать помещения для размещения оборудования систем связи (СС) и сигнализации соответствующего пожарного отсека:</w:t>
      </w:r>
    </w:p>
    <w:p>
      <w:pPr>
        <w:pStyle w:val="0"/>
        <w:spacing w:before="240" w:lineRule="auto"/>
        <w:ind w:firstLine="540"/>
        <w:jc w:val="both"/>
      </w:pPr>
      <w:r>
        <w:rPr>
          <w:sz w:val="24"/>
        </w:rPr>
        <w:t xml:space="preserve">- помещение СС - для размещения оборудования систем связи, площадью не менее 8 м</w:t>
      </w:r>
      <w:r>
        <w:rPr>
          <w:sz w:val="24"/>
          <w:vertAlign w:val="superscript"/>
        </w:rPr>
        <w:t xml:space="preserve">2</w:t>
      </w:r>
      <w:r>
        <w:rPr>
          <w:sz w:val="24"/>
        </w:rPr>
        <w:t xml:space="preserve"> и шириной не менее 2,5 м;</w:t>
      </w:r>
    </w:p>
    <w:p>
      <w:pPr>
        <w:pStyle w:val="0"/>
        <w:spacing w:before="240" w:lineRule="auto"/>
        <w:ind w:firstLine="540"/>
        <w:jc w:val="both"/>
      </w:pPr>
      <w:r>
        <w:rPr>
          <w:sz w:val="24"/>
        </w:rPr>
        <w:t xml:space="preserve">- помещение СБ/СПЗ - для размещения оборудования систем безопасности и противопожарной защиты, площадью не менее 8 м</w:t>
      </w:r>
      <w:r>
        <w:rPr>
          <w:sz w:val="24"/>
          <w:vertAlign w:val="superscript"/>
        </w:rPr>
        <w:t xml:space="preserve">2</w:t>
      </w:r>
      <w:r>
        <w:rPr>
          <w:sz w:val="24"/>
        </w:rPr>
        <w:t xml:space="preserve"> и шириной не менее 2,5 м.</w:t>
      </w:r>
    </w:p>
    <w:p>
      <w:pPr>
        <w:pStyle w:val="0"/>
        <w:spacing w:before="240" w:lineRule="auto"/>
        <w:ind w:firstLine="540"/>
        <w:jc w:val="both"/>
      </w:pPr>
      <w:r>
        <w:rPr>
          <w:sz w:val="24"/>
        </w:rPr>
        <w:t xml:space="preserve">Площади помещений должны соответствовать количеству размещаемого в них оборудования. Помещения должны быть глухими (без окон). Высота помещений должна быть не менее 2,5 м. Помещения целесообразно размещать на технических этажах возле стояков систем связи и сигнализации.</w:t>
      </w:r>
    </w:p>
    <w:p>
      <w:pPr>
        <w:pStyle w:val="0"/>
        <w:spacing w:before="240" w:lineRule="auto"/>
        <w:ind w:firstLine="540"/>
        <w:jc w:val="both"/>
      </w:pPr>
      <w:r>
        <w:rPr>
          <w:sz w:val="24"/>
        </w:rPr>
        <w:t xml:space="preserve">В жилых зданиях допускается размещение данных помещений в смежном пожарном отсеке при обеспечении нормативного предела огнестойкости кабельных трасс из помещения до соответствующего пожарного отсека. В этом случае должен быть обеспечен нормативный предел огнестойкости самого помещения.</w:t>
      </w:r>
    </w:p>
    <w:p>
      <w:pPr>
        <w:pStyle w:val="0"/>
        <w:spacing w:before="240" w:lineRule="auto"/>
        <w:ind w:firstLine="540"/>
        <w:jc w:val="both"/>
      </w:pPr>
      <w:r>
        <w:rPr>
          <w:sz w:val="24"/>
        </w:rPr>
        <w:t xml:space="preserve">13.1.4 В жилых высотных зданиях и комплексах (в жилой функциональной группе высотного здания или комплекса) для размещения коммутационного оборудования на каждом жилом этаже необходимо предусматривать этажные ниши. Следует предусматривать отдельные ниши для систем связи (ниша СС) и систем безопасности и противопожарной защиты (ниша СБ/СБЗ). При этом в "нише СБ/СПЗ" следует предусматривать отдельные стояки и кабелепроводы для систем безопасности (стояк СБ) и систем противопожарной защиты (стояк СПЗ). Допускается предусматривать отдельные ниши для систем безопасности (ниша СБ) и систем противопожарной защиты (ниша СПЗ).</w:t>
      </w:r>
    </w:p>
    <w:p>
      <w:pPr>
        <w:pStyle w:val="0"/>
        <w:spacing w:before="240" w:lineRule="auto"/>
        <w:ind w:firstLine="540"/>
        <w:jc w:val="both"/>
      </w:pPr>
      <w:r>
        <w:rPr>
          <w:sz w:val="24"/>
        </w:rPr>
        <w:t xml:space="preserve">Ниши следует оборудовать мастер-ключами. При этом следует предусматривать отдельные мастер-ключи для ниш СС и для ниш СБ/СПЗ.</w:t>
      </w:r>
    </w:p>
    <w:p>
      <w:pPr>
        <w:pStyle w:val="0"/>
        <w:spacing w:before="240" w:lineRule="auto"/>
        <w:ind w:firstLine="540"/>
        <w:jc w:val="both"/>
      </w:pPr>
      <w:r>
        <w:rPr>
          <w:sz w:val="24"/>
        </w:rPr>
        <w:t xml:space="preserve">Двери ниш должны иметь нормативный предел огнестойкости и оснащены вентиляционными решетками.</w:t>
      </w:r>
    </w:p>
    <w:p>
      <w:pPr>
        <w:pStyle w:val="0"/>
        <w:spacing w:before="240" w:lineRule="auto"/>
        <w:ind w:firstLine="540"/>
        <w:jc w:val="both"/>
      </w:pPr>
      <w:r>
        <w:rPr>
          <w:sz w:val="24"/>
        </w:rPr>
        <w:t xml:space="preserve">13.1.5 В офисных зданиях (в офисной функциональной группе высотного здания или комплекса) для размещения оборудования на каждом этаже следует предусматривать:</w:t>
      </w:r>
    </w:p>
    <w:p>
      <w:pPr>
        <w:pStyle w:val="0"/>
        <w:spacing w:before="240" w:lineRule="auto"/>
        <w:ind w:firstLine="540"/>
        <w:jc w:val="both"/>
      </w:pPr>
      <w:r>
        <w:rPr>
          <w:sz w:val="24"/>
        </w:rPr>
        <w:t xml:space="preserve">- помещение СС - для размещения оборудования систем связи, площадью не менее 6 м</w:t>
      </w:r>
      <w:r>
        <w:rPr>
          <w:sz w:val="24"/>
          <w:vertAlign w:val="superscript"/>
        </w:rPr>
        <w:t xml:space="preserve">2</w:t>
      </w:r>
      <w:r>
        <w:rPr>
          <w:sz w:val="24"/>
        </w:rPr>
        <w:t xml:space="preserve"> и шириной не менее 2 м;</w:t>
      </w:r>
    </w:p>
    <w:p>
      <w:pPr>
        <w:pStyle w:val="0"/>
        <w:spacing w:before="240" w:lineRule="auto"/>
        <w:ind w:firstLine="540"/>
        <w:jc w:val="both"/>
      </w:pPr>
      <w:r>
        <w:rPr>
          <w:sz w:val="24"/>
        </w:rPr>
        <w:t xml:space="preserve">- помещение СБ/СПЗ - для размещения оборудования систем безопасности и противопожарной защиты, площадью не менее 6 м</w:t>
      </w:r>
      <w:r>
        <w:rPr>
          <w:sz w:val="24"/>
          <w:vertAlign w:val="superscript"/>
        </w:rPr>
        <w:t xml:space="preserve">2</w:t>
      </w:r>
      <w:r>
        <w:rPr>
          <w:sz w:val="24"/>
        </w:rPr>
        <w:t xml:space="preserve"> и шириной не менее 2 м.</w:t>
      </w:r>
    </w:p>
    <w:p>
      <w:pPr>
        <w:pStyle w:val="0"/>
        <w:spacing w:before="240" w:lineRule="auto"/>
        <w:ind w:firstLine="540"/>
        <w:jc w:val="both"/>
      </w:pPr>
      <w:r>
        <w:rPr>
          <w:sz w:val="24"/>
        </w:rPr>
        <w:t xml:space="preserve">Площади помещений должны соответствовать количеству размещаемого в них оборудования. Помещения должна быть глухими (без окон). Высота помещений должна быть не менее 2,5 м. Стояки сетей связи и сигнализации размещаются в данных помещениях.</w:t>
      </w:r>
    </w:p>
    <w:p>
      <w:pPr>
        <w:pStyle w:val="0"/>
        <w:spacing w:before="240" w:lineRule="auto"/>
        <w:ind w:firstLine="540"/>
        <w:jc w:val="both"/>
      </w:pPr>
      <w:r>
        <w:rPr>
          <w:sz w:val="24"/>
        </w:rPr>
        <w:t xml:space="preserve">13.1.6 Кабельные сети высотных зданий и сооружений подразделяют на:</w:t>
      </w:r>
    </w:p>
    <w:p>
      <w:pPr>
        <w:pStyle w:val="0"/>
        <w:spacing w:before="240" w:lineRule="auto"/>
        <w:ind w:firstLine="540"/>
        <w:jc w:val="both"/>
      </w:pPr>
      <w:r>
        <w:rPr>
          <w:sz w:val="24"/>
        </w:rPr>
        <w:t xml:space="preserve">- магистральные сети - сети, объединяющие оборудование разных пожарных отсеков или корпусов в единую систему;</w:t>
      </w:r>
    </w:p>
    <w:p>
      <w:pPr>
        <w:pStyle w:val="0"/>
        <w:spacing w:before="240" w:lineRule="auto"/>
        <w:ind w:firstLine="540"/>
        <w:jc w:val="both"/>
      </w:pPr>
      <w:r>
        <w:rPr>
          <w:sz w:val="24"/>
        </w:rPr>
        <w:t xml:space="preserve">- распределительные сети - сети, прокладываемые от оборудования соответствующего пожарного отсека и корпуса в пределах данного пожарного отсека и корпуса;</w:t>
      </w:r>
    </w:p>
    <w:p>
      <w:pPr>
        <w:pStyle w:val="0"/>
        <w:spacing w:before="240" w:lineRule="auto"/>
        <w:ind w:firstLine="540"/>
        <w:jc w:val="both"/>
      </w:pPr>
      <w:r>
        <w:rPr>
          <w:sz w:val="24"/>
        </w:rPr>
        <w:t xml:space="preserve">- абонентские сети - сети, прокладываемые от этажного распределительного оборудования до абонента (квартира, номер гостиницы, арендатор или собственник офисного помещения и прочие помещения).</w:t>
      </w:r>
    </w:p>
    <w:p>
      <w:pPr>
        <w:pStyle w:val="0"/>
        <w:spacing w:before="240" w:lineRule="auto"/>
        <w:ind w:firstLine="540"/>
        <w:jc w:val="both"/>
      </w:pPr>
      <w:r>
        <w:rPr>
          <w:sz w:val="24"/>
        </w:rPr>
        <w:t xml:space="preserve">13.1.7 В надземной части высотного здания (при устройстве двух и более пожарных отсеков в высоту) для прокладки транзитных сетей (сетей, не относящихся к данному пожарному отсеку) и магистральных сетей следует предусматривать отдельные стояки с нормируемым пределом огнестойкости строительных конструкций. Не допускается прокладка транзитных и магистральных сетей в стояках, предназначенных для сетей пересекаемого пожарного отсека.</w:t>
      </w:r>
    </w:p>
    <w:p>
      <w:pPr>
        <w:pStyle w:val="0"/>
        <w:spacing w:before="240" w:lineRule="auto"/>
        <w:ind w:firstLine="540"/>
        <w:jc w:val="both"/>
      </w:pPr>
      <w:r>
        <w:rPr>
          <w:sz w:val="24"/>
        </w:rPr>
        <w:t xml:space="preserve">13.1.8 Электропитание систем связи, сигнализации, безопасности, противопожарной защиты, автоматизации и диспетчеризации следует предусматривать по 1-й категории надежности. При этом системы безопасности (кроме систем видеодомофонной связи) и противопожарной защиты дополнительно следует оснащать источниками (блоками) бесперебойного (резервного) электропитания.</w:t>
      </w:r>
    </w:p>
    <w:p>
      <w:pPr>
        <w:pStyle w:val="0"/>
        <w:spacing w:before="240" w:lineRule="auto"/>
        <w:ind w:firstLine="540"/>
        <w:jc w:val="both"/>
      </w:pPr>
      <w:r>
        <w:rPr>
          <w:sz w:val="24"/>
        </w:rPr>
        <w:t xml:space="preserve">13.1.9 В техническом пространстве допускается установка распределительного и оконечного оборудования систем связи и сигнализации. Не допускается установка в техническом пространстве центрального оборудования (приемно-контрольных приборов, шкафов управления, приборов пожарных управления, стоек оповещения с приборами управления и контроля, телекоммуникационных шкафов с оборудованием систем связи и сигнализации и прочее).</w:t>
      </w:r>
    </w:p>
    <w:p>
      <w:pPr>
        <w:pStyle w:val="2"/>
        <w:spacing w:before="240" w:lineRule="auto"/>
        <w:outlineLvl w:val="2"/>
        <w:ind w:firstLine="540"/>
        <w:jc w:val="both"/>
      </w:pPr>
      <w:r>
        <w:rPr>
          <w:sz w:val="24"/>
          <w:b w:val="on"/>
        </w:rPr>
        <w:t xml:space="preserve">13.2 Системы связи</w:t>
      </w:r>
    </w:p>
    <w:p>
      <w:pPr>
        <w:pStyle w:val="0"/>
        <w:spacing w:before="240" w:lineRule="auto"/>
        <w:ind w:firstLine="540"/>
        <w:jc w:val="both"/>
      </w:pPr>
      <w:r>
        <w:rPr>
          <w:sz w:val="24"/>
          <w:b w:val="on"/>
        </w:rPr>
        <w:t xml:space="preserve">13.2.1 Общие положения</w:t>
      </w:r>
    </w:p>
    <w:p>
      <w:pPr>
        <w:pStyle w:val="0"/>
        <w:spacing w:before="240" w:lineRule="auto"/>
        <w:ind w:firstLine="540"/>
        <w:jc w:val="both"/>
      </w:pPr>
      <w:r>
        <w:rPr>
          <w:sz w:val="24"/>
        </w:rPr>
        <w:t xml:space="preserve">13.2.1.1 Жилые высотные здания и комплексы рекомендуется подключать к системам телефонной связи общего пользования, интернет, кабельного телевидения по технологии FTTH/PON (оптика в квартиру/пассивные оптические сети).</w:t>
      </w:r>
    </w:p>
    <w:p>
      <w:pPr>
        <w:pStyle w:val="0"/>
        <w:spacing w:before="240" w:lineRule="auto"/>
        <w:ind w:firstLine="540"/>
        <w:jc w:val="both"/>
      </w:pPr>
      <w:r>
        <w:rPr>
          <w:sz w:val="24"/>
          <w:b w:val="on"/>
        </w:rPr>
        <w:t xml:space="preserve">13.2.2 Система телефонной связи общего пользования</w:t>
      </w:r>
    </w:p>
    <w:p>
      <w:pPr>
        <w:pStyle w:val="0"/>
        <w:spacing w:before="240" w:lineRule="auto"/>
        <w:ind w:firstLine="540"/>
        <w:jc w:val="both"/>
      </w:pPr>
      <w:r>
        <w:rPr>
          <w:sz w:val="24"/>
        </w:rPr>
        <w:t xml:space="preserve">13.2.2.1 Система телефонной связи общего пользования должна обеспечивать международную, междугороднюю и территориальную телефонную связь с возможностью своевременного вызова экстренных служб. Подключение к системам телефонной связи общего пользования следует выполнять в соответствии с техническими условиями оператора связи.</w:t>
      </w:r>
    </w:p>
    <w:p>
      <w:pPr>
        <w:pStyle w:val="0"/>
        <w:spacing w:before="240" w:lineRule="auto"/>
        <w:ind w:firstLine="540"/>
        <w:jc w:val="both"/>
      </w:pPr>
      <w:r>
        <w:rPr>
          <w:sz w:val="24"/>
        </w:rPr>
        <w:t xml:space="preserve">13.2.2.2 В жилых высотных зданиях (в жилой функциональной группе высотного здания или комплекса) должна быть предусмотрена возможность подключения к системе телефонной связи общего пользования каждой квартиры. Распределительное этажное оборудование системы телефонной связи общего пользования следует предусматривать в этажной нише СС на том же этаже, где находится квартира.</w:t>
      </w:r>
    </w:p>
    <w:p>
      <w:pPr>
        <w:pStyle w:val="0"/>
        <w:spacing w:before="240" w:lineRule="auto"/>
        <w:ind w:firstLine="540"/>
        <w:jc w:val="both"/>
      </w:pPr>
      <w:r>
        <w:rPr>
          <w:sz w:val="24"/>
          <w:b w:val="on"/>
        </w:rPr>
        <w:t xml:space="preserve">13.2.3 Система диспетчерской и оперативной телефонной связи</w:t>
      </w:r>
    </w:p>
    <w:p>
      <w:pPr>
        <w:pStyle w:val="0"/>
        <w:spacing w:before="240" w:lineRule="auto"/>
        <w:ind w:firstLine="540"/>
        <w:jc w:val="both"/>
      </w:pPr>
      <w:r>
        <w:rPr>
          <w:sz w:val="24"/>
        </w:rPr>
        <w:t xml:space="preserve">13.2.3.1 Систему диспетчерской и оперативной телефонной связи должна обеспечивать телефонную (в том числе двухстороннюю громкоговорящую) связь служебных, технических и административных помещений высотного здания или комплекса.</w:t>
      </w:r>
    </w:p>
    <w:p>
      <w:pPr>
        <w:pStyle w:val="0"/>
        <w:spacing w:before="240" w:lineRule="auto"/>
        <w:ind w:firstLine="540"/>
        <w:jc w:val="both"/>
      </w:pPr>
      <w:r>
        <w:rPr>
          <w:sz w:val="24"/>
        </w:rPr>
        <w:t xml:space="preserve">13.2.3.2 Систему телефонной (диспетчерской и оперативной) связи следует предусматривать на базе АТС (УПАТС). Система должна обеспечивать автоматическое соединение и поддержание телефонной связи между абонентами системы.</w:t>
      </w:r>
    </w:p>
    <w:p>
      <w:pPr>
        <w:pStyle w:val="0"/>
        <w:spacing w:before="240" w:lineRule="auto"/>
        <w:ind w:firstLine="540"/>
        <w:jc w:val="both"/>
      </w:pPr>
      <w:r>
        <w:rPr>
          <w:sz w:val="24"/>
        </w:rPr>
        <w:t xml:space="preserve">13.2.3.3 В технических помещениях телефонные аппараты необходимо устанавливать у выхода из помещения на высоте 1500 мм от уровня чистого пола.</w:t>
      </w:r>
    </w:p>
    <w:p>
      <w:pPr>
        <w:pStyle w:val="0"/>
        <w:spacing w:before="240" w:lineRule="auto"/>
        <w:ind w:firstLine="540"/>
        <w:jc w:val="both"/>
      </w:pPr>
      <w:r>
        <w:rPr>
          <w:sz w:val="24"/>
        </w:rPr>
        <w:t xml:space="preserve">13.2.3.4 В помещении аппаратной блока диспетчерских помещений следует размещать АТС (УПАТС).</w:t>
      </w:r>
    </w:p>
    <w:p>
      <w:pPr>
        <w:pStyle w:val="0"/>
        <w:spacing w:before="240" w:lineRule="auto"/>
        <w:ind w:firstLine="540"/>
        <w:jc w:val="both"/>
      </w:pPr>
      <w:r>
        <w:rPr>
          <w:sz w:val="24"/>
        </w:rPr>
        <w:t xml:space="preserve">13.2.3.5 Подключение к телефонной связи общего пользования необходимо предусмотреть для телефонных аппаратов, устанавливаемых в помещениях диспетчерских служб и служб безопасности здания, насосной станции пожаротушения, ЦТП (ИТП). Перечень остальных абонентов с подключением к телефонной связи общего пользования определяется заданием на проектирование.</w:t>
      </w:r>
    </w:p>
    <w:p>
      <w:pPr>
        <w:pStyle w:val="0"/>
        <w:spacing w:before="240" w:lineRule="auto"/>
        <w:ind w:firstLine="540"/>
        <w:jc w:val="both"/>
      </w:pPr>
      <w:r>
        <w:rPr>
          <w:sz w:val="24"/>
          <w:b w:val="on"/>
        </w:rPr>
        <w:t xml:space="preserve">13.2.4 Система проводного радиовещания</w:t>
      </w:r>
    </w:p>
    <w:p>
      <w:pPr>
        <w:pStyle w:val="0"/>
        <w:spacing w:before="240" w:lineRule="auto"/>
        <w:ind w:firstLine="540"/>
        <w:jc w:val="both"/>
      </w:pPr>
      <w:r>
        <w:rPr>
          <w:sz w:val="24"/>
        </w:rPr>
        <w:t xml:space="preserve">13.2.4.1 Системы проводного радиовещания следует предусматривать в соответствии с техническими условиями оператора связи и </w:t>
      </w:r>
      <w:hyperlink w:history="0" r:id="rId324"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spacing w:before="240" w:lineRule="auto"/>
        <w:ind w:firstLine="540"/>
        <w:jc w:val="both"/>
      </w:pPr>
      <w:r>
        <w:rPr>
          <w:sz w:val="24"/>
          <w:b w:val="on"/>
        </w:rPr>
        <w:t xml:space="preserve">13.2.5 Система кабельного телевидения (коллективного приема телевидения)</w:t>
      </w:r>
    </w:p>
    <w:p>
      <w:pPr>
        <w:pStyle w:val="0"/>
        <w:spacing w:before="240" w:lineRule="auto"/>
        <w:ind w:firstLine="540"/>
        <w:jc w:val="both"/>
      </w:pPr>
      <w:r>
        <w:rPr>
          <w:sz w:val="24"/>
        </w:rPr>
        <w:t xml:space="preserve">13.2.5.1 Система кабельного телевидения должна предусматривать доставку абонентам сигналов телевизионных программ. Как минимум, система должна обеспечивать прием и доведение сигналов общероссийских обязательных общедоступных телеканалов и радиоканалов.</w:t>
      </w:r>
    </w:p>
    <w:p>
      <w:pPr>
        <w:pStyle w:val="0"/>
        <w:spacing w:before="240" w:lineRule="auto"/>
        <w:ind w:firstLine="540"/>
        <w:jc w:val="both"/>
      </w:pPr>
      <w:r>
        <w:rPr>
          <w:sz w:val="24"/>
        </w:rPr>
        <w:t xml:space="preserve">13.2.5.2 В жилых высотных зданиях (в жилой функциональной группе высотного здания или комплекса) должна быть предусмотрена возможность подключения к системе кабельного телевидения каждой квартиры. Распределительное этажное оборудование системы кабельного телевидения следует предусматривать в этажной нише СС на этаже, где находится квартира.</w:t>
      </w:r>
    </w:p>
    <w:p>
      <w:pPr>
        <w:pStyle w:val="0"/>
        <w:spacing w:before="240" w:lineRule="auto"/>
        <w:ind w:firstLine="540"/>
        <w:jc w:val="both"/>
      </w:pPr>
      <w:r>
        <w:rPr>
          <w:sz w:val="24"/>
        </w:rPr>
        <w:t xml:space="preserve">13.2.5.3 Абонентскими розетками системы кабельного телевидения следует оснащать помещения служб охраны, безопасности и диспетчерской службы.</w:t>
      </w:r>
    </w:p>
    <w:p>
      <w:pPr>
        <w:pStyle w:val="0"/>
        <w:spacing w:before="240" w:lineRule="auto"/>
        <w:ind w:firstLine="540"/>
        <w:jc w:val="both"/>
      </w:pPr>
      <w:r>
        <w:rPr>
          <w:sz w:val="24"/>
          <w:b w:val="on"/>
        </w:rPr>
        <w:t xml:space="preserve">13.2.6 Интернет</w:t>
      </w:r>
    </w:p>
    <w:p>
      <w:pPr>
        <w:pStyle w:val="0"/>
        <w:spacing w:before="240" w:lineRule="auto"/>
        <w:ind w:firstLine="540"/>
        <w:jc w:val="both"/>
      </w:pPr>
      <w:r>
        <w:rPr>
          <w:sz w:val="24"/>
        </w:rPr>
        <w:t xml:space="preserve">13.2.6.1 Скорость (пропускную способность) предусмотренной сети (системы), посредством которой осуществляется подключение к сети Интернет рекомендуется принимать не менее 100 Мбит/сек на абонента (квартира, номер гостиницы, арендатор или собственник офисного помещения и прочие помещения).</w:t>
      </w:r>
    </w:p>
    <w:p>
      <w:pPr>
        <w:pStyle w:val="0"/>
        <w:spacing w:before="240" w:lineRule="auto"/>
        <w:ind w:firstLine="540"/>
        <w:jc w:val="both"/>
      </w:pPr>
      <w:r>
        <w:rPr>
          <w:sz w:val="24"/>
        </w:rPr>
        <w:t xml:space="preserve">13.2.6.2 В жилых высотных зданиях (в жилой функциональной группе высотного здания или комплекса) должна быть предусмотрена возможность подключения к сети Интернет каждой квартиры. Распределительное этажное оборудование сети Интернет следует предусматривать в этажной нише СС на этаже, где находится квартира.</w:t>
      </w:r>
    </w:p>
    <w:p>
      <w:pPr>
        <w:pStyle w:val="0"/>
        <w:spacing w:before="240" w:lineRule="auto"/>
        <w:ind w:firstLine="540"/>
        <w:jc w:val="both"/>
      </w:pPr>
      <w:r>
        <w:rPr>
          <w:sz w:val="24"/>
          <w:b w:val="on"/>
        </w:rPr>
        <w:t xml:space="preserve">13.2.7 Система связи и сигнализации для МГН</w:t>
      </w:r>
    </w:p>
    <w:p>
      <w:pPr>
        <w:pStyle w:val="0"/>
        <w:spacing w:before="240" w:lineRule="auto"/>
        <w:ind w:firstLine="540"/>
        <w:jc w:val="both"/>
      </w:pPr>
      <w:r>
        <w:rPr>
          <w:sz w:val="24"/>
        </w:rPr>
        <w:t xml:space="preserve">13.2.7.1 Система связи и сигнализации для МГН предусматривается в соответствии с </w:t>
      </w:r>
      <w:hyperlink w:history="0" r:id="rId32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Системой связи и сигнализации для МГН оснащаются замкнутые пространства зданий (доступные помещения различного функционального назначения: кабины уборной, лифт, кабина примерочной и т.п.), где инвалид может оказаться один, а также лифтовые холлы, приспособленные для безопасных зон и безопасные зоны (при наличии таких помещений в высотном здании или комплексе).</w:t>
      </w:r>
    </w:p>
    <w:p>
      <w:pPr>
        <w:pStyle w:val="0"/>
        <w:spacing w:before="240" w:lineRule="auto"/>
        <w:ind w:firstLine="540"/>
        <w:jc w:val="both"/>
      </w:pPr>
      <w:r>
        <w:rPr>
          <w:sz w:val="24"/>
        </w:rPr>
        <w:t xml:space="preserve">13.2.7.2 Система связи и сигнализации для МГН должна обеспечивать двустороннюю переговорную связь помещений и замкнутых пространств, доступных для МГН с помещениями дежурного персонала, в том числе помещений ЦПУ СБ, ЦПУ СПЗ, ЦПУ ИС (блока диспетчерских помещений).</w:t>
      </w:r>
    </w:p>
    <w:p>
      <w:pPr>
        <w:pStyle w:val="0"/>
        <w:spacing w:before="240" w:lineRule="auto"/>
        <w:ind w:firstLine="540"/>
        <w:jc w:val="both"/>
      </w:pPr>
      <w:r>
        <w:rPr>
          <w:sz w:val="24"/>
        </w:rPr>
        <w:t xml:space="preserve">13.2.7.3 Допускается в качестве системы связи и сигнализации для МГН использовать систему обратной связи системы оповещения и управления эвакуации при условии выполнения системой обратной связи всех требований, предъявляемых к системе связи и сигнализации для МГН.</w:t>
      </w:r>
    </w:p>
    <w:p>
      <w:pPr>
        <w:pStyle w:val="0"/>
        <w:spacing w:before="240" w:lineRule="auto"/>
        <w:ind w:firstLine="540"/>
        <w:jc w:val="both"/>
      </w:pPr>
      <w:r>
        <w:rPr>
          <w:sz w:val="24"/>
        </w:rPr>
        <w:t xml:space="preserve">13.2.7.4 Сантехнические узлы (туалеты), доступные для МГН должны быть оснащены переговорными устройствами и отдельными кнопками вызова со шнуром.</w:t>
      </w:r>
    </w:p>
    <w:p>
      <w:pPr>
        <w:pStyle w:val="0"/>
        <w:spacing w:before="240" w:lineRule="auto"/>
        <w:ind w:firstLine="540"/>
        <w:jc w:val="both"/>
      </w:pPr>
      <w:r>
        <w:rPr>
          <w:sz w:val="24"/>
        </w:rPr>
        <w:t xml:space="preserve">13.2.7.5 Диспетчерский пульт дежурного персонала должен иметь возможность определить, с какого именно переговорного устройства поступает сигнал.</w:t>
      </w:r>
    </w:p>
    <w:p>
      <w:pPr>
        <w:pStyle w:val="0"/>
        <w:spacing w:before="240" w:lineRule="auto"/>
        <w:ind w:firstLine="540"/>
        <w:jc w:val="both"/>
      </w:pPr>
      <w:r>
        <w:rPr>
          <w:sz w:val="24"/>
        </w:rPr>
        <w:t xml:space="preserve">13.2.7.6 Во встроенных помещениях общественного назначения на первом или цокольном этаже здания с отдельным входом (кафе, рестораны, магазины, ателье, парикмахерские и прочие) допускается предусматривать автономные системы связи и сигнализации для сантехнических узлов (туалетов), доступных для МГН. В этом случае диспетчерский пульт системы следует размещать в помещении или в зоне дежурного персонала без подключения к центральному диспетчерскому пульту комплекса.</w:t>
      </w:r>
    </w:p>
    <w:p>
      <w:pPr>
        <w:pStyle w:val="0"/>
        <w:spacing w:before="240" w:lineRule="auto"/>
        <w:ind w:firstLine="540"/>
        <w:jc w:val="both"/>
      </w:pPr>
      <w:r>
        <w:rPr>
          <w:sz w:val="24"/>
          <w:b w:val="on"/>
        </w:rPr>
        <w:t xml:space="preserve">13.2.8 Система электрочасофикации</w:t>
      </w:r>
    </w:p>
    <w:p>
      <w:pPr>
        <w:pStyle w:val="0"/>
        <w:spacing w:before="240" w:lineRule="auto"/>
        <w:ind w:firstLine="540"/>
        <w:jc w:val="both"/>
      </w:pPr>
      <w:r>
        <w:rPr>
          <w:sz w:val="24"/>
        </w:rPr>
        <w:t xml:space="preserve">13.2.8.1 Система электрочасофикации должна обеспечивать синхронизацию точного времени и индикацию сигналов текущего времени в оснащаемых помещениях высотного здания или комплекса.</w:t>
      </w:r>
    </w:p>
    <w:p>
      <w:pPr>
        <w:pStyle w:val="0"/>
        <w:spacing w:before="240" w:lineRule="auto"/>
        <w:ind w:firstLine="540"/>
        <w:jc w:val="both"/>
      </w:pPr>
      <w:r>
        <w:rPr>
          <w:sz w:val="24"/>
        </w:rPr>
        <w:t xml:space="preserve">13.2.8.2 Центральное оборудование системы (сервер точного времени, часовая станция, первичные часы, мастер-часы и прочее) должно быть установлено в блоке диспетчерских помещений (в аппаратной или помещениях ЦПУ).</w:t>
      </w:r>
    </w:p>
    <w:p>
      <w:pPr>
        <w:pStyle w:val="0"/>
        <w:spacing w:before="240" w:lineRule="auto"/>
        <w:ind w:firstLine="540"/>
        <w:jc w:val="both"/>
      </w:pPr>
      <w:r>
        <w:rPr>
          <w:sz w:val="24"/>
        </w:rPr>
        <w:t xml:space="preserve">13.2.8.3 Вторичные часы системы должны быть установлены:</w:t>
      </w:r>
    </w:p>
    <w:p>
      <w:pPr>
        <w:pStyle w:val="0"/>
        <w:spacing w:before="240" w:lineRule="auto"/>
        <w:ind w:firstLine="540"/>
        <w:jc w:val="both"/>
      </w:pPr>
      <w:r>
        <w:rPr>
          <w:sz w:val="24"/>
        </w:rPr>
        <w:t xml:space="preserve">- в гостиницах: в лобби, в вестибюле, на ресепшене, в административных помещениях (в том числе в помещениях ЦПУ блока диспетчерских помещений), в лифтовых холлах, в гостиничных номерах;</w:t>
      </w:r>
    </w:p>
    <w:p>
      <w:pPr>
        <w:pStyle w:val="0"/>
        <w:spacing w:before="240" w:lineRule="auto"/>
        <w:ind w:firstLine="540"/>
        <w:jc w:val="both"/>
      </w:pPr>
      <w:r>
        <w:rPr>
          <w:sz w:val="24"/>
        </w:rPr>
        <w:t xml:space="preserve">- в административных (офисных) зданиях: в вестибюле, на ресепшене, в административных помещениях (в том числе в помещениях ЦПУ блока диспетчерских помещений), в лифтовых холлах, в коридорах на офисных этажах;</w:t>
      </w:r>
    </w:p>
    <w:p>
      <w:pPr>
        <w:pStyle w:val="0"/>
        <w:spacing w:before="240" w:lineRule="auto"/>
        <w:ind w:firstLine="540"/>
        <w:jc w:val="both"/>
      </w:pPr>
      <w:r>
        <w:rPr>
          <w:sz w:val="24"/>
        </w:rPr>
        <w:t xml:space="preserve">- в банковских учреждениях: в вестибюле, на ресепшене, в административных помещениях (в том числе в помещениях ЦПУ блока диспетчерских помещений), в лифтовых холлах;</w:t>
      </w:r>
    </w:p>
    <w:p>
      <w:pPr>
        <w:pStyle w:val="0"/>
        <w:spacing w:before="240" w:lineRule="auto"/>
        <w:ind w:firstLine="540"/>
        <w:jc w:val="both"/>
      </w:pPr>
      <w:r>
        <w:rPr>
          <w:sz w:val="24"/>
        </w:rPr>
        <w:t xml:space="preserve">- в образовательных организациях: в вестибюле, в административных помещениях (в том числе в помещениях ЦПУ блока диспетчерских помещений), в лифтовых холлах, в коридорах, в кабинетах, аудиториях и помещениях, где проводится образовательная или воспитательная деятельность.</w:t>
      </w:r>
    </w:p>
    <w:p>
      <w:pPr>
        <w:pStyle w:val="0"/>
        <w:spacing w:before="240" w:lineRule="auto"/>
        <w:ind w:firstLine="540"/>
        <w:jc w:val="both"/>
      </w:pPr>
      <w:r>
        <w:rPr>
          <w:sz w:val="24"/>
        </w:rPr>
        <w:t xml:space="preserve">Примечание - В гостиничных номерах, в административных помещениях, на ресепшене, в кабинетах и аудиториях следует предусматривать установку бесшумных вторичных часов.</w:t>
      </w:r>
    </w:p>
    <w:p>
      <w:pPr>
        <w:pStyle w:val="0"/>
        <w:jc w:val="both"/>
      </w:pPr>
      <w:r>
        <w:rPr>
          <w:sz w:val="24"/>
        </w:rPr>
      </w:r>
    </w:p>
    <w:p>
      <w:pPr>
        <w:pStyle w:val="0"/>
        <w:ind w:firstLine="540"/>
        <w:jc w:val="both"/>
      </w:pPr>
      <w:r>
        <w:rPr>
          <w:sz w:val="24"/>
          <w:b w:val="on"/>
        </w:rPr>
        <w:t xml:space="preserve">13.2.9 Система усиления сотовой (мобильной) связи</w:t>
      </w:r>
    </w:p>
    <w:p>
      <w:pPr>
        <w:pStyle w:val="0"/>
        <w:spacing w:before="240" w:lineRule="auto"/>
        <w:ind w:firstLine="540"/>
        <w:jc w:val="both"/>
      </w:pPr>
      <w:r>
        <w:rPr>
          <w:sz w:val="24"/>
        </w:rPr>
        <w:t xml:space="preserve">13.2.9.1 Система усиления сотовой (мобильной) связи высотных зданий и комплексов может предусматривать усиление сигнала сотовой (мобильной) на частотах поколений связи 2G, 3G, 4G. Диапазон частоты или частот, на которых необходимо предусматривать усиления сигнала сотовой (мобильной) связи уточняется заданием на проектирование.</w:t>
      </w:r>
    </w:p>
    <w:p>
      <w:pPr>
        <w:pStyle w:val="0"/>
        <w:spacing w:before="240" w:lineRule="auto"/>
        <w:ind w:firstLine="540"/>
        <w:jc w:val="both"/>
      </w:pPr>
      <w:r>
        <w:rPr>
          <w:sz w:val="24"/>
        </w:rPr>
        <w:t xml:space="preserve">13.2.9.2 Для исключения самогенерации (самовозбуждения) репитера необходимо предусматривать "развязку" между донорной (наружной) и сервисными (внутренними) антеннами.</w:t>
      </w:r>
    </w:p>
    <w:p>
      <w:pPr>
        <w:pStyle w:val="0"/>
        <w:spacing w:before="240" w:lineRule="auto"/>
        <w:ind w:firstLine="540"/>
        <w:jc w:val="both"/>
      </w:pPr>
      <w:r>
        <w:rPr>
          <w:sz w:val="24"/>
        </w:rPr>
        <w:t xml:space="preserve">13.2.9.3 Репитеры и бустеры (линейные усилители) следует устанавливать в запираемых боксах, шкафах, щитах в помещениях СС.</w:t>
      </w:r>
    </w:p>
    <w:p>
      <w:pPr>
        <w:pStyle w:val="2"/>
        <w:spacing w:before="240" w:lineRule="auto"/>
        <w:outlineLvl w:val="2"/>
        <w:ind w:firstLine="540"/>
        <w:jc w:val="both"/>
      </w:pPr>
      <w:r>
        <w:rPr>
          <w:sz w:val="24"/>
          <w:b w:val="on"/>
        </w:rPr>
        <w:t xml:space="preserve">13.3 Системы безопасности</w:t>
      </w:r>
    </w:p>
    <w:p>
      <w:pPr>
        <w:pStyle w:val="0"/>
        <w:spacing w:before="240" w:lineRule="auto"/>
        <w:ind w:firstLine="540"/>
        <w:jc w:val="both"/>
      </w:pPr>
      <w:r>
        <w:rPr>
          <w:sz w:val="24"/>
          <w:b w:val="on"/>
        </w:rPr>
        <w:t xml:space="preserve">13.3.1 Общие положения</w:t>
      </w:r>
    </w:p>
    <w:p>
      <w:pPr>
        <w:pStyle w:val="0"/>
        <w:spacing w:before="240" w:lineRule="auto"/>
        <w:ind w:firstLine="540"/>
        <w:jc w:val="both"/>
      </w:pPr>
      <w:r>
        <w:rPr>
          <w:sz w:val="24"/>
        </w:rPr>
        <w:t xml:space="preserve">13.3.1.1 Магистральные сети систем безопасности следует предусматривать с резервированием по отказоустойчивой архитектуре (кольцо, дублирование и прочее).</w:t>
      </w:r>
    </w:p>
    <w:p>
      <w:pPr>
        <w:pStyle w:val="0"/>
        <w:spacing w:before="240" w:lineRule="auto"/>
        <w:ind w:firstLine="540"/>
        <w:jc w:val="both"/>
      </w:pPr>
      <w:r>
        <w:rPr>
          <w:sz w:val="24"/>
        </w:rPr>
        <w:t xml:space="preserve">13.3.1.2 Для систем безопасности высотных зданий и комплексов следует предусматривать отдельные физические кабельные сети, отделенные от других систем связи и систем противопожарной защиты высотного здания или комплекса. Допускается подключение систем автоматизации и диспетчеризации здания в кабельные сети систем безопасности. При этом для систем видеодомофонной связи следует предусматривать отдельные физические кабельные линии и сети, отделенные от других систем безопасности (систем охранно-тревожной сигнализации, систем контроля и управления доступом, систем охранного телевидения).</w:t>
      </w:r>
    </w:p>
    <w:p>
      <w:pPr>
        <w:pStyle w:val="0"/>
        <w:spacing w:before="240" w:lineRule="auto"/>
        <w:ind w:firstLine="540"/>
        <w:jc w:val="both"/>
      </w:pPr>
      <w:r>
        <w:rPr>
          <w:sz w:val="24"/>
        </w:rPr>
        <w:t xml:space="preserve">В случае, если предусмотрена единая локально-вычислительная сеть систем безопасности (всех систем, кроме видеодомофонной связи) высотного здания, то объединение локально-вычислительных сетей отдельных систем следует предусматривать в коммутаторах уровня агрегации соответствующего пожарного отсека или корпуса. При этом следует предусматривать деление на программном уровне (по технологии VLAN или иной) локально-вычислительных сетей систем охранно-тревожной сигнализации и систем контроля и управления доступом, систем охранного телевидения, систем автоматизации и диспетчеризации систем инженерно-технического обеспечения. При проектировании локально-вычислительной сети систем безопасности следует предусматривать запас ее пропускной способности - 50% общей пропускной способности.</w:t>
      </w:r>
    </w:p>
    <w:p>
      <w:pPr>
        <w:pStyle w:val="0"/>
        <w:spacing w:before="240" w:lineRule="auto"/>
        <w:ind w:firstLine="540"/>
        <w:jc w:val="both"/>
      </w:pPr>
      <w:r>
        <w:rPr>
          <w:sz w:val="24"/>
        </w:rPr>
        <w:t xml:space="preserve">13.3.1.3 При построении магистральных сетей систем безопасности на базе оптоволоконных кабелей следует предусматривать запас по количеству волокон не менее 50% общего числа волокон в кабеле.</w:t>
      </w:r>
    </w:p>
    <w:p>
      <w:pPr>
        <w:pStyle w:val="0"/>
        <w:spacing w:before="240" w:lineRule="auto"/>
        <w:ind w:firstLine="540"/>
        <w:jc w:val="both"/>
      </w:pPr>
      <w:r>
        <w:rPr>
          <w:sz w:val="24"/>
        </w:rPr>
        <w:t xml:space="preserve">13.3.1.4 При проектировании систем безопасности следует учитывать требования </w:t>
      </w:r>
      <w:hyperlink w:history="0" r:id="rId326"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w:t>
      </w:r>
    </w:p>
    <w:p>
      <w:pPr>
        <w:pStyle w:val="0"/>
        <w:spacing w:before="240" w:lineRule="auto"/>
        <w:ind w:firstLine="540"/>
        <w:jc w:val="both"/>
      </w:pPr>
      <w:r>
        <w:rPr>
          <w:sz w:val="24"/>
          <w:b w:val="on"/>
        </w:rPr>
        <w:t xml:space="preserve">13.3.2 Система охранно-тревожной сигнализации</w:t>
      </w:r>
    </w:p>
    <w:p>
      <w:pPr>
        <w:pStyle w:val="0"/>
        <w:spacing w:before="240" w:lineRule="auto"/>
        <w:ind w:firstLine="540"/>
        <w:jc w:val="both"/>
      </w:pPr>
      <w:r>
        <w:rPr>
          <w:sz w:val="24"/>
        </w:rPr>
        <w:t xml:space="preserve">13.3.2.1 Система охранно-тревожной сигнализации предназначена для:</w:t>
      </w:r>
    </w:p>
    <w:p>
      <w:pPr>
        <w:pStyle w:val="0"/>
        <w:spacing w:before="240" w:lineRule="auto"/>
        <w:ind w:firstLine="540"/>
        <w:jc w:val="both"/>
      </w:pPr>
      <w:r>
        <w:rPr>
          <w:sz w:val="24"/>
        </w:rPr>
        <w:t xml:space="preserve">- обнаружения попыток и фактов совершения несанкционированных действий, информирования об этих событиях сотрудников службы безопасности для принятия ими соответствующих решений, а также для автоматической подачи необходимых команд управления на исполнительные устройства;</w:t>
      </w:r>
    </w:p>
    <w:p>
      <w:pPr>
        <w:pStyle w:val="0"/>
        <w:spacing w:before="240" w:lineRule="auto"/>
        <w:ind w:firstLine="540"/>
        <w:jc w:val="both"/>
      </w:pPr>
      <w:r>
        <w:rPr>
          <w:sz w:val="24"/>
        </w:rPr>
        <w:t xml:space="preserve">- экстренного вызова групп оперативного реагирования службы безопасности, информирования о фактах совершения противоправных действий (разбойных нападений, хулиганских действий и угроз).</w:t>
      </w:r>
    </w:p>
    <w:p>
      <w:pPr>
        <w:pStyle w:val="0"/>
        <w:spacing w:before="240" w:lineRule="auto"/>
        <w:ind w:firstLine="540"/>
        <w:jc w:val="both"/>
      </w:pPr>
      <w:r>
        <w:rPr>
          <w:sz w:val="24"/>
        </w:rPr>
        <w:t xml:space="preserve">13.3.2.2 Системой охранно-тревожной сигнализации как минимум следует оснащать:</w:t>
      </w:r>
    </w:p>
    <w:p>
      <w:pPr>
        <w:pStyle w:val="0"/>
        <w:spacing w:before="240" w:lineRule="auto"/>
        <w:ind w:firstLine="540"/>
        <w:jc w:val="both"/>
      </w:pPr>
      <w:r>
        <w:rPr>
          <w:sz w:val="24"/>
        </w:rPr>
        <w:t xml:space="preserve">- двери технических помещений - магнитоконтактными извещателями;</w:t>
      </w:r>
    </w:p>
    <w:p>
      <w:pPr>
        <w:pStyle w:val="0"/>
        <w:spacing w:before="240" w:lineRule="auto"/>
        <w:ind w:firstLine="540"/>
        <w:jc w:val="both"/>
      </w:pPr>
      <w:r>
        <w:rPr>
          <w:sz w:val="24"/>
        </w:rPr>
        <w:t xml:space="preserve">- окна административных помещений (в том числе блока диспетчерских помещений) при размещении на первом или цокольном этаже - магнитоконтактными извещателями на открывание, звуковыми поверхностными извещателями на разбитие стекла;</w:t>
      </w:r>
    </w:p>
    <w:p>
      <w:pPr>
        <w:pStyle w:val="0"/>
        <w:spacing w:before="240" w:lineRule="auto"/>
        <w:ind w:firstLine="540"/>
        <w:jc w:val="both"/>
      </w:pPr>
      <w:r>
        <w:rPr>
          <w:sz w:val="24"/>
        </w:rPr>
        <w:t xml:space="preserve">- административные помещения, помещения аппаратной блока диспетчерских помещений, помещения СБ/СПЗ - охранными извещателями (тип определяют при проектировании), обеспечивающими защиту объема помещения;</w:t>
      </w:r>
    </w:p>
    <w:p>
      <w:pPr>
        <w:pStyle w:val="0"/>
        <w:spacing w:before="240" w:lineRule="auto"/>
        <w:ind w:firstLine="540"/>
        <w:jc w:val="both"/>
      </w:pPr>
      <w:r>
        <w:rPr>
          <w:sz w:val="24"/>
        </w:rPr>
        <w:t xml:space="preserve">- зоны или помещения консьержей, ресепшен, КПП - тревожными кнопками;</w:t>
      </w:r>
    </w:p>
    <w:p>
      <w:pPr>
        <w:pStyle w:val="0"/>
        <w:spacing w:before="240" w:lineRule="auto"/>
        <w:ind w:firstLine="540"/>
        <w:jc w:val="both"/>
      </w:pPr>
      <w:r>
        <w:rPr>
          <w:sz w:val="24"/>
        </w:rPr>
        <w:t xml:space="preserve">- двери этажных ниш СБ/СПЗ в жилых зданиях - магнитоконтактными извещателями;</w:t>
      </w:r>
    </w:p>
    <w:p>
      <w:pPr>
        <w:pStyle w:val="0"/>
        <w:spacing w:before="240" w:lineRule="auto"/>
        <w:ind w:firstLine="540"/>
        <w:jc w:val="both"/>
      </w:pPr>
      <w:r>
        <w:rPr>
          <w:sz w:val="24"/>
        </w:rPr>
        <w:t xml:space="preserve">- люки на кровлю - магнитоконтактными извещателями.</w:t>
      </w:r>
    </w:p>
    <w:p>
      <w:pPr>
        <w:pStyle w:val="0"/>
        <w:spacing w:before="240" w:lineRule="auto"/>
        <w:ind w:firstLine="540"/>
        <w:jc w:val="both"/>
      </w:pPr>
      <w:r>
        <w:rPr>
          <w:sz w:val="24"/>
        </w:rPr>
        <w:t xml:space="preserve">Допускается не оснащать средствами системы охранно-тревожной сигнализации двери вышеуказанных помещений, в случае если данные двери оснащаются средствами системы контроля и управления доступом с контролем состояния самой двери.</w:t>
      </w:r>
    </w:p>
    <w:p>
      <w:pPr>
        <w:pStyle w:val="0"/>
        <w:spacing w:before="240" w:lineRule="auto"/>
        <w:ind w:firstLine="540"/>
        <w:jc w:val="both"/>
      </w:pPr>
      <w:r>
        <w:rPr>
          <w:sz w:val="24"/>
        </w:rPr>
        <w:t xml:space="preserve">Допускается дооснащение иных зон и помещений системой охранно-тревожной сигнализации в соответствии с заданием на проектирование.</w:t>
      </w:r>
    </w:p>
    <w:p>
      <w:pPr>
        <w:pStyle w:val="0"/>
        <w:spacing w:before="240" w:lineRule="auto"/>
        <w:ind w:firstLine="540"/>
        <w:jc w:val="both"/>
      </w:pPr>
      <w:r>
        <w:rPr>
          <w:sz w:val="24"/>
        </w:rPr>
        <w:t xml:space="preserve">13.3.2.3 Сигналы тревоги должны выводиться в помещение ЦПУ СБ (пост охраны). В дополнение допускается выводить сигналы тревоги в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13.3.2.4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данном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 Охранные извещатели следует подключать в отдельные приемно-контрольные приборы (контрольные панели) системы охранно-тревожной сигнализации.</w:t>
      </w:r>
    </w:p>
    <w:p>
      <w:pPr>
        <w:pStyle w:val="0"/>
        <w:spacing w:before="240" w:lineRule="auto"/>
        <w:ind w:firstLine="540"/>
        <w:jc w:val="both"/>
      </w:pPr>
      <w:r>
        <w:rPr>
          <w:sz w:val="24"/>
        </w:rPr>
        <w:t xml:space="preserve">13.3.2.5 Приемно-контрольные приборы (контрольные панели) системы охранно-тревожной сигнализации следует размещать в помещениях служб безопасности (ЦПУ СБ, КПП, пост охраны и прочие) или в помещениях СБ/СПЗ соответствующего пожарного отсека или корпуса.</w:t>
      </w:r>
    </w:p>
    <w:p>
      <w:pPr>
        <w:pStyle w:val="0"/>
        <w:spacing w:before="240" w:lineRule="auto"/>
        <w:ind w:firstLine="540"/>
        <w:jc w:val="both"/>
      </w:pPr>
      <w:r>
        <w:rPr>
          <w:sz w:val="24"/>
        </w:rPr>
        <w:t xml:space="preserve">В помещении СБ/СПЗ приемно-контрольные приборы (контрольные панели) рекомендуется размещать в запираемых боксах (шкафах, щитах), оснащаемых датчиком положения двери бокса (шкафа, щита) с выводом информации о состоянии датчиков в помещение ЦПУ СБ или иные помещения с нахождением сотрудников служб безопасности (дополнительные посты охраны, КПП и прочие). При размещении приемно-контрольных приборов (контрольных панелей) в запираемых боксах (шкафах, щитах) рекомендуется в данном боксе также размещать их источники питания.</w:t>
      </w:r>
    </w:p>
    <w:p>
      <w:pPr>
        <w:pStyle w:val="0"/>
        <w:spacing w:before="240" w:lineRule="auto"/>
        <w:ind w:firstLine="540"/>
        <w:jc w:val="both"/>
      </w:pPr>
      <w:r>
        <w:rPr>
          <w:sz w:val="24"/>
        </w:rPr>
        <w:t xml:space="preserve">13.3.2.6 В помещении ЦПУ СБ следует предусматривать АРМ СОТС. Допускается предусматривать единое АРМ для системы охранно-тревожной сигнализации и системы контроля и управления доступом.</w:t>
      </w:r>
    </w:p>
    <w:p>
      <w:pPr>
        <w:pStyle w:val="0"/>
        <w:spacing w:before="240" w:lineRule="auto"/>
        <w:ind w:firstLine="540"/>
        <w:jc w:val="both"/>
      </w:pPr>
      <w:r>
        <w:rPr>
          <w:sz w:val="24"/>
        </w:rPr>
        <w:t xml:space="preserve">13.3.2.7 Системы охранно-тревожной сигнализации следует оснащать источниками (блоками) бесперебойного питания, которые должны обеспечивать работу системы в течение не менее 1 ч в случае пропадания основного электропитания. Данное требование распространяется, в том числе, на АРМ СОТС.</w:t>
      </w:r>
    </w:p>
    <w:p>
      <w:pPr>
        <w:pStyle w:val="0"/>
        <w:spacing w:before="240" w:lineRule="auto"/>
        <w:ind w:firstLine="540"/>
        <w:jc w:val="both"/>
      </w:pPr>
      <w:r>
        <w:rPr>
          <w:sz w:val="24"/>
          <w:b w:val="on"/>
        </w:rPr>
        <w:t xml:space="preserve">13.3.3 Система контроля и управления доступом</w:t>
      </w:r>
    </w:p>
    <w:p>
      <w:pPr>
        <w:pStyle w:val="0"/>
        <w:spacing w:before="240" w:lineRule="auto"/>
        <w:ind w:firstLine="540"/>
        <w:jc w:val="both"/>
      </w:pPr>
      <w:r>
        <w:rPr>
          <w:sz w:val="24"/>
        </w:rPr>
        <w:t xml:space="preserve">13.3.3.1 Система контроля и управления доступом предназначена для контроля и обеспечения санкционированного доступа людей и транспорта в (из) помещения, здания, сооружения, зоны и территории в соответствии с установленным на объекте режимом. СКУД должна обеспечивать исключение (или существенное затруднение) несанкционированного доступа нарушителей в охраняемые зоны и помещения. В случае обнаружения попыток несанкционированного доступа, а также при выявлении фактов силового воздействия на элементы конструкций пропускных устройств и средств системы контроля и управления доступом, соответствующая информация должна быть выведена в помещение ЦПУ СБ (пост охраны) в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13.3.3.2 Системой контроля и управления доступом следует оснащать:</w:t>
      </w:r>
    </w:p>
    <w:p>
      <w:pPr>
        <w:pStyle w:val="0"/>
        <w:spacing w:before="240" w:lineRule="auto"/>
        <w:ind w:firstLine="540"/>
        <w:jc w:val="both"/>
      </w:pPr>
      <w:r>
        <w:rPr>
          <w:sz w:val="24"/>
        </w:rPr>
        <w:t xml:space="preserve">- в жилых зданиях: входы в здание, выходы на кровлю, административные помещения (в том числе помещения ЦПУ блока диспетчерских помещений);</w:t>
      </w:r>
    </w:p>
    <w:p>
      <w:pPr>
        <w:pStyle w:val="0"/>
        <w:spacing w:before="240" w:lineRule="auto"/>
        <w:ind w:firstLine="540"/>
        <w:jc w:val="both"/>
      </w:pPr>
      <w:r>
        <w:rPr>
          <w:sz w:val="24"/>
        </w:rPr>
        <w:t xml:space="preserve">- в гостиницах: служебные входы, выходы на кровлю, административные помещения (в том числе помещения ЦПУ блока диспетчерских помещений), гостиничные номера, входы на этажи с размещением на них гостиничных номеров со стороны эвакуационных лестниц, лифтовые холлы (при наличии дверей);</w:t>
      </w:r>
    </w:p>
    <w:p>
      <w:pPr>
        <w:pStyle w:val="0"/>
        <w:spacing w:before="240" w:lineRule="auto"/>
        <w:ind w:firstLine="540"/>
        <w:jc w:val="both"/>
      </w:pPr>
      <w:r>
        <w:rPr>
          <w:sz w:val="24"/>
        </w:rPr>
        <w:t xml:space="preserve">- в административных (офисных) зданиях: служебные входы, выходы на кровлю, административные помещения (в том числе помещения ЦПУ блока диспетчерских помещений), входы на этажи с размещением на них офисных помещений со стороны эвакуационных лестниц, лифтовые холлы (при наличии дверей), входные группы с размещением турникетов;</w:t>
      </w:r>
    </w:p>
    <w:p>
      <w:pPr>
        <w:pStyle w:val="0"/>
        <w:spacing w:before="240" w:lineRule="auto"/>
        <w:ind w:firstLine="540"/>
        <w:jc w:val="both"/>
      </w:pPr>
      <w:r>
        <w:rPr>
          <w:sz w:val="24"/>
        </w:rPr>
        <w:t xml:space="preserve">- в банковских учреждениях: служебные входы, выходы на кровлю, административные помещения (в том числе помещения ЦПУ блока диспетчерских помещений), служебные помещения;</w:t>
      </w:r>
    </w:p>
    <w:p>
      <w:pPr>
        <w:pStyle w:val="0"/>
        <w:spacing w:before="240" w:lineRule="auto"/>
        <w:ind w:firstLine="540"/>
        <w:jc w:val="both"/>
      </w:pPr>
      <w:r>
        <w:rPr>
          <w:sz w:val="24"/>
        </w:rPr>
        <w:t xml:space="preserve">- в подземной стоянке автомобилей: въезд (выезд), входы, административные помещения (в том числе помещения ЦПУ блока диспетчерских помещений), КПП и иные помещения с размещением дежурного персонала, лифтовые холлы.</w:t>
      </w:r>
    </w:p>
    <w:p>
      <w:pPr>
        <w:pStyle w:val="0"/>
        <w:spacing w:before="240" w:lineRule="auto"/>
        <w:ind w:firstLine="540"/>
        <w:jc w:val="both"/>
      </w:pPr>
      <w:r>
        <w:rPr>
          <w:sz w:val="24"/>
        </w:rPr>
        <w:t xml:space="preserve">Встроенные помещения общественного назначения на первом или цокольном этажах здания (кафе, рестораны, магазины, ателье, парикмахерские и прочие) средствами СКУД не оснащаются.</w:t>
      </w:r>
    </w:p>
    <w:p>
      <w:pPr>
        <w:pStyle w:val="0"/>
        <w:spacing w:before="240" w:lineRule="auto"/>
        <w:ind w:firstLine="540"/>
        <w:jc w:val="both"/>
      </w:pPr>
      <w:r>
        <w:rPr>
          <w:sz w:val="24"/>
        </w:rPr>
        <w:t xml:space="preserve">Примечание - Выходы на кровлю через двери оснащаются средствами СКУД. В случае, если предусмотрены люки, то они оснащаются средствами СОТС.</w:t>
      </w:r>
    </w:p>
    <w:p>
      <w:pPr>
        <w:pStyle w:val="0"/>
        <w:jc w:val="both"/>
      </w:pPr>
      <w:r>
        <w:rPr>
          <w:sz w:val="24"/>
        </w:rPr>
      </w:r>
    </w:p>
    <w:p>
      <w:pPr>
        <w:pStyle w:val="0"/>
        <w:ind w:firstLine="540"/>
        <w:jc w:val="both"/>
      </w:pPr>
      <w:r>
        <w:rPr>
          <w:sz w:val="24"/>
        </w:rPr>
        <w:t xml:space="preserve">Двери данных помещений должны быть оснащены датчиками контроля положения двери. В случае несанкционированного открытия двери, информация об этом должна быть передана дежурному персоналу.</w:t>
      </w:r>
    </w:p>
    <w:p>
      <w:pPr>
        <w:pStyle w:val="0"/>
        <w:spacing w:before="240" w:lineRule="auto"/>
        <w:ind w:firstLine="540"/>
        <w:jc w:val="both"/>
      </w:pPr>
      <w:r>
        <w:rPr>
          <w:sz w:val="24"/>
        </w:rPr>
        <w:t xml:space="preserve">Допускается дооснащение системой контроля и управления доступом иных зон и помещений в соответствии с заданием на проектирование.</w:t>
      </w:r>
    </w:p>
    <w:p>
      <w:pPr>
        <w:pStyle w:val="0"/>
        <w:spacing w:before="240" w:lineRule="auto"/>
        <w:ind w:firstLine="540"/>
        <w:jc w:val="both"/>
      </w:pPr>
      <w:r>
        <w:rPr>
          <w:sz w:val="24"/>
        </w:rPr>
        <w:t xml:space="preserve">13.3.3.3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этом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w:t>
      </w:r>
    </w:p>
    <w:p>
      <w:pPr>
        <w:pStyle w:val="0"/>
        <w:spacing w:before="240" w:lineRule="auto"/>
        <w:ind w:firstLine="540"/>
        <w:jc w:val="both"/>
      </w:pPr>
      <w:r>
        <w:rPr>
          <w:sz w:val="24"/>
        </w:rPr>
        <w:t xml:space="preserve">13.3.3.4 Идентификаторы системы контроля и управления доступом должны быть защищены от клонирования (копирования).</w:t>
      </w:r>
    </w:p>
    <w:p>
      <w:pPr>
        <w:pStyle w:val="0"/>
        <w:spacing w:before="240" w:lineRule="auto"/>
        <w:ind w:firstLine="540"/>
        <w:jc w:val="both"/>
      </w:pPr>
      <w:r>
        <w:rPr>
          <w:sz w:val="24"/>
        </w:rPr>
        <w:t xml:space="preserve">13.3.3.5 Контроллеры (интерфейсные модули, дверные контроллеры и прочие модули и приборы, управляющие точкой доступа СКУД) рекомендуется размещать в запираемых боксах (шкафах, щитах), оснащаемых датчиком положения двери бокса (шкафа, щита) с выводом информации о состоянии датчиков в помещение ЦПУ СБ или иные помещения с нахождением сотрудников служб безопасности (дополнительные посты охраны, КПП и прочие). При размещении контроллеров доступа в запираемых боксах (шкафах, щитах) рекомендуется в данном боксе также размещать их источники питания.</w:t>
      </w:r>
    </w:p>
    <w:p>
      <w:pPr>
        <w:pStyle w:val="0"/>
        <w:spacing w:before="240" w:lineRule="auto"/>
        <w:ind w:firstLine="540"/>
        <w:jc w:val="both"/>
      </w:pPr>
      <w:r>
        <w:rPr>
          <w:sz w:val="24"/>
        </w:rPr>
        <w:t xml:space="preserve">13.3.3.6 Контроллеры (интерфейсные модули, дверные контроллеры и прочие модули и приборы, управляющие точкой доступа СКУД) следует размещать в помещении СБ/СПЗ или в помещениях служб безопасности (ЦПУ СБ, КПП, пост охраны и прочие). Допускается, в обоснованных случаях (слишком большое расстояние от контроллера до точки доступа и прочие), размещать контроллеры в нише СБ/СПЗ или рядом с точкой доступа со стороны защищаемого помещения в запираемых боксах (шкафах, щитах), оснащаемых датчиком положения двери бокса (шкафа, щита) с выводом информации о состоянии датчика в помещение ЦПУ СБ или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13.3.3.7 В высотных зданиях и сооружениях не допускается применение считывателей, совмещенных в едином корпусе с контроллером.</w:t>
      </w:r>
    </w:p>
    <w:p>
      <w:pPr>
        <w:pStyle w:val="0"/>
        <w:spacing w:before="240" w:lineRule="auto"/>
        <w:ind w:firstLine="540"/>
        <w:jc w:val="both"/>
      </w:pPr>
      <w:r>
        <w:rPr>
          <w:sz w:val="24"/>
        </w:rPr>
        <w:t xml:space="preserve">13.3.3.8 Не допускается, чтобы контроллер (интерфейсный модуль, дверной контроллер и прочие модули и приборы, управляющие точкой доступа СКУД) управлял более чем одной точкой доступа (дверью, турникетом, шлагбаумом, шлюзом и прочее). Неисправность контроллера доступа не должна влиять на работу более чем одной точки доступа.</w:t>
      </w:r>
    </w:p>
    <w:p>
      <w:pPr>
        <w:pStyle w:val="0"/>
        <w:spacing w:before="240" w:lineRule="auto"/>
        <w:ind w:firstLine="540"/>
        <w:jc w:val="both"/>
      </w:pPr>
      <w:r>
        <w:rPr>
          <w:sz w:val="24"/>
        </w:rPr>
        <w:t xml:space="preserve">13.3.3.9 Контроллер (интерфейсный модуль, дверной контроллер и прочие модули и приборы, управляющие точкой доступа СКУД) должен обеспечивать автономность работы точки доступа при пропадании связи с центральным оборудованием (сервером, центральным контроллером и прочее).</w:t>
      </w:r>
    </w:p>
    <w:p>
      <w:pPr>
        <w:pStyle w:val="0"/>
        <w:spacing w:before="240" w:lineRule="auto"/>
        <w:ind w:firstLine="540"/>
        <w:jc w:val="both"/>
      </w:pPr>
      <w:r>
        <w:rPr>
          <w:sz w:val="24"/>
        </w:rPr>
        <w:t xml:space="preserve">13.3.3.10 Короткое замыкание и обрыв в линии электропитания контроллеров, считывателей и исполнительных устройств (электромеханические, электромагнитные замки, электромагнитные защелки и прочие подобные устройства) одной точки доступа не должны влиять на электропитание контроллеров, считывателей и исполнительных устройств других точек доступа.</w:t>
      </w:r>
    </w:p>
    <w:p>
      <w:pPr>
        <w:pStyle w:val="0"/>
        <w:spacing w:before="240" w:lineRule="auto"/>
        <w:ind w:firstLine="540"/>
        <w:jc w:val="both"/>
      </w:pPr>
      <w:r>
        <w:rPr>
          <w:sz w:val="24"/>
        </w:rPr>
        <w:t xml:space="preserve">13.3.3.11 Двери эвакуационных выходов, при необходимости, следует оснащать исполнительными устройствами (электромеханические, электромагнитные замки, электромагнитные защелки и прочие), которые при пропадании электропитания остаются в открытом (разблокированном) состоянии. У данных дверей с внутренней стороны помещения следует предусматривать кнопку аварийного выхода, при нажатии которой, электропитание исполнительных устройств (электромеханические, электромагнитные замки, электромагнитные защелки и прочие подобные устройства) прекращается.</w:t>
      </w:r>
    </w:p>
    <w:p>
      <w:pPr>
        <w:pStyle w:val="0"/>
        <w:spacing w:before="240" w:lineRule="auto"/>
        <w:ind w:firstLine="540"/>
        <w:jc w:val="both"/>
      </w:pPr>
      <w:r>
        <w:rPr>
          <w:sz w:val="24"/>
        </w:rPr>
        <w:t xml:space="preserve">13.3.3.12 Следует предусматривать защищенные протоколы связи (с контролем линии связи и оборудования) между контроллером (интерфейсным модулем, дверным контроллером и прочими модулями и приборами, управляющими точкой доступа СКУД) и считывателем.</w:t>
      </w:r>
    </w:p>
    <w:p>
      <w:pPr>
        <w:pStyle w:val="0"/>
        <w:spacing w:before="240" w:lineRule="auto"/>
        <w:ind w:firstLine="540"/>
        <w:jc w:val="both"/>
      </w:pPr>
      <w:r>
        <w:rPr>
          <w:sz w:val="24"/>
        </w:rPr>
        <w:t xml:space="preserve">13.3.3.13 В помещении ЦПУ СБ следует предусматривать АРМ системы. Допускается предусматривать единое АРМ для СОТС и СКУД.</w:t>
      </w:r>
    </w:p>
    <w:p>
      <w:pPr>
        <w:pStyle w:val="0"/>
        <w:spacing w:before="240" w:lineRule="auto"/>
        <w:ind w:firstLine="540"/>
        <w:jc w:val="both"/>
      </w:pPr>
      <w:r>
        <w:rPr>
          <w:sz w:val="24"/>
        </w:rPr>
        <w:t xml:space="preserve">13.3.3.14 Системы контроля и управления доступом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течение не менее 1 ч в случае пропадания основного электропитания. Это требование распространяется, в том числе на АРМ СКУД.</w:t>
      </w:r>
    </w:p>
    <w:p>
      <w:pPr>
        <w:pStyle w:val="0"/>
        <w:spacing w:before="240" w:lineRule="auto"/>
        <w:ind w:firstLine="540"/>
        <w:jc w:val="both"/>
      </w:pPr>
      <w:r>
        <w:rPr>
          <w:sz w:val="24"/>
          <w:b w:val="on"/>
        </w:rPr>
        <w:t xml:space="preserve">13.3.4 Система видеодомофонной связи</w:t>
      </w:r>
    </w:p>
    <w:p>
      <w:pPr>
        <w:pStyle w:val="0"/>
        <w:spacing w:before="240" w:lineRule="auto"/>
        <w:ind w:firstLine="540"/>
        <w:jc w:val="both"/>
      </w:pPr>
      <w:r>
        <w:rPr>
          <w:sz w:val="24"/>
        </w:rPr>
        <w:t xml:space="preserve">13.3.4.1 Система видеодомофонной связи должна быть интегрирована с системой контроля и управления доступом (без интеграции на сетевом уровне IP-протоколов) и должна обеспечивать:</w:t>
      </w:r>
    </w:p>
    <w:p>
      <w:pPr>
        <w:pStyle w:val="0"/>
        <w:spacing w:before="240" w:lineRule="auto"/>
        <w:ind w:firstLine="540"/>
        <w:jc w:val="both"/>
      </w:pPr>
      <w:r>
        <w:rPr>
          <w:sz w:val="24"/>
        </w:rPr>
        <w:t xml:space="preserve">- аудио- и видеосвязь между вызывными панелями и абонентами системы;</w:t>
      </w:r>
    </w:p>
    <w:p>
      <w:pPr>
        <w:pStyle w:val="0"/>
        <w:spacing w:before="240" w:lineRule="auto"/>
        <w:ind w:firstLine="540"/>
        <w:jc w:val="both"/>
      </w:pPr>
      <w:r>
        <w:rPr>
          <w:sz w:val="24"/>
        </w:rPr>
        <w:t xml:space="preserve">- аудио- и видеосвязь между вызывными панелями и консьержем;</w:t>
      </w:r>
    </w:p>
    <w:p>
      <w:pPr>
        <w:pStyle w:val="0"/>
        <w:spacing w:before="240" w:lineRule="auto"/>
        <w:ind w:firstLine="540"/>
        <w:jc w:val="both"/>
      </w:pPr>
      <w:r>
        <w:rPr>
          <w:sz w:val="24"/>
        </w:rPr>
        <w:t xml:space="preserve">- аудио- и видеосвязь между консьержем и абонентами системы;</w:t>
      </w:r>
    </w:p>
    <w:p>
      <w:pPr>
        <w:pStyle w:val="0"/>
        <w:spacing w:before="240" w:lineRule="auto"/>
        <w:ind w:firstLine="540"/>
        <w:jc w:val="both"/>
      </w:pPr>
      <w:r>
        <w:rPr>
          <w:sz w:val="24"/>
        </w:rPr>
        <w:t xml:space="preserve">- аудио- и видеосвязь между вызывными панелями и помещениями служб безопасности объекта (ЦПУ СБ, КПП, посты охраны и прочие помещения);</w:t>
      </w:r>
    </w:p>
    <w:p>
      <w:pPr>
        <w:pStyle w:val="0"/>
        <w:spacing w:before="240" w:lineRule="auto"/>
        <w:ind w:firstLine="540"/>
        <w:jc w:val="both"/>
      </w:pPr>
      <w:r>
        <w:rPr>
          <w:sz w:val="24"/>
        </w:rPr>
        <w:t xml:space="preserve">- аудио- и видеосвязь между абонентами системы и помещениями ЦПУ СБ и ЦПУ СПЗ;</w:t>
      </w:r>
    </w:p>
    <w:p>
      <w:pPr>
        <w:pStyle w:val="0"/>
        <w:spacing w:before="240" w:lineRule="auto"/>
        <w:ind w:firstLine="540"/>
        <w:jc w:val="both"/>
      </w:pPr>
      <w:r>
        <w:rPr>
          <w:sz w:val="24"/>
        </w:rPr>
        <w:t xml:space="preserve">- возможность переадресации вызова от вызывной панели консьержем любому абоненту системы;</w:t>
      </w:r>
    </w:p>
    <w:p>
      <w:pPr>
        <w:pStyle w:val="0"/>
        <w:spacing w:before="240" w:lineRule="auto"/>
        <w:ind w:firstLine="540"/>
        <w:jc w:val="both"/>
      </w:pPr>
      <w:r>
        <w:rPr>
          <w:sz w:val="24"/>
        </w:rPr>
        <w:t xml:space="preserve">- дистанционную разблокировку исполнительных устройств (электромагнитные замки, электрозащелки и т.п.), управляемых абонентами системы;</w:t>
      </w:r>
    </w:p>
    <w:p>
      <w:pPr>
        <w:pStyle w:val="0"/>
        <w:spacing w:before="240" w:lineRule="auto"/>
        <w:ind w:firstLine="540"/>
        <w:jc w:val="both"/>
      </w:pPr>
      <w:r>
        <w:rPr>
          <w:sz w:val="24"/>
        </w:rPr>
        <w:t xml:space="preserve">- возможность использования в качестве абонентского устройства мобильного телефона с предустановленным программным обеспечением (русифицированным).</w:t>
      </w:r>
    </w:p>
    <w:p>
      <w:pPr>
        <w:pStyle w:val="0"/>
        <w:spacing w:before="240" w:lineRule="auto"/>
        <w:ind w:firstLine="540"/>
        <w:jc w:val="both"/>
      </w:pPr>
      <w:r>
        <w:rPr>
          <w:sz w:val="24"/>
        </w:rPr>
        <w:t xml:space="preserve">13.3.4.2 Для систем видеодомофонной связи рекомендуется применять системы на базе IP-технологий.</w:t>
      </w:r>
    </w:p>
    <w:p>
      <w:pPr>
        <w:pStyle w:val="0"/>
        <w:spacing w:before="240" w:lineRule="auto"/>
        <w:ind w:firstLine="540"/>
        <w:jc w:val="both"/>
      </w:pPr>
      <w:r>
        <w:rPr>
          <w:sz w:val="24"/>
        </w:rPr>
        <w:t xml:space="preserve">13.3.4.3 Системы видеодомофонной связи следует предусматривать на базе отдельных физических кабельных сетей. Не допускается использовать кабельные сети систем безопасности (систем охранно-тревожной сигнализации, систем контроля и управления доступом, систем охранного телевидения) и систем связи (структурированные кабельные системы операторов связи и прочих сетей).</w:t>
      </w:r>
    </w:p>
    <w:p>
      <w:pPr>
        <w:pStyle w:val="0"/>
        <w:spacing w:before="240" w:lineRule="auto"/>
        <w:ind w:firstLine="540"/>
        <w:jc w:val="both"/>
      </w:pPr>
      <w:r>
        <w:rPr>
          <w:sz w:val="24"/>
        </w:rPr>
        <w:t xml:space="preserve">13.3.4.4 В жилых высотных зданиях (в жилой функциональной группе высотного здания или комплекса) должна быть предусмотрена возможность подключения к системам видеодомофонной связи каждой квартиры. Распределительное оборудование следует предусматривать в этажной нише СБ/СПЗ на этаже, где находится квартира. В случае, если в качестве распределительного этажного оборудования используется коммутатор, то он должен быть с пассивной системой охлаждения в промышленном исполнении.</w:t>
      </w:r>
    </w:p>
    <w:p>
      <w:pPr>
        <w:pStyle w:val="0"/>
        <w:spacing w:before="240" w:lineRule="auto"/>
        <w:ind w:firstLine="540"/>
        <w:jc w:val="both"/>
      </w:pPr>
      <w:r>
        <w:rPr>
          <w:sz w:val="24"/>
        </w:rPr>
        <w:t xml:space="preserve">13.3.4.5 Допускается устройство систем "умного дома" квартир на базе абонентских устройств видеодомофонной связи.</w:t>
      </w:r>
    </w:p>
    <w:p>
      <w:pPr>
        <w:pStyle w:val="0"/>
        <w:spacing w:before="240" w:lineRule="auto"/>
        <w:ind w:firstLine="540"/>
        <w:jc w:val="both"/>
      </w:pPr>
      <w:r>
        <w:rPr>
          <w:sz w:val="24"/>
        </w:rPr>
        <w:t xml:space="preserve">13.3.4.6 Допускается устройство системы охраны квартир на базе системы видеодомофонной связи с выводом информации в помещение ЦПУ СБ.</w:t>
      </w:r>
    </w:p>
    <w:p>
      <w:pPr>
        <w:pStyle w:val="0"/>
        <w:spacing w:before="240" w:lineRule="auto"/>
        <w:ind w:firstLine="540"/>
        <w:jc w:val="both"/>
      </w:pPr>
      <w:r>
        <w:rPr>
          <w:sz w:val="24"/>
        </w:rPr>
        <w:t xml:space="preserve">13.3.4.7 Допускается применение вызывных панелей видеодомофонной связи со встроенным считывателем с подключением считывателя в систему контроля и управления доступом здания. В данном случае допускается не предусматривать защищенный протокол связи между считывателем и контроллером.</w:t>
      </w:r>
    </w:p>
    <w:p>
      <w:pPr>
        <w:pStyle w:val="0"/>
        <w:spacing w:before="240" w:lineRule="auto"/>
        <w:ind w:firstLine="540"/>
        <w:jc w:val="both"/>
      </w:pPr>
      <w:r>
        <w:rPr>
          <w:sz w:val="24"/>
        </w:rPr>
        <w:t xml:space="preserve">13.3.4.8 В подземной стоянке автомобилей должны быть предусмотрены вызывные панели на въезде в стоянку автомобилей и на выезде из нее. Как минимум, должна быть предусмотрена аудио- и видеосвязь вызывных панелей с помещениями КПП (поста охраны) стоянки автомобилей и помещения ЦПУ СБ.</w:t>
      </w:r>
    </w:p>
    <w:p>
      <w:pPr>
        <w:pStyle w:val="0"/>
        <w:spacing w:before="240" w:lineRule="auto"/>
        <w:ind w:firstLine="540"/>
        <w:jc w:val="both"/>
      </w:pPr>
      <w:r>
        <w:rPr>
          <w:sz w:val="24"/>
          <w:b w:val="on"/>
        </w:rPr>
        <w:t xml:space="preserve">13.3.5 Система охранного телевидения (видеонаблюдения)</w:t>
      </w:r>
    </w:p>
    <w:p>
      <w:pPr>
        <w:pStyle w:val="0"/>
        <w:spacing w:before="240" w:lineRule="auto"/>
        <w:ind w:firstLine="540"/>
        <w:jc w:val="both"/>
      </w:pPr>
      <w:r>
        <w:rPr>
          <w:sz w:val="24"/>
        </w:rPr>
        <w:t xml:space="preserve">13.3.5.1 Система охранного телевидения (видеонаблюдения) предназначена для дистанционного наблюдения за охраняемыми зонами, помещениями, участками и другими областями пространства для оценки текущей обстановки, наблюдения за действиями и продвижением нарушителей, координации действий персонала службы безопасности.</w:t>
      </w:r>
    </w:p>
    <w:p>
      <w:pPr>
        <w:pStyle w:val="0"/>
        <w:spacing w:before="240" w:lineRule="auto"/>
        <w:ind w:firstLine="540"/>
        <w:jc w:val="both"/>
      </w:pPr>
      <w:r>
        <w:rPr>
          <w:sz w:val="24"/>
        </w:rPr>
        <w:t xml:space="preserve">Системы охранного телевидения должны соответствовать требованиям </w:t>
      </w:r>
      <w:hyperlink w:history="0" r:id="rId327" w:tooltip="&quot;ГОСТ Р 51558-2014. Национальный стандарт Российской Федерации. Средства и системы охранные телевизионные. Классификация. Общие технические требования. Методы испытаний&quot; (утв. и введен в действие Приказом Росстандарта от 22.10.2014 N 1371-ст) (ред. от 31.10.2019) {КонсультантПлюс}">
        <w:r>
          <w:rPr>
            <w:sz w:val="24"/>
            <w:color w:val="0000ff"/>
          </w:rPr>
          <w:t xml:space="preserve">ГОСТ Р 51558</w:t>
        </w:r>
      </w:hyperlink>
      <w:r>
        <w:rPr>
          <w:sz w:val="24"/>
        </w:rPr>
        <w:t xml:space="preserve">.</w:t>
      </w:r>
    </w:p>
    <w:p>
      <w:pPr>
        <w:pStyle w:val="0"/>
        <w:spacing w:before="240" w:lineRule="auto"/>
        <w:ind w:firstLine="540"/>
        <w:jc w:val="both"/>
      </w:pPr>
      <w:r>
        <w:rPr>
          <w:sz w:val="24"/>
        </w:rPr>
        <w:t xml:space="preserve">Системы охранного телевидения высотных зданий следует предусматривать на базе сетевых IP-видеокамер.</w:t>
      </w:r>
    </w:p>
    <w:p>
      <w:pPr>
        <w:pStyle w:val="0"/>
        <w:spacing w:before="240" w:lineRule="auto"/>
        <w:ind w:firstLine="540"/>
        <w:jc w:val="both"/>
      </w:pPr>
      <w:r>
        <w:rPr>
          <w:sz w:val="24"/>
        </w:rPr>
        <w:t xml:space="preserve">13.3.5.2 Видеокамеры системы охранного телевидения должны предусматривать обзор следующих зон и помещений:</w:t>
      </w:r>
    </w:p>
    <w:p>
      <w:pPr>
        <w:pStyle w:val="0"/>
        <w:spacing w:before="240" w:lineRule="auto"/>
        <w:ind w:firstLine="540"/>
        <w:jc w:val="both"/>
      </w:pPr>
      <w:r>
        <w:rPr>
          <w:sz w:val="24"/>
        </w:rPr>
        <w:t xml:space="preserve">- входов в здание (в том числе входы на эвакуационные лестницы, служебные входы);</w:t>
      </w:r>
    </w:p>
    <w:p>
      <w:pPr>
        <w:pStyle w:val="0"/>
        <w:spacing w:before="240" w:lineRule="auto"/>
        <w:ind w:firstLine="540"/>
        <w:jc w:val="both"/>
      </w:pPr>
      <w:r>
        <w:rPr>
          <w:sz w:val="24"/>
        </w:rPr>
        <w:t xml:space="preserve">- помещений блока диспетчерских помещений: ЦПУ ИС, ЦПУ СБ, ЦПУ СПЗ, аппаратной, коридора (при наличии), входа в блок диспетчерских помещений;</w:t>
      </w:r>
    </w:p>
    <w:p>
      <w:pPr>
        <w:pStyle w:val="0"/>
        <w:spacing w:before="240" w:lineRule="auto"/>
        <w:ind w:firstLine="540"/>
        <w:jc w:val="both"/>
      </w:pPr>
      <w:r>
        <w:rPr>
          <w:sz w:val="24"/>
        </w:rPr>
        <w:t xml:space="preserve">- административных помещений;</w:t>
      </w:r>
    </w:p>
    <w:p>
      <w:pPr>
        <w:pStyle w:val="0"/>
        <w:spacing w:before="240" w:lineRule="auto"/>
        <w:ind w:firstLine="540"/>
        <w:jc w:val="both"/>
      </w:pPr>
      <w:r>
        <w:rPr>
          <w:sz w:val="24"/>
        </w:rPr>
        <w:t xml:space="preserve">- вестибюлей, входных групп, лобби, лифтовых холлов первого этажа;</w:t>
      </w:r>
    </w:p>
    <w:p>
      <w:pPr>
        <w:pStyle w:val="0"/>
        <w:spacing w:before="240" w:lineRule="auto"/>
        <w:ind w:firstLine="540"/>
        <w:jc w:val="both"/>
      </w:pPr>
      <w:r>
        <w:rPr>
          <w:sz w:val="24"/>
        </w:rPr>
        <w:t xml:space="preserve">- помещений колясочных, хранения багажа, раздевалок (помещения хранения верхней одежды);</w:t>
      </w:r>
    </w:p>
    <w:p>
      <w:pPr>
        <w:pStyle w:val="0"/>
        <w:spacing w:before="240" w:lineRule="auto"/>
        <w:ind w:firstLine="540"/>
        <w:jc w:val="both"/>
      </w:pPr>
      <w:r>
        <w:rPr>
          <w:sz w:val="24"/>
        </w:rPr>
        <w:t xml:space="preserve">- лифтовых холлов всех функциональных групп, кроме жилых зданий;</w:t>
      </w:r>
    </w:p>
    <w:p>
      <w:pPr>
        <w:pStyle w:val="0"/>
        <w:spacing w:before="240" w:lineRule="auto"/>
        <w:ind w:firstLine="540"/>
        <w:jc w:val="both"/>
      </w:pPr>
      <w:r>
        <w:rPr>
          <w:sz w:val="24"/>
        </w:rPr>
        <w:t xml:space="preserve">- коридоров всех функциональных групп, кроме жилых зданий;</w:t>
      </w:r>
    </w:p>
    <w:p>
      <w:pPr>
        <w:pStyle w:val="0"/>
        <w:spacing w:before="240" w:lineRule="auto"/>
        <w:ind w:firstLine="540"/>
        <w:jc w:val="both"/>
      </w:pPr>
      <w:r>
        <w:rPr>
          <w:sz w:val="24"/>
        </w:rPr>
        <w:t xml:space="preserve">- кабинетов, аудиторий и помещений, где проводится образовательная или воспитательная деятельность (в зданиях образования, воспитания и подготовки кадров);</w:t>
      </w:r>
    </w:p>
    <w:p>
      <w:pPr>
        <w:pStyle w:val="0"/>
        <w:spacing w:before="240" w:lineRule="auto"/>
        <w:ind w:firstLine="540"/>
        <w:jc w:val="both"/>
      </w:pPr>
      <w:r>
        <w:rPr>
          <w:sz w:val="24"/>
        </w:rPr>
        <w:t xml:space="preserve">- периметров здания при наличии остекленных проемов, витражей, панорамного остекления;</w:t>
      </w:r>
    </w:p>
    <w:p>
      <w:pPr>
        <w:pStyle w:val="0"/>
        <w:spacing w:before="240" w:lineRule="auto"/>
        <w:ind w:firstLine="540"/>
        <w:jc w:val="both"/>
      </w:pPr>
      <w:r>
        <w:rPr>
          <w:sz w:val="24"/>
        </w:rPr>
        <w:t xml:space="preserve">- контрольно-пропускных пунктов и подходов к внешним контрольно-пропускным пунктам;</w:t>
      </w:r>
    </w:p>
    <w:p>
      <w:pPr>
        <w:pStyle w:val="0"/>
        <w:spacing w:before="240" w:lineRule="auto"/>
        <w:ind w:firstLine="540"/>
        <w:jc w:val="both"/>
      </w:pPr>
      <w:r>
        <w:rPr>
          <w:sz w:val="24"/>
        </w:rPr>
        <w:t xml:space="preserve">- периметров ограждения территории объекта (при наличии);</w:t>
      </w:r>
    </w:p>
    <w:p>
      <w:pPr>
        <w:pStyle w:val="0"/>
        <w:spacing w:before="240" w:lineRule="auto"/>
        <w:ind w:firstLine="540"/>
        <w:jc w:val="both"/>
      </w:pPr>
      <w:r>
        <w:rPr>
          <w:sz w:val="24"/>
        </w:rPr>
        <w:t xml:space="preserve">- придомовых территорий стоянок автомобилей;</w:t>
      </w:r>
    </w:p>
    <w:p>
      <w:pPr>
        <w:pStyle w:val="0"/>
        <w:spacing w:before="240" w:lineRule="auto"/>
        <w:ind w:firstLine="540"/>
        <w:jc w:val="both"/>
      </w:pPr>
      <w:r>
        <w:rPr>
          <w:sz w:val="24"/>
        </w:rPr>
        <w:t xml:space="preserve">- въездов (выездов) в придомовую территорию стоянок автомобилей;</w:t>
      </w:r>
    </w:p>
    <w:p>
      <w:pPr>
        <w:pStyle w:val="0"/>
        <w:spacing w:before="240" w:lineRule="auto"/>
        <w:ind w:firstLine="540"/>
        <w:jc w:val="both"/>
      </w:pPr>
      <w:r>
        <w:rPr>
          <w:sz w:val="24"/>
        </w:rPr>
        <w:t xml:space="preserve">- придомовых игровых и детских площадок;</w:t>
      </w:r>
    </w:p>
    <w:p>
      <w:pPr>
        <w:pStyle w:val="0"/>
        <w:spacing w:before="240" w:lineRule="auto"/>
        <w:ind w:firstLine="540"/>
        <w:jc w:val="both"/>
      </w:pPr>
      <w:r>
        <w:rPr>
          <w:sz w:val="24"/>
        </w:rPr>
        <w:t xml:space="preserve">- проездов автомобилей в подземных стоянках автомобилей;</w:t>
      </w:r>
    </w:p>
    <w:p>
      <w:pPr>
        <w:pStyle w:val="0"/>
        <w:spacing w:before="240" w:lineRule="auto"/>
        <w:ind w:firstLine="540"/>
        <w:jc w:val="both"/>
      </w:pPr>
      <w:r>
        <w:rPr>
          <w:sz w:val="24"/>
        </w:rPr>
        <w:t xml:space="preserve">- въездов и выездов из подземной стоянки автомобилей;</w:t>
      </w:r>
    </w:p>
    <w:p>
      <w:pPr>
        <w:pStyle w:val="0"/>
        <w:spacing w:before="240" w:lineRule="auto"/>
        <w:ind w:firstLine="540"/>
        <w:jc w:val="both"/>
      </w:pPr>
      <w:r>
        <w:rPr>
          <w:sz w:val="24"/>
        </w:rPr>
        <w:t xml:space="preserve">- помещений СС, помещений СБ/СПЗ;</w:t>
      </w:r>
    </w:p>
    <w:p>
      <w:pPr>
        <w:pStyle w:val="0"/>
        <w:spacing w:before="240" w:lineRule="auto"/>
        <w:ind w:firstLine="540"/>
        <w:jc w:val="both"/>
      </w:pPr>
      <w:r>
        <w:rPr>
          <w:sz w:val="24"/>
        </w:rPr>
        <w:t xml:space="preserve">- выходов на кровлю;</w:t>
      </w:r>
    </w:p>
    <w:p>
      <w:pPr>
        <w:pStyle w:val="0"/>
        <w:spacing w:before="240" w:lineRule="auto"/>
        <w:ind w:firstLine="540"/>
        <w:jc w:val="both"/>
      </w:pPr>
      <w:r>
        <w:rPr>
          <w:sz w:val="24"/>
        </w:rPr>
        <w:t xml:space="preserve">- лифтовых кабин;</w:t>
      </w:r>
    </w:p>
    <w:p>
      <w:pPr>
        <w:pStyle w:val="0"/>
        <w:spacing w:before="240" w:lineRule="auto"/>
        <w:ind w:firstLine="540"/>
        <w:jc w:val="both"/>
      </w:pPr>
      <w:r>
        <w:rPr>
          <w:sz w:val="24"/>
        </w:rPr>
        <w:t xml:space="preserve">- входов и выходов с эскалаторов и подъемных платформ для МГН;</w:t>
      </w:r>
    </w:p>
    <w:p>
      <w:pPr>
        <w:pStyle w:val="0"/>
        <w:spacing w:before="240" w:lineRule="auto"/>
        <w:ind w:firstLine="540"/>
        <w:jc w:val="both"/>
      </w:pPr>
      <w:r>
        <w:rPr>
          <w:sz w:val="24"/>
        </w:rPr>
        <w:t xml:space="preserve">- прочих помещений и зон в соответствии с заданием на проектирование и требованиями нормативных документов.</w:t>
      </w:r>
    </w:p>
    <w:p>
      <w:pPr>
        <w:pStyle w:val="0"/>
        <w:spacing w:before="240" w:lineRule="auto"/>
        <w:ind w:firstLine="540"/>
        <w:jc w:val="both"/>
      </w:pPr>
      <w:r>
        <w:rPr>
          <w:sz w:val="24"/>
        </w:rPr>
        <w:t xml:space="preserve">13.3.5.3 Кабельные линии связи видеокамер, устанавливаемых на кровле здания, должны быть оснащены средствами молниезащиты.</w:t>
      </w:r>
    </w:p>
    <w:p>
      <w:pPr>
        <w:pStyle w:val="0"/>
        <w:spacing w:before="240" w:lineRule="auto"/>
        <w:ind w:firstLine="540"/>
        <w:jc w:val="both"/>
      </w:pPr>
      <w:r>
        <w:rPr>
          <w:sz w:val="24"/>
        </w:rPr>
        <w:t xml:space="preserve">13.3.5.4 Система охранного телевидения высотных зданий и комплексов должна предусматривать архив в течение не менее 30 сут (дн).</w:t>
      </w:r>
    </w:p>
    <w:p>
      <w:pPr>
        <w:pStyle w:val="0"/>
        <w:spacing w:before="240" w:lineRule="auto"/>
        <w:ind w:firstLine="540"/>
        <w:jc w:val="both"/>
      </w:pPr>
      <w:r>
        <w:rPr>
          <w:sz w:val="24"/>
        </w:rPr>
        <w:t xml:space="preserve">Допускается производить расчет архива с учетом записи по детекции движения. При расчете архива по детекции движения время записи принимается:</w:t>
      </w:r>
    </w:p>
    <w:p>
      <w:pPr>
        <w:pStyle w:val="0"/>
        <w:spacing w:before="240" w:lineRule="auto"/>
        <w:ind w:firstLine="540"/>
        <w:jc w:val="both"/>
      </w:pPr>
      <w:r>
        <w:rPr>
          <w:sz w:val="24"/>
        </w:rPr>
        <w:t xml:space="preserve">- для жилых зданий и подземных автостоянок жилых зданий - не менее 8 ч в сутки;</w:t>
      </w:r>
    </w:p>
    <w:p>
      <w:pPr>
        <w:pStyle w:val="0"/>
        <w:spacing w:before="240" w:lineRule="auto"/>
        <w:ind w:firstLine="540"/>
        <w:jc w:val="both"/>
      </w:pPr>
      <w:r>
        <w:rPr>
          <w:sz w:val="24"/>
        </w:rPr>
        <w:t xml:space="preserve">- для остальных типов зданий - не менее 12 ч в сутки.</w:t>
      </w:r>
    </w:p>
    <w:p>
      <w:pPr>
        <w:pStyle w:val="0"/>
        <w:spacing w:before="240" w:lineRule="auto"/>
        <w:ind w:firstLine="540"/>
        <w:jc w:val="both"/>
      </w:pPr>
      <w:r>
        <w:rPr>
          <w:sz w:val="24"/>
        </w:rPr>
        <w:t xml:space="preserve">Разрешение записываемых видеоданных должно быть не менее 1920 x 1080 (FullHD), скорость записи не менее 12 кадров в секунду.</w:t>
      </w:r>
    </w:p>
    <w:p>
      <w:pPr>
        <w:pStyle w:val="0"/>
        <w:spacing w:before="240" w:lineRule="auto"/>
        <w:ind w:firstLine="540"/>
        <w:jc w:val="both"/>
      </w:pPr>
      <w:r>
        <w:rPr>
          <w:sz w:val="24"/>
        </w:rPr>
        <w:t xml:space="preserve">13.3.5.5 Уличные видеокамеры должны быть оснащены инфракрасной (ИК) подсветкой, которая может быть встроена в корпус видеокамеры либо выполнена отдельными ИК-прожекторами.</w:t>
      </w:r>
    </w:p>
    <w:p>
      <w:pPr>
        <w:pStyle w:val="0"/>
        <w:spacing w:before="240" w:lineRule="auto"/>
        <w:ind w:firstLine="540"/>
        <w:jc w:val="both"/>
      </w:pPr>
      <w:r>
        <w:rPr>
          <w:sz w:val="24"/>
        </w:rPr>
        <w:t xml:space="preserve">13.3.5.6 Для видеокамер, осуществляющих наблюдение за коридорами, проходами между стеллажами, периметром ограждения территории или здания следует использовать видеокамеры с "коридорным" форматом изображения.</w:t>
      </w:r>
    </w:p>
    <w:p>
      <w:pPr>
        <w:pStyle w:val="0"/>
        <w:spacing w:before="240" w:lineRule="auto"/>
        <w:ind w:firstLine="540"/>
        <w:jc w:val="both"/>
      </w:pPr>
      <w:r>
        <w:rPr>
          <w:sz w:val="24"/>
        </w:rPr>
        <w:t xml:space="preserve">13.3.5.7 При проектировании локально-вычислительной сети системы охранного телевидения следует предусматривать запас пропускной способности такой сети - 50% общей пропускной способности.</w:t>
      </w:r>
    </w:p>
    <w:p>
      <w:pPr>
        <w:pStyle w:val="0"/>
        <w:spacing w:before="240" w:lineRule="auto"/>
        <w:ind w:firstLine="540"/>
        <w:jc w:val="both"/>
      </w:pPr>
      <w:r>
        <w:rPr>
          <w:sz w:val="24"/>
        </w:rPr>
        <w:t xml:space="preserve">13.3.5.8 Подключение уличных IP-видеокамер следует предусматривать разъемами полевой заделки.</w:t>
      </w:r>
    </w:p>
    <w:p>
      <w:pPr>
        <w:pStyle w:val="0"/>
        <w:spacing w:before="240" w:lineRule="auto"/>
        <w:ind w:firstLine="540"/>
        <w:jc w:val="both"/>
      </w:pPr>
      <w:r>
        <w:rPr>
          <w:sz w:val="24"/>
        </w:rPr>
        <w:t xml:space="preserve">13.3.5.9 Коммутаторы с активным охлаждением (вентиляторами) допускается устанавливать в помещениях СБ/СПЗ, аппаратной блока диспетчерских помещений и прочих помещениях, предназначенных для установки оборудования систем безопасности. В случае, если коммутатор устанавливается в запираемых нишах, шкафах, боксах вне помещений, предназначенных для установки оборудования систем безопасности, то необходимо применять коммутаторы с пассивным охлаждением промышленного исполнения.</w:t>
      </w:r>
    </w:p>
    <w:p>
      <w:pPr>
        <w:pStyle w:val="0"/>
        <w:spacing w:before="240" w:lineRule="auto"/>
        <w:ind w:firstLine="540"/>
        <w:jc w:val="both"/>
      </w:pPr>
      <w:r>
        <w:rPr>
          <w:sz w:val="24"/>
        </w:rPr>
        <w:t xml:space="preserve">13.3.5.10 Серверы видеонаблюдения, сетевые видеорегистраторы (NVR) и прочие устройства, выполняющие функции записи и хранения видеоданных следует устанавливать в помещении аппаратной блока диспетчерских помещений или в помещениях СБ/СПЗ.</w:t>
      </w:r>
    </w:p>
    <w:p>
      <w:pPr>
        <w:pStyle w:val="0"/>
        <w:spacing w:before="240" w:lineRule="auto"/>
        <w:ind w:firstLine="540"/>
        <w:jc w:val="both"/>
      </w:pPr>
      <w:r>
        <w:rPr>
          <w:sz w:val="24"/>
        </w:rPr>
        <w:t xml:space="preserve">13.3.5.11 В помещении ЦПУ СБ следует предусматривать установку автоматизированных рабочих мест с отображением видеоизображений. В дополнение допускается установка автоматизированных рабочих мест с отображением видеоизображений в иных помещениях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13.3.5.12 Системы охранного телевидения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течение не менее 1 ч в случае пропадания основного электропитания. Данное требование распространяется, в том числе на АРМ СОТ.</w:t>
      </w:r>
    </w:p>
    <w:p>
      <w:pPr>
        <w:pStyle w:val="2"/>
        <w:spacing w:before="240" w:lineRule="auto"/>
        <w:outlineLvl w:val="2"/>
        <w:ind w:firstLine="540"/>
        <w:jc w:val="both"/>
      </w:pPr>
      <w:r>
        <w:rPr>
          <w:sz w:val="24"/>
          <w:b w:val="on"/>
        </w:rPr>
        <w:t xml:space="preserve">13.4 Системы противопожарной защиты</w:t>
      </w:r>
    </w:p>
    <w:p>
      <w:pPr>
        <w:pStyle w:val="0"/>
        <w:spacing w:before="240" w:lineRule="auto"/>
        <w:ind w:firstLine="540"/>
        <w:jc w:val="both"/>
      </w:pPr>
      <w:r>
        <w:rPr>
          <w:sz w:val="24"/>
          <w:b w:val="on"/>
        </w:rPr>
        <w:t xml:space="preserve">13.4.1 Общие положения</w:t>
      </w:r>
    </w:p>
    <w:p>
      <w:pPr>
        <w:pStyle w:val="0"/>
        <w:spacing w:before="240" w:lineRule="auto"/>
        <w:ind w:firstLine="540"/>
        <w:jc w:val="both"/>
      </w:pPr>
      <w:r>
        <w:rPr>
          <w:sz w:val="24"/>
        </w:rPr>
        <w:t xml:space="preserve">13.4.1.1 Системы противопожарной защиты высотных зданий и комплексов следует предусматривать в соответствии с </w:t>
      </w:r>
      <w:hyperlink w:history="0" r:id="rId328"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29"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едиными (интегрированными) для всего здания (комплекса) с учетом деления по пожарным отсекам. Оборудование разных пожарных отсеков должно быть интегрировано (объединено) с управлением и мониторингом из помещения ЦПУ СПЗ.</w:t>
      </w:r>
    </w:p>
    <w:p>
      <w:pPr>
        <w:pStyle w:val="0"/>
        <w:spacing w:before="240" w:lineRule="auto"/>
        <w:ind w:firstLine="540"/>
        <w:jc w:val="both"/>
      </w:pPr>
      <w:r>
        <w:rPr>
          <w:sz w:val="24"/>
        </w:rPr>
        <w:t xml:space="preserve">13.4.1.2 Для систем противопожарной защиты высотных зданий и комплексов следует предусматривать отдельные физические кабельные сети, отделенные от других систем связи и систем безопасности высотного здания или комплекса.</w:t>
      </w:r>
    </w:p>
    <w:p>
      <w:pPr>
        <w:pStyle w:val="0"/>
        <w:spacing w:before="240" w:lineRule="auto"/>
        <w:ind w:firstLine="540"/>
        <w:jc w:val="both"/>
      </w:pPr>
      <w:r>
        <w:rPr>
          <w:sz w:val="24"/>
        </w:rPr>
        <w:t xml:space="preserve">13.4.1.3 Кабельные линии связи систем противопожарной защиты следует предусматривать в соответствии с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3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и </w:t>
      </w:r>
      <w:hyperlink w:history="0" r:id="rId33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b w:val="on"/>
        </w:rPr>
        <w:t xml:space="preserve">13.4.2 Система пожарной автоматики</w:t>
      </w:r>
    </w:p>
    <w:p>
      <w:pPr>
        <w:pStyle w:val="0"/>
        <w:spacing w:before="240" w:lineRule="auto"/>
        <w:ind w:firstLine="540"/>
        <w:jc w:val="both"/>
      </w:pPr>
      <w:r>
        <w:rPr>
          <w:sz w:val="24"/>
        </w:rPr>
        <w:t xml:space="preserve">13.4.2.1 Проектирование систем пожарной автоматики осуществлять в соответствии с </w:t>
      </w:r>
      <w:hyperlink w:history="0" r:id="rId332"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w:t>
      </w:r>
      <w:hyperlink w:history="0" r:id="rId333"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w:t>
      </w:r>
      <w:hyperlink w:history="0" w:anchor="P3092" w:tooltip="[7] 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w:r>
          <w:rPr>
            <w:sz w:val="24"/>
            <w:color w:val="0000ff"/>
          </w:rPr>
          <w:t xml:space="preserve">[7]</w:t>
        </w:r>
      </w:hyperlink>
      <w:r>
        <w:rPr>
          <w:sz w:val="24"/>
        </w:rPr>
        <w:t xml:space="preserve">.</w:t>
      </w:r>
    </w:p>
    <w:p>
      <w:pPr>
        <w:pStyle w:val="0"/>
        <w:spacing w:before="240" w:lineRule="auto"/>
        <w:ind w:firstLine="540"/>
        <w:jc w:val="both"/>
      </w:pPr>
      <w:r>
        <w:rPr>
          <w:sz w:val="24"/>
        </w:rPr>
        <w:t xml:space="preserve">13.4.2.2 Не допускается применение отдельных станций управления активной пожарной защитой (в том числе для модульных установок газового пожаротушения, установок пожаротушения тонкораспыленной водой и прочих модульных установок пожаротушения) и станций пожарной сигнализации, не интегрированных в общую СПА.</w:t>
      </w:r>
    </w:p>
    <w:p>
      <w:pPr>
        <w:pStyle w:val="0"/>
        <w:spacing w:before="240" w:lineRule="auto"/>
        <w:ind w:firstLine="540"/>
        <w:jc w:val="both"/>
      </w:pPr>
      <w:r>
        <w:rPr>
          <w:sz w:val="24"/>
          <w:b w:val="on"/>
        </w:rPr>
        <w:t xml:space="preserve">13.4.3 Система пожарной сигнализации</w:t>
      </w:r>
    </w:p>
    <w:p>
      <w:pPr>
        <w:pStyle w:val="0"/>
        <w:spacing w:before="240" w:lineRule="auto"/>
        <w:ind w:firstLine="540"/>
        <w:jc w:val="both"/>
      </w:pPr>
      <w:r>
        <w:rPr>
          <w:sz w:val="24"/>
        </w:rPr>
        <w:t xml:space="preserve">13.4.3.1 Системы автоматической пожарной сигнализации следует предусматривать в соответствии с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34"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35"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13.4.3.2 Элементы системы, участвующие в формировании сигналов управления, следует располагать вне зон ограниченного доступа (квартиры, офисы, арендуемые помещения).</w:t>
      </w:r>
    </w:p>
    <w:p>
      <w:pPr>
        <w:pStyle w:val="0"/>
        <w:spacing w:before="240" w:lineRule="auto"/>
        <w:ind w:firstLine="540"/>
        <w:jc w:val="both"/>
      </w:pPr>
      <w:r>
        <w:rPr>
          <w:sz w:val="24"/>
          <w:b w:val="on"/>
        </w:rPr>
        <w:t xml:space="preserve">13.4.4 Система оповещения и управления эвакуацией</w:t>
      </w:r>
    </w:p>
    <w:p>
      <w:pPr>
        <w:pStyle w:val="0"/>
        <w:spacing w:before="240" w:lineRule="auto"/>
        <w:ind w:firstLine="540"/>
        <w:jc w:val="both"/>
      </w:pPr>
      <w:r>
        <w:rPr>
          <w:sz w:val="24"/>
        </w:rPr>
        <w:t xml:space="preserve">13.4.4.1 Систему оповещения и управления эвакуацией высотного здания следует разрабатывать в соответствии с </w:t>
      </w:r>
      <w:hyperlink w:history="0" r:id="rId336"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13.4.4.2 Система оповещения и управления эвакуацией высотного здания или комплекса должна быть сопряжена с региональной системой оповещения. В качестве системы этажного оповещения жилых зданий использовать рекомендуется систему оповещения и управления эвакуацией.</w:t>
      </w:r>
    </w:p>
    <w:p>
      <w:pPr>
        <w:pStyle w:val="0"/>
        <w:spacing w:before="240" w:lineRule="auto"/>
        <w:ind w:firstLine="540"/>
        <w:jc w:val="both"/>
      </w:pPr>
      <w:r>
        <w:rPr>
          <w:sz w:val="24"/>
        </w:rPr>
        <w:t xml:space="preserve">13.4.4.3 Мастер-станции должны обеспечивать адресацию каждого переговорного устройства. Мастер-станция должна иметь возможность вызывать каждую абонентскую станцию. Мастер-станция должна иметь возможность определения переговорного устройства, с которого поступает вызов.</w:t>
      </w:r>
    </w:p>
    <w:p>
      <w:pPr>
        <w:pStyle w:val="0"/>
        <w:spacing w:before="240" w:lineRule="auto"/>
        <w:ind w:firstLine="540"/>
        <w:jc w:val="both"/>
      </w:pPr>
      <w:r>
        <w:rPr>
          <w:sz w:val="24"/>
        </w:rPr>
        <w:t xml:space="preserve">13.4.4.4 Допускается систему двусторонней переговорной громкоговорящей связи использовать в качестве систем связи и сигнализации для МГН, при соблюдении требований настоящего свода правил к обеим системам.</w:t>
      </w:r>
    </w:p>
    <w:p>
      <w:pPr>
        <w:pStyle w:val="2"/>
        <w:spacing w:before="240" w:lineRule="auto"/>
        <w:outlineLvl w:val="2"/>
        <w:ind w:firstLine="540"/>
        <w:jc w:val="both"/>
      </w:pPr>
      <w:r>
        <w:rPr>
          <w:sz w:val="24"/>
          <w:b w:val="on"/>
        </w:rPr>
        <w:t xml:space="preserve">13.5 Системы автоматизации и диспетчеризации инженерного оборудования</w:t>
      </w:r>
    </w:p>
    <w:p>
      <w:pPr>
        <w:pStyle w:val="0"/>
        <w:spacing w:before="240" w:lineRule="auto"/>
        <w:ind w:firstLine="540"/>
        <w:jc w:val="both"/>
      </w:pPr>
      <w:r>
        <w:rPr>
          <w:sz w:val="24"/>
          <w:b w:val="on"/>
        </w:rPr>
        <w:t xml:space="preserve">13.5.1 Автоматизированная система управления и диспетчеризации инженерного оборудования</w:t>
      </w:r>
    </w:p>
    <w:p>
      <w:pPr>
        <w:pStyle w:val="0"/>
        <w:spacing w:before="240" w:lineRule="auto"/>
        <w:ind w:firstLine="540"/>
        <w:jc w:val="both"/>
      </w:pPr>
      <w:r>
        <w:rPr>
          <w:sz w:val="24"/>
        </w:rPr>
        <w:t xml:space="preserve">13.5.1.1 Автоматизированная система управления и диспетчеризации инженерного оборудования высотного здания должна быть выполнена в соответствии с </w:t>
      </w:r>
      <w:hyperlink w:history="0" r:id="rId337"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обеспечивать централизованный мониторинг, управление и диспетчеризацию оборудования систем инженерно-технического обеспечения и представлять собой гибкую, свободно программируемую распределенную систему. При этом, удаленное управление оборудованием систем инженерно-технического обеспечения допускается лишь при обеспечении приемлемого уровня безопасности жизни и здоровья людей, имущества, окружающей среды.</w:t>
      </w:r>
    </w:p>
    <w:p>
      <w:pPr>
        <w:pStyle w:val="0"/>
        <w:spacing w:before="240" w:lineRule="auto"/>
        <w:ind w:firstLine="540"/>
        <w:jc w:val="both"/>
      </w:pPr>
      <w:r>
        <w:rPr>
          <w:sz w:val="24"/>
        </w:rPr>
        <w:t xml:space="preserve">13.5.1.2 Структура АСУД должна быть многоуровневой:</w:t>
      </w:r>
    </w:p>
    <w:p>
      <w:pPr>
        <w:pStyle w:val="0"/>
        <w:spacing w:before="240" w:lineRule="auto"/>
        <w:ind w:firstLine="540"/>
        <w:jc w:val="both"/>
      </w:pPr>
      <w:r>
        <w:rPr>
          <w:sz w:val="24"/>
        </w:rPr>
        <w:t xml:space="preserve">- уровень 1 - первичные датчики и исполнительные устройства, полевые контроллеры с технологией DDC (прямое цифровое управление) или PLC (программируемые логические контроллеры), локальные панели и пульты управления оборудованием;</w:t>
      </w:r>
    </w:p>
    <w:p>
      <w:pPr>
        <w:pStyle w:val="0"/>
        <w:spacing w:before="240" w:lineRule="auto"/>
        <w:ind w:firstLine="540"/>
        <w:jc w:val="both"/>
      </w:pPr>
      <w:r>
        <w:rPr>
          <w:sz w:val="24"/>
        </w:rPr>
        <w:t xml:space="preserve">- уровень 2 - сетевые процессоры, шлюзы данных;</w:t>
      </w:r>
    </w:p>
    <w:p>
      <w:pPr>
        <w:pStyle w:val="0"/>
        <w:spacing w:before="240" w:lineRule="auto"/>
        <w:ind w:firstLine="540"/>
        <w:jc w:val="both"/>
      </w:pPr>
      <w:r>
        <w:rPr>
          <w:sz w:val="24"/>
        </w:rPr>
        <w:t xml:space="preserve">- уровень 3 - автоматизированные рабочие места диспетчеров, станции визуализации со специализированным программным обеспечением, сервер системы.</w:t>
      </w:r>
    </w:p>
    <w:p>
      <w:pPr>
        <w:pStyle w:val="0"/>
        <w:spacing w:before="240" w:lineRule="auto"/>
        <w:ind w:firstLine="540"/>
        <w:jc w:val="both"/>
      </w:pPr>
      <w:r>
        <w:rPr>
          <w:sz w:val="24"/>
        </w:rPr>
        <w:t xml:space="preserve">13.5.1.3 Станции визуализации должны обеспечивать одновременное отображение нескольких систем здания по команде оператора или по заранее выработанному регламенту.</w:t>
      </w:r>
    </w:p>
    <w:p>
      <w:pPr>
        <w:pStyle w:val="0"/>
        <w:spacing w:before="240" w:lineRule="auto"/>
        <w:ind w:firstLine="540"/>
        <w:jc w:val="both"/>
      </w:pPr>
      <w:r>
        <w:rPr>
          <w:sz w:val="24"/>
        </w:rPr>
        <w:t xml:space="preserve">13.5.1.4 Объем диспетчеризации зависит от оснащения объектов системами инженерно-технического обеспечения. АСУД должна соответствовать </w:t>
      </w:r>
      <w:hyperlink w:history="0" r:id="rId338"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3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учитывать </w:t>
      </w:r>
      <w:hyperlink w:history="0" r:id="rId340"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4) ------------ Недействующая редакция {КонсультантПлюс}">
        <w:r>
          <w:rPr>
            <w:sz w:val="24"/>
            <w:color w:val="0000ff"/>
          </w:rPr>
          <w:t xml:space="preserve">СП 256.1325800</w:t>
        </w:r>
      </w:hyperlink>
      <w:r>
        <w:rPr>
          <w:sz w:val="24"/>
        </w:rPr>
        <w:t xml:space="preserve">.</w:t>
      </w:r>
    </w:p>
    <w:p>
      <w:pPr>
        <w:pStyle w:val="0"/>
        <w:spacing w:before="240" w:lineRule="auto"/>
        <w:ind w:firstLine="540"/>
        <w:jc w:val="both"/>
      </w:pPr>
      <w:r>
        <w:rPr>
          <w:sz w:val="24"/>
        </w:rPr>
        <w:t xml:space="preserve">13.5.1.5 Аппаратно-программный комплекс АСУД, кроме обычно выполняемых функций, должен обеспечивать:</w:t>
      </w:r>
    </w:p>
    <w:p>
      <w:pPr>
        <w:pStyle w:val="0"/>
        <w:spacing w:before="240" w:lineRule="auto"/>
        <w:ind w:firstLine="540"/>
        <w:jc w:val="both"/>
      </w:pPr>
      <w:r>
        <w:rPr>
          <w:sz w:val="24"/>
        </w:rPr>
        <w:t xml:space="preserve">- получение оперативной информации о состоянии и параметрах оборудования систем инженерно-технического обеспечения в удобном для операторов виде;</w:t>
      </w:r>
    </w:p>
    <w:p>
      <w:pPr>
        <w:pStyle w:val="0"/>
        <w:spacing w:before="240" w:lineRule="auto"/>
        <w:ind w:firstLine="540"/>
        <w:jc w:val="both"/>
      </w:pPr>
      <w:r>
        <w:rPr>
          <w:sz w:val="24"/>
        </w:rPr>
        <w:t xml:space="preserve">- отображение (по команде оператора) графического местоположения любого датчика (исполнительного устройства) на поэтажных планах высотного здания с указанием реального состояния параметров, контролируемых системой по данному устройству, а также истории изменения параметров во времени;</w:t>
      </w:r>
    </w:p>
    <w:p>
      <w:pPr>
        <w:pStyle w:val="0"/>
        <w:spacing w:before="240" w:lineRule="auto"/>
        <w:ind w:firstLine="540"/>
        <w:jc w:val="both"/>
      </w:pPr>
      <w:r>
        <w:rPr>
          <w:sz w:val="24"/>
        </w:rPr>
        <w:t xml:space="preserve">- проведение оператором анализа изменений параметров работы систем инженерно-технического обеспечения и аварийных ситуаций по данным из архива;</w:t>
      </w:r>
    </w:p>
    <w:p>
      <w:pPr>
        <w:pStyle w:val="0"/>
        <w:spacing w:before="240" w:lineRule="auto"/>
        <w:ind w:firstLine="540"/>
        <w:jc w:val="both"/>
      </w:pPr>
      <w:r>
        <w:rPr>
          <w:sz w:val="24"/>
        </w:rPr>
        <w:t xml:space="preserve">- моделирование работы системы в заданный промежуток времени;</w:t>
      </w:r>
    </w:p>
    <w:p>
      <w:pPr>
        <w:pStyle w:val="0"/>
        <w:spacing w:before="240" w:lineRule="auto"/>
        <w:ind w:firstLine="540"/>
        <w:jc w:val="both"/>
      </w:pPr>
      <w:r>
        <w:rPr>
          <w:sz w:val="24"/>
        </w:rPr>
        <w:t xml:space="preserve">- автоматизированный учет эксплуатационных ресурсов инженерного оборудования и контроль технического обслуживания;</w:t>
      </w:r>
    </w:p>
    <w:p>
      <w:pPr>
        <w:pStyle w:val="0"/>
        <w:spacing w:before="240" w:lineRule="auto"/>
        <w:ind w:firstLine="540"/>
        <w:jc w:val="both"/>
      </w:pPr>
      <w:r>
        <w:rPr>
          <w:sz w:val="24"/>
        </w:rPr>
        <w:t xml:space="preserve">- ограничение доступа к работе на АРМ систем инженерно-технического обеспечения с помощью системы идентификации и защиту контроллеров и рабочих станций паролем для исключения несанкционированного изменения управляющей программы;</w:t>
      </w:r>
    </w:p>
    <w:p>
      <w:pPr>
        <w:pStyle w:val="0"/>
        <w:spacing w:before="240" w:lineRule="auto"/>
        <w:ind w:firstLine="540"/>
        <w:jc w:val="both"/>
      </w:pPr>
      <w:r>
        <w:rPr>
          <w:sz w:val="24"/>
        </w:rPr>
        <w:t xml:space="preserve">- отработку заранее заложенного алгоритма при возникновении критической ситуации и отсутствии (в течение заданного времени) по каким-либо причинам управляющих воздействий со стороны оператора. Должно быть обеспечено локальное визуальное или звуковое оповещение оператора о критической ситуации;</w:t>
      </w:r>
    </w:p>
    <w:p>
      <w:pPr>
        <w:pStyle w:val="0"/>
        <w:spacing w:before="240" w:lineRule="auto"/>
        <w:ind w:firstLine="540"/>
        <w:jc w:val="both"/>
      </w:pPr>
      <w:r>
        <w:rPr>
          <w:sz w:val="24"/>
        </w:rPr>
        <w:t xml:space="preserve">- защиту от операторских ошибок, приводящих к авариям объектовых подсистем инженерно-технического обеспечения.</w:t>
      </w:r>
    </w:p>
    <w:p>
      <w:pPr>
        <w:pStyle w:val="0"/>
        <w:spacing w:before="240" w:lineRule="auto"/>
        <w:ind w:firstLine="540"/>
        <w:jc w:val="both"/>
      </w:pPr>
      <w:r>
        <w:rPr>
          <w:sz w:val="24"/>
        </w:rPr>
        <w:t xml:space="preserve">13.5.1.6 Архивная информация АСУД должна содержать:</w:t>
      </w:r>
    </w:p>
    <w:p>
      <w:pPr>
        <w:pStyle w:val="0"/>
        <w:spacing w:before="240" w:lineRule="auto"/>
        <w:ind w:firstLine="540"/>
        <w:jc w:val="both"/>
      </w:pPr>
      <w:r>
        <w:rPr>
          <w:sz w:val="24"/>
        </w:rPr>
        <w:t xml:space="preserve">- все заданные параметры, обеспечивающие поддержание устойчивой работы систем инженерно-технического обеспечения;</w:t>
      </w:r>
    </w:p>
    <w:p>
      <w:pPr>
        <w:pStyle w:val="0"/>
        <w:spacing w:before="240" w:lineRule="auto"/>
        <w:ind w:firstLine="540"/>
        <w:jc w:val="both"/>
      </w:pPr>
      <w:r>
        <w:rPr>
          <w:sz w:val="24"/>
        </w:rPr>
        <w:t xml:space="preserve">- состояние всех датчиков и исполнительных устройств;</w:t>
      </w:r>
    </w:p>
    <w:p>
      <w:pPr>
        <w:pStyle w:val="0"/>
        <w:spacing w:before="240" w:lineRule="auto"/>
        <w:ind w:firstLine="540"/>
        <w:jc w:val="both"/>
      </w:pPr>
      <w:r>
        <w:rPr>
          <w:sz w:val="24"/>
        </w:rPr>
        <w:t xml:space="preserve">- время, дату и конкретный адрес любого зафиксированного изменения с указанием нового состояния автоматизированной системы и данных об операторе, который ввел эти изменения;</w:t>
      </w:r>
    </w:p>
    <w:p>
      <w:pPr>
        <w:pStyle w:val="0"/>
        <w:spacing w:before="240" w:lineRule="auto"/>
        <w:ind w:firstLine="540"/>
        <w:jc w:val="both"/>
      </w:pPr>
      <w:r>
        <w:rPr>
          <w:sz w:val="24"/>
        </w:rPr>
        <w:t xml:space="preserve">- информацию о времени наработки всех основных электроприводов исполнительных механизмов и подаче сигнала оператору о необходимости проведения профилактических работ.</w:t>
      </w:r>
    </w:p>
    <w:p>
      <w:pPr>
        <w:pStyle w:val="0"/>
        <w:spacing w:before="240" w:lineRule="auto"/>
        <w:ind w:firstLine="540"/>
        <w:jc w:val="both"/>
      </w:pPr>
      <w:r>
        <w:rPr>
          <w:sz w:val="24"/>
        </w:rPr>
        <w:t xml:space="preserve">13.5.1.7 Срок хранения информации должен быть не менее 6 мес.</w:t>
      </w:r>
    </w:p>
    <w:p>
      <w:pPr>
        <w:pStyle w:val="0"/>
        <w:spacing w:before="240" w:lineRule="auto"/>
        <w:ind w:firstLine="540"/>
        <w:jc w:val="both"/>
      </w:pPr>
      <w:r>
        <w:rPr>
          <w:sz w:val="24"/>
        </w:rPr>
        <w:t xml:space="preserve">Требуемый объем хранимой информации уточняют в процессе проектирования.</w:t>
      </w:r>
    </w:p>
    <w:p>
      <w:pPr>
        <w:pStyle w:val="0"/>
        <w:spacing w:before="240" w:lineRule="auto"/>
        <w:ind w:firstLine="540"/>
        <w:jc w:val="both"/>
      </w:pPr>
      <w:r>
        <w:rPr>
          <w:sz w:val="24"/>
        </w:rPr>
        <w:t xml:space="preserve">13.5.1.8 Диспетчер АСУД должен иметь возможность раздельного управления всеми сблокированными механизмами при выполнении разрешающих условий.</w:t>
      </w:r>
    </w:p>
    <w:p>
      <w:pPr>
        <w:pStyle w:val="0"/>
        <w:spacing w:before="240" w:lineRule="auto"/>
        <w:ind w:firstLine="540"/>
        <w:jc w:val="both"/>
      </w:pPr>
      <w:r>
        <w:rPr>
          <w:sz w:val="24"/>
          <w:b w:val="on"/>
        </w:rPr>
        <w:t xml:space="preserve">13.5.2 Системы локальной автоматизации технологического оборудования</w:t>
      </w:r>
    </w:p>
    <w:p>
      <w:pPr>
        <w:pStyle w:val="0"/>
        <w:spacing w:before="240" w:lineRule="auto"/>
        <w:ind w:firstLine="540"/>
        <w:jc w:val="both"/>
      </w:pPr>
      <w:r>
        <w:rPr>
          <w:sz w:val="24"/>
        </w:rPr>
        <w:t xml:space="preserve">13.5.2.1 Системы локальной автоматизации технологического оборудования высотных зданий следует выполнять в соответствии с </w:t>
      </w:r>
      <w:hyperlink w:history="0" r:id="rId341"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они должны обеспечивать стабилизацию параметров работы систем в заданных режимах, автоматическое управление агрегатами систем по заданному алгоритму, самодиагностику и отслеживание аварийных ситуаций, передачу информации о работе систем и тревожных ситуациях в АСУД.</w:t>
      </w:r>
    </w:p>
    <w:p>
      <w:pPr>
        <w:pStyle w:val="0"/>
        <w:spacing w:before="240" w:lineRule="auto"/>
        <w:ind w:firstLine="540"/>
        <w:jc w:val="both"/>
      </w:pPr>
      <w:r>
        <w:rPr>
          <w:sz w:val="24"/>
        </w:rPr>
        <w:t xml:space="preserve">13.5.2.2 Алгоритм управления определяют технологическим заданием, учитывающим тип применяемого оборудования и особенности структуры объекта.</w:t>
      </w:r>
    </w:p>
    <w:p>
      <w:pPr>
        <w:pStyle w:val="0"/>
        <w:spacing w:before="240" w:lineRule="auto"/>
        <w:ind w:firstLine="540"/>
        <w:jc w:val="both"/>
      </w:pPr>
      <w:r>
        <w:rPr>
          <w:sz w:val="24"/>
        </w:rPr>
        <w:t xml:space="preserve">13.5.2.3 Контроллеры должны быть оборудованы устройствами памяти, обеспечивающими их функционирование в автономном режиме при потере связи с АСУД, и обладать всеми аппаратными и программными средствами для обеспечения локального функционирования системы автоматизации независимо от наличия связи с АСУД.</w:t>
      </w:r>
    </w:p>
    <w:p>
      <w:pPr>
        <w:pStyle w:val="0"/>
        <w:spacing w:before="240" w:lineRule="auto"/>
        <w:ind w:firstLine="540"/>
        <w:jc w:val="both"/>
      </w:pPr>
      <w:r>
        <w:rPr>
          <w:sz w:val="24"/>
        </w:rPr>
        <w:t xml:space="preserve">Контроллеры должны быть свободно программируемыми и выполнять несколько программ управления оборудованием одновременно, т.е. поддерживать многозадачность. Кроме того, у них должна быть возможность местного управления с собственного пульта или внешнее устройство и программное обеспечение, позволяющие в условиях отсутствия связи контроллера с АСУД корректировать его работу в части установки и поддержания новых параметров регулирования.</w:t>
      </w:r>
    </w:p>
    <w:p>
      <w:pPr>
        <w:pStyle w:val="0"/>
        <w:spacing w:before="240" w:lineRule="auto"/>
        <w:ind w:firstLine="540"/>
        <w:jc w:val="both"/>
      </w:pPr>
      <w:r>
        <w:rPr>
          <w:sz w:val="24"/>
        </w:rPr>
        <w:t xml:space="preserve">13.5.2.4 Оборудование систем локальной автоматизации, как правило, размещают вблизи соответствующего технологического оборудования.</w:t>
      </w:r>
    </w:p>
    <w:p>
      <w:pPr>
        <w:pStyle w:val="0"/>
        <w:spacing w:before="240" w:lineRule="auto"/>
        <w:ind w:firstLine="540"/>
        <w:jc w:val="both"/>
      </w:pPr>
      <w:r>
        <w:rPr>
          <w:sz w:val="24"/>
        </w:rPr>
        <w:t xml:space="preserve">13.5.2.5 Управляющие контроллеры систем автоматизации следует размещать в металлических или пластмассовых шкафах (щитах автоматизации), обеспечивающих удобный доступ к элементам управления и защиту от несанкционированного воздействия. Допускается размещение контроллеров и аппаратуры управления системами в совмещенных шкафах автоматики и управления, если это не противоречит документации на контроллеры.</w:t>
      </w:r>
    </w:p>
    <w:p>
      <w:pPr>
        <w:pStyle w:val="0"/>
        <w:spacing w:before="240" w:lineRule="auto"/>
        <w:ind w:firstLine="540"/>
        <w:jc w:val="both"/>
      </w:pPr>
      <w:r>
        <w:rPr>
          <w:sz w:val="24"/>
        </w:rPr>
        <w:t xml:space="preserve">13.5.2.6 Сетевые контроллеры и телекоммуникационные узлы необходимо располагать в нескольких точках высотного здания (определяется проектной документацией) для обслуживания соответствующих зон.</w:t>
      </w:r>
    </w:p>
    <w:p>
      <w:pPr>
        <w:pStyle w:val="0"/>
        <w:spacing w:before="240" w:lineRule="auto"/>
        <w:ind w:firstLine="540"/>
        <w:jc w:val="both"/>
      </w:pPr>
      <w:r>
        <w:rPr>
          <w:sz w:val="24"/>
        </w:rPr>
        <w:t xml:space="preserve">13.5.2.7 Здания, охваченные системами централизованного снабжения соответствующим энергоресурсом, необходимо оснащать общедомовыми и индивидуальными приборами коммерческого учета энергоресурсов (АСКУЭ) каждого вида (электроэнергии, ХВС и ГВС, природного газа, тепла).</w:t>
      </w:r>
    </w:p>
    <w:p>
      <w:pPr>
        <w:pStyle w:val="0"/>
        <w:spacing w:before="240" w:lineRule="auto"/>
        <w:ind w:firstLine="540"/>
        <w:jc w:val="both"/>
      </w:pPr>
      <w:r>
        <w:rPr>
          <w:sz w:val="24"/>
        </w:rPr>
        <w:t xml:space="preserve">13.5.2.8 Системы мониторинга основных элементов конструкции зданий повышенной этажности, построенных в сложных инженерно-геологических условиях (просадочные и набухающие грунты, карстовые и оползневые явления), должны обеспечивать своевременное получение информации об изменении прочности несущих конструкций здания и снижении его устойчивости для принятия необходимых мер безопасности, соответствовать требованиям </w:t>
      </w:r>
      <w:hyperlink w:history="0" r:id="rId342"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43" w:tooltip="&quot;ГОСТ 32019-2012. Межгосударственный стандарт. Мониторинг технического состояния уникальных зданий и сооружений. Правила проектирования и установки стационарных систем (станций) мониторинга&quot; (введен в действие Приказом Росстандарта от 18.12.2012 N 2020-ст) (ред. от 26.09.2016) {КонсультантПлюс}">
        <w:r>
          <w:rPr>
            <w:sz w:val="24"/>
            <w:color w:val="0000ff"/>
          </w:rPr>
          <w:t xml:space="preserve">ГОСТ 32019</w:t>
        </w:r>
      </w:hyperlink>
      <w:r>
        <w:rPr>
          <w:sz w:val="24"/>
        </w:rPr>
        <w:t xml:space="preserve">.</w:t>
      </w:r>
    </w:p>
    <w:p>
      <w:pPr>
        <w:pStyle w:val="0"/>
        <w:spacing w:before="240" w:lineRule="auto"/>
        <w:ind w:firstLine="540"/>
        <w:jc w:val="both"/>
      </w:pPr>
      <w:r>
        <w:rPr>
          <w:sz w:val="24"/>
        </w:rPr>
        <w:t xml:space="preserve">13.5.2.9 Система контроля загазованности должна обеспечивать своевременное обнаружение в технических подпольях объектов взрывоопасных газов и радона для проведения необходимых мероприятий по их удалению.</w:t>
      </w:r>
    </w:p>
    <w:p>
      <w:pPr>
        <w:pStyle w:val="0"/>
        <w:spacing w:before="240" w:lineRule="auto"/>
        <w:ind w:firstLine="540"/>
        <w:jc w:val="both"/>
      </w:pPr>
      <w:r>
        <w:rPr>
          <w:sz w:val="24"/>
        </w:rPr>
        <w:t xml:space="preserve">При строительстве объектов на грунтах с гарантированной невозможностью выделения опасных газов объект допускается не оснащать этой системой, при этом, гарантия должна быть документально обоснована и отражена в проектной документации.</w:t>
      </w:r>
    </w:p>
    <w:p>
      <w:pPr>
        <w:pStyle w:val="2"/>
        <w:spacing w:before="240" w:lineRule="auto"/>
        <w:outlineLvl w:val="2"/>
        <w:ind w:firstLine="540"/>
        <w:jc w:val="both"/>
      </w:pPr>
      <w:r>
        <w:rPr>
          <w:sz w:val="24"/>
          <w:b w:val="on"/>
        </w:rPr>
        <w:t xml:space="preserve">13.6 Системы мониторинга состояния зданий</w:t>
      </w:r>
    </w:p>
    <w:p>
      <w:pPr>
        <w:pStyle w:val="0"/>
        <w:spacing w:before="240" w:lineRule="auto"/>
        <w:ind w:firstLine="540"/>
        <w:jc w:val="both"/>
      </w:pPr>
      <w:r>
        <w:rPr>
          <w:sz w:val="24"/>
        </w:rPr>
        <w:t xml:space="preserve">13.6.1 Системы мониторинга состояния зданий (СМИС, СМИК) следует предусматривать в соответствии с </w:t>
      </w:r>
      <w:hyperlink w:history="0" r:id="rId344"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45" w:tooltip="&quot;ГОСТ Р 22.1.13-2013. Национальный стандарт Российской Федерации.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quot; (утв. и введен в действие Приказом Росстандарта от 25.10.2013 N 1214-ст) {КонсультантПлюс}">
        <w:r>
          <w:rPr>
            <w:sz w:val="24"/>
            <w:color w:val="0000ff"/>
          </w:rPr>
          <w:t xml:space="preserve">ГОСТ Р 22.1.13</w:t>
        </w:r>
      </w:hyperlink>
      <w:r>
        <w:rPr>
          <w:sz w:val="24"/>
        </w:rPr>
        <w:t xml:space="preserve">, </w:t>
      </w:r>
      <w:hyperlink w:history="0" r:id="rId346" w:tooltip="&quot;ГОСТ Р 22.1.14-2013. Национальный стандарт Российской Федерации.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quot; (утв. и введен в действие Приказом Росстандарта от 25.10.2013 N 1213-ст) {КонсультантПлюс}">
        <w:r>
          <w:rPr>
            <w:sz w:val="24"/>
            <w:color w:val="0000ff"/>
          </w:rPr>
          <w:t xml:space="preserve">ГОСТ Р 22.1.14</w:t>
        </w:r>
      </w:hyperlink>
      <w:r>
        <w:rPr>
          <w:sz w:val="24"/>
        </w:rPr>
        <w:t xml:space="preserve">.</w:t>
      </w:r>
    </w:p>
    <w:p>
      <w:pPr>
        <w:pStyle w:val="0"/>
        <w:jc w:val="both"/>
      </w:pPr>
      <w:r>
        <w:rPr>
          <w:sz w:val="24"/>
        </w:rPr>
      </w:r>
    </w:p>
    <w:p>
      <w:pPr>
        <w:pStyle w:val="2"/>
        <w:outlineLvl w:val="1"/>
        <w:ind w:firstLine="540"/>
        <w:jc w:val="both"/>
      </w:pPr>
      <w:r>
        <w:rPr>
          <w:sz w:val="24"/>
        </w:rPr>
        <w:t xml:space="preserve">14 Мероприятия по обеспечению пожарной безопасности</w:t>
      </w:r>
    </w:p>
    <w:p>
      <w:pPr>
        <w:pStyle w:val="0"/>
        <w:ind w:firstLine="540"/>
        <w:jc w:val="both"/>
      </w:pPr>
      <w:r>
        <w:rPr>
          <w:sz w:val="24"/>
        </w:rPr>
      </w:r>
    </w:p>
    <w:p>
      <w:pPr>
        <w:pStyle w:val="0"/>
        <w:jc w:val="both"/>
      </w:pPr>
      <w:r>
        <w:rPr>
          <w:sz w:val="24"/>
        </w:rPr>
        <w:t xml:space="preserve">(раздел 14 в ред. </w:t>
      </w:r>
      <w:hyperlink w:history="0" r:id="rId34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2"/>
        <w:outlineLvl w:val="2"/>
        <w:ind w:firstLine="540"/>
        <w:jc w:val="both"/>
      </w:pPr>
      <w:r>
        <w:rPr>
          <w:sz w:val="24"/>
          <w:b w:val="on"/>
        </w:rPr>
        <w:t xml:space="preserve">14.1 Мероприятия по обеспечению пожарной безопасности в системах вентиляции</w:t>
      </w:r>
    </w:p>
    <w:p>
      <w:pPr>
        <w:pStyle w:val="0"/>
        <w:spacing w:before="240" w:lineRule="auto"/>
        <w:ind w:firstLine="540"/>
        <w:jc w:val="both"/>
      </w:pPr>
      <w:r>
        <w:rPr>
          <w:sz w:val="24"/>
        </w:rPr>
        <w:t xml:space="preserve">Основные требования противопожарной защиты высотных зданий устанавливаются в соответствии с требованиями </w:t>
      </w:r>
      <w:hyperlink w:history="0" w:anchor="P308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4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2"/>
        <w:spacing w:before="240" w:lineRule="auto"/>
        <w:outlineLvl w:val="2"/>
        <w:ind w:firstLine="540"/>
        <w:jc w:val="both"/>
      </w:pPr>
      <w:r>
        <w:rPr>
          <w:sz w:val="24"/>
          <w:b w:val="on"/>
        </w:rPr>
        <w:t xml:space="preserve">14.2 Мероприятия по обеспечению пожарной безопасности в системах противодымной вентиляции</w:t>
      </w:r>
    </w:p>
    <w:p>
      <w:pPr>
        <w:pStyle w:val="0"/>
        <w:spacing w:before="240" w:lineRule="auto"/>
        <w:ind w:firstLine="540"/>
        <w:jc w:val="both"/>
      </w:pPr>
      <w:r>
        <w:rPr>
          <w:sz w:val="24"/>
        </w:rPr>
        <w:t xml:space="preserve">14.2.1 Противодымную защиту следует предусматривать в соответствии с </w:t>
      </w:r>
      <w:hyperlink w:history="0" r:id="rId34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14.2.2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при обосновании допускается применять их напор более 1000 Па, при температуре 20 °C.</w:t>
      </w:r>
    </w:p>
    <w:p>
      <w:pPr>
        <w:pStyle w:val="0"/>
        <w:spacing w:before="240" w:lineRule="auto"/>
        <w:ind w:firstLine="540"/>
        <w:jc w:val="both"/>
      </w:pPr>
      <w:r>
        <w:rPr>
          <w:sz w:val="24"/>
        </w:rPr>
        <w:t xml:space="preserve">14.2.3 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с учетом деления на пожарные отсеки, при этом границы таких зон рекомендуется совмещать с техническими (в том числе совмещенными с обслуживаемыми и жилыми помещениями) этажами, предназначенными для размещения систем инженерно-технического обеспечения здания.</w:t>
      </w:r>
    </w:p>
    <w:p>
      <w:pPr>
        <w:pStyle w:val="0"/>
        <w:spacing w:before="240" w:lineRule="auto"/>
        <w:ind w:firstLine="540"/>
        <w:jc w:val="both"/>
      </w:pPr>
      <w:r>
        <w:rPr>
          <w:sz w:val="24"/>
        </w:rPr>
        <w:t xml:space="preserve">Размещение вентиляторов систем противодымной вентиляции следует выполнять с учетом требований </w:t>
      </w:r>
      <w:hyperlink w:history="0" r:id="rId35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14.2.4 Выбросы от вытяжной противодымной вентиляции следует выполнять в соответствии с </w:t>
      </w:r>
      <w:hyperlink w:history="0" r:id="rId351"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5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w:t>
      </w:r>
      <w:hyperlink w:history="0" r:id="rId35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При наличии технической возможности, связанной с архитектурными и конструктивными особенностями высотного здания, размещение выбросных и воздухозаборных решеток систем противодымной вентиляции следует предусматривать на противоположно расположенных фасадах здания.</w:t>
      </w:r>
    </w:p>
    <w:p>
      <w:pPr>
        <w:pStyle w:val="0"/>
        <w:spacing w:before="240" w:lineRule="auto"/>
        <w:ind w:firstLine="540"/>
        <w:jc w:val="both"/>
      </w:pPr>
      <w:r>
        <w:rPr>
          <w:sz w:val="24"/>
        </w:rPr>
        <w:t xml:space="preserve">14.2.5 Оборудование систем противодымной вентиляции следует предусматривать в соответствии с требованиями </w:t>
      </w:r>
      <w:hyperlink w:history="0" r:id="rId35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14.2.6 Вентиляторы для удаления продуктов горения следует размещать в отдельных помещениях, выгороженных противопожарными преградами с пределом огнестойкости EI 90, предусматривая вентиляцию, обеспечивающую при пожаре температуру воздуха, не превышающую 60 °C в теплый период года или соответствующую техническим данным вентиляторов.</w:t>
      </w:r>
    </w:p>
    <w:p>
      <w:pPr>
        <w:pStyle w:val="0"/>
        <w:spacing w:before="240" w:lineRule="auto"/>
        <w:ind w:firstLine="540"/>
        <w:jc w:val="both"/>
      </w:pPr>
      <w:r>
        <w:rPr>
          <w:sz w:val="24"/>
        </w:rPr>
        <w:t xml:space="preserve">Вентиляторы систем вытяжной противодымной вентиляции допускается размещать на кровле и снаружи зданий с ограждениями для защиты от доступа посторонних лиц.</w:t>
      </w:r>
    </w:p>
    <w:p>
      <w:pPr>
        <w:pStyle w:val="0"/>
        <w:spacing w:before="240" w:lineRule="auto"/>
        <w:ind w:firstLine="540"/>
        <w:jc w:val="both"/>
      </w:pPr>
      <w:r>
        <w:rPr>
          <w:sz w:val="24"/>
        </w:rPr>
        <w:t xml:space="preserve">14.2.7 Необходимость устройства рассечек на границах пожарных отсеков в незадымляемых лестничных клетках следует определять, исходя из условий равномерного распределения избыточного давления воздуха по их высоте. Подачу воздуха в объемы этих лестничных клеток следует предусматривать распределенной. Поэтажные входы в незадымляемые лестничные клетки с надземных уровней должны быть предусмотрены через тамбур-шлюзы, защищаемые автономными системами приточной противодымной вентиляции. Предпочтительно применение вентилируемых тамбур-шлюзов - посредством их защиты приточно-вытяжными системами с положительным дисбалансом.</w:t>
      </w:r>
    </w:p>
    <w:p>
      <w:pPr>
        <w:pStyle w:val="0"/>
        <w:spacing w:before="240" w:lineRule="auto"/>
        <w:ind w:firstLine="540"/>
        <w:jc w:val="both"/>
      </w:pPr>
      <w:r>
        <w:rPr>
          <w:sz w:val="24"/>
        </w:rPr>
        <w:t xml:space="preserve">14.2.8 Управление исполнительными механизмами и устройствами противодымной защиты необходимо предусматривать:</w:t>
      </w:r>
    </w:p>
    <w:p>
      <w:pPr>
        <w:pStyle w:val="0"/>
        <w:spacing w:before="240" w:lineRule="auto"/>
        <w:ind w:firstLine="540"/>
        <w:jc w:val="both"/>
      </w:pPr>
      <w:r>
        <w:rPr>
          <w:sz w:val="24"/>
        </w:rPr>
        <w:t xml:space="preserve">- по месту установки исполнительного механизма;</w:t>
      </w:r>
    </w:p>
    <w:p>
      <w:pPr>
        <w:pStyle w:val="0"/>
        <w:spacing w:before="240" w:lineRule="auto"/>
        <w:ind w:firstLine="540"/>
        <w:jc w:val="both"/>
      </w:pPr>
      <w:r>
        <w:rPr>
          <w:sz w:val="24"/>
        </w:rPr>
        <w:t xml:space="preserve">- в автоматическом режиме - от системы обнаружения пожара;</w:t>
      </w:r>
    </w:p>
    <w:p>
      <w:pPr>
        <w:pStyle w:val="0"/>
        <w:spacing w:before="240" w:lineRule="auto"/>
        <w:ind w:firstLine="540"/>
        <w:jc w:val="both"/>
      </w:pPr>
      <w:r>
        <w:rPr>
          <w:sz w:val="24"/>
        </w:rPr>
        <w:t xml:space="preserve">- в дистанционном режиме - круглосуточно, с пульта дежурной смены специализированного диспетчерского персонала и от кнопок, установленных у эвакуационных выходов с этажей или в пожарных шкафах.</w:t>
      </w:r>
    </w:p>
    <w:p>
      <w:pPr>
        <w:pStyle w:val="0"/>
        <w:spacing w:before="240" w:lineRule="auto"/>
        <w:ind w:firstLine="540"/>
        <w:jc w:val="both"/>
      </w:pPr>
      <w:r>
        <w:rPr>
          <w:sz w:val="24"/>
        </w:rPr>
        <w:t xml:space="preserve">Во всех вариантах пожароопасных ситуаций должно быть предусмотрено обязательное отключение систем общеобменной вентиляции и кондиционирования (не применяемых в режиме противодымной защиты) и опережающее включение систем вытяжной противодымной вентиляции относительно момента запуска систем приточной противодымной вентиляции.</w:t>
      </w:r>
    </w:p>
    <w:p>
      <w:pPr>
        <w:pStyle w:val="0"/>
        <w:spacing w:before="240" w:lineRule="auto"/>
        <w:ind w:firstLine="540"/>
        <w:jc w:val="both"/>
      </w:pPr>
      <w:r>
        <w:rPr>
          <w:sz w:val="24"/>
        </w:rPr>
        <w:t xml:space="preserve">14.2.9 На диспетчерский пульт необходимо выводить информацию о фактическом положении исполнительных механизмов и устройств следующих основных типов:</w:t>
      </w:r>
    </w:p>
    <w:p>
      <w:pPr>
        <w:pStyle w:val="0"/>
        <w:spacing w:before="240" w:lineRule="auto"/>
        <w:ind w:firstLine="540"/>
        <w:jc w:val="both"/>
      </w:pPr>
      <w:r>
        <w:rPr>
          <w:sz w:val="24"/>
        </w:rPr>
        <w:t xml:space="preserve">- противопожарных нормально открытых и нормально закрытых клапанов систем противодымной и общеобменной вентиляции (полностью открыты или полностью закрыты);</w:t>
      </w:r>
    </w:p>
    <w:p>
      <w:pPr>
        <w:pStyle w:val="0"/>
        <w:spacing w:before="240" w:lineRule="auto"/>
        <w:ind w:firstLine="540"/>
        <w:jc w:val="both"/>
      </w:pPr>
      <w:r>
        <w:rPr>
          <w:sz w:val="24"/>
        </w:rPr>
        <w:t xml:space="preserve">- дымовых клапанов систем вытяжной противодымной вентиляции (аналогично и с идентификацией этажа расположения);</w:t>
      </w:r>
    </w:p>
    <w:p>
      <w:pPr>
        <w:pStyle w:val="0"/>
        <w:spacing w:before="240" w:lineRule="auto"/>
        <w:ind w:firstLine="540"/>
        <w:jc w:val="both"/>
      </w:pPr>
      <w:r>
        <w:rPr>
          <w:sz w:val="24"/>
        </w:rPr>
        <w:t xml:space="preserve">- вентиляторов приточно-вытяжных систем общего и специального назначения (включены или отключены);</w:t>
      </w:r>
    </w:p>
    <w:p>
      <w:pPr>
        <w:pStyle w:val="0"/>
        <w:spacing w:before="240" w:lineRule="auto"/>
        <w:ind w:firstLine="540"/>
        <w:jc w:val="both"/>
      </w:pPr>
      <w:r>
        <w:rPr>
          <w:sz w:val="24"/>
        </w:rPr>
        <w:t xml:space="preserve">- противопожарных дверей и ворот с автоматически и дистанционно управляемыми приводами (полностью открыты или полностью закрыты);</w:t>
      </w:r>
    </w:p>
    <w:p>
      <w:pPr>
        <w:pStyle w:val="0"/>
        <w:spacing w:before="240" w:lineRule="auto"/>
        <w:ind w:firstLine="540"/>
        <w:jc w:val="both"/>
      </w:pPr>
      <w:r>
        <w:rPr>
          <w:sz w:val="24"/>
        </w:rPr>
        <w:t xml:space="preserve">- противопожарных дымо-газонепроницаемых дверей и противодымных экранов (по аналогии).</w:t>
      </w:r>
    </w:p>
    <w:p>
      <w:pPr>
        <w:pStyle w:val="0"/>
        <w:spacing w:before="240" w:lineRule="auto"/>
        <w:ind w:firstLine="540"/>
        <w:jc w:val="both"/>
      </w:pPr>
      <w:r>
        <w:rPr>
          <w:sz w:val="24"/>
        </w:rPr>
        <w:t xml:space="preserve">14.2.10 На воздуховодах систем общеобменной вентиляции при заборе воздуха с фасада здания необходимо предусматривать установку противопожарных клапанов, закрывающихся при пожаре.</w:t>
      </w:r>
    </w:p>
    <w:p>
      <w:pPr>
        <w:pStyle w:val="0"/>
        <w:spacing w:before="240" w:lineRule="auto"/>
        <w:ind w:firstLine="540"/>
        <w:jc w:val="both"/>
      </w:pPr>
      <w:r>
        <w:rPr>
          <w:sz w:val="24"/>
        </w:rPr>
        <w:t xml:space="preserve">14.2.11 Допускается не предусматривать удаление продуктов горения из помещений сбора мусора на этажах подземной стоянки автомобилей, если указанные помещения оборудованы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w:t>
      </w:r>
    </w:p>
    <w:p>
      <w:pPr>
        <w:pStyle w:val="2"/>
        <w:spacing w:before="240" w:lineRule="auto"/>
        <w:outlineLvl w:val="2"/>
        <w:ind w:firstLine="540"/>
        <w:jc w:val="both"/>
      </w:pPr>
      <w:r>
        <w:rPr>
          <w:sz w:val="24"/>
          <w:b w:val="on"/>
        </w:rPr>
        <w:t xml:space="preserve">14.3 Мероприятия по обеспечению пожарной безопасности в системах водяного пожаротушения</w:t>
      </w:r>
    </w:p>
    <w:p>
      <w:pPr>
        <w:pStyle w:val="0"/>
        <w:spacing w:before="240" w:lineRule="auto"/>
        <w:ind w:firstLine="540"/>
        <w:jc w:val="both"/>
      </w:pPr>
      <w:r>
        <w:rPr>
          <w:sz w:val="24"/>
        </w:rPr>
        <w:t xml:space="preserve">14.3.1 Наружный противопожарный водопровод следует проектировать в соответствии с </w:t>
      </w:r>
      <w:hyperlink w:history="0" r:id="rId355"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356"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57"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w:t>
      </w:r>
      <w:hyperlink w:history="0" r:id="rId358" w:tooltip="&quot;СП 31.13330.2021. Свод правил. Водоснабжение. Наружные сети и сооружения. СНиП 2.04.02-84*&quot; (утв. и введен в действие Приказом Минстроя России от 27.12.2021 N 1016/пр) (ред. от 26.12.2024) ------------ Недействующая редакция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Наружное противопожарное водоснабжение высотных зданий и комплексов следует обеспечивать от кольцевых водопроводных сетей, обеспечивающих расход воды на хозяйственно-питьевые и противопожарные нужды.</w:t>
      </w:r>
    </w:p>
    <w:p>
      <w:pPr>
        <w:pStyle w:val="0"/>
        <w:spacing w:before="240" w:lineRule="auto"/>
        <w:ind w:firstLine="540"/>
        <w:jc w:val="both"/>
      </w:pPr>
      <w:r>
        <w:rPr>
          <w:sz w:val="24"/>
        </w:rPr>
        <w:t xml:space="preserve">Размещение пожарных гидрантов должно обеспечивать возможность подачи огнетушащих веществ в том числе со стилобата.</w:t>
      </w:r>
    </w:p>
    <w:p>
      <w:pPr>
        <w:pStyle w:val="0"/>
        <w:spacing w:before="240" w:lineRule="auto"/>
        <w:ind w:firstLine="540"/>
        <w:jc w:val="both"/>
      </w:pPr>
      <w:r>
        <w:rPr>
          <w:sz w:val="24"/>
        </w:rPr>
        <w:t xml:space="preserve">Расход воды на наружное пожаротушение (на один пожар) высотных зданий для расчета соединительных и распределительных линий водопроводной сети, а также водопроводной сети внутри микрорайона или квартала следует принимать по </w:t>
      </w:r>
      <w:hyperlink w:history="0" r:id="rId359"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таблице 2</w:t>
        </w:r>
      </w:hyperlink>
      <w:r>
        <w:rPr>
          <w:sz w:val="24"/>
        </w:rPr>
        <w:t xml:space="preserve"> СП 8.13130.2020. Для зданий с количеством этажей более 25 и объемом более 150 тыс. м</w:t>
      </w:r>
      <w:r>
        <w:rPr>
          <w:sz w:val="24"/>
          <w:vertAlign w:val="superscript"/>
        </w:rPr>
        <w:t xml:space="preserve">3</w:t>
      </w:r>
      <w:r>
        <w:rPr>
          <w:sz w:val="24"/>
        </w:rPr>
        <w:t xml:space="preserve"> указанный расход следует принимать не менее 40 л/с.</w:t>
      </w:r>
    </w:p>
    <w:p>
      <w:pPr>
        <w:pStyle w:val="0"/>
        <w:spacing w:before="240" w:lineRule="auto"/>
        <w:ind w:firstLine="540"/>
        <w:jc w:val="both"/>
      </w:pPr>
      <w:r>
        <w:rPr>
          <w:sz w:val="24"/>
        </w:rPr>
        <w:t xml:space="preserve">14.3.2 Для частей различной этажности высотного здания или помещений различного назначения необходимость устройства ВПВ, а также требуемый расход воды на пожаротушение следует принимать отдельно для каждой части зданий, разделенных на пожарные отсеки (с учетом </w:t>
      </w:r>
      <w:hyperlink w:history="0" r:id="rId360"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по объему или числу этажей пожарного отсека, для которого требуется больший расход воды на пожаротушение. На вводе в высотное здание расход воды на пожаротушение следует принимать по тому пожарному отсеку, для которого требуется больший расход воды; для зданий, не разделенных на пожарные отсеки, - по общему объему здания.</w:t>
      </w:r>
    </w:p>
    <w:p>
      <w:pPr>
        <w:pStyle w:val="0"/>
        <w:spacing w:before="240" w:lineRule="auto"/>
        <w:ind w:firstLine="540"/>
        <w:jc w:val="both"/>
      </w:pPr>
      <w:r>
        <w:rPr>
          <w:sz w:val="24"/>
        </w:rPr>
        <w:t xml:space="preserve">Для жилых зданий с встроенными в нижние этажи помещениями общественного назначения, не разделенными на пожарные отсеки в соответствии с </w:t>
      </w:r>
      <w:hyperlink w:history="0" r:id="rId361"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 расход воды на пожаротушение следует принимать:</w:t>
      </w:r>
    </w:p>
    <w:p>
      <w:pPr>
        <w:pStyle w:val="0"/>
        <w:spacing w:before="240" w:lineRule="auto"/>
        <w:ind w:firstLine="540"/>
        <w:jc w:val="both"/>
      </w:pPr>
      <w:r>
        <w:rPr>
          <w:sz w:val="24"/>
        </w:rPr>
        <w:t xml:space="preserve">- для жилых этажей - по площади, объему, длине межквартирного коридора или числу этажей здания, приходящихся на жилые помещения;</w:t>
      </w:r>
    </w:p>
    <w:p>
      <w:pPr>
        <w:pStyle w:val="0"/>
        <w:spacing w:before="240" w:lineRule="auto"/>
        <w:ind w:firstLine="540"/>
        <w:jc w:val="both"/>
      </w:pPr>
      <w:r>
        <w:rPr>
          <w:sz w:val="24"/>
        </w:rPr>
        <w:t xml:space="preserve">- для нежилых этажей, встроенных в жилые здания - по площади, объему или общему числу этажей всего здания.</w:t>
      </w:r>
    </w:p>
    <w:p>
      <w:pPr>
        <w:pStyle w:val="0"/>
        <w:spacing w:before="240" w:lineRule="auto"/>
        <w:ind w:firstLine="540"/>
        <w:jc w:val="both"/>
      </w:pPr>
      <w:r>
        <w:rPr>
          <w:sz w:val="24"/>
        </w:rPr>
        <w:t xml:space="preserve">14.3.3 Свободный напор (давление) у пожарных кранов высотного здания для получения компактных пожарных струй высотой, необходимой для тушения пожара в любое время суток в самой высокой и удаленной части помещения следует принимать в соответствии с </w:t>
      </w:r>
      <w:hyperlink w:history="0" r:id="rId36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14.3.4 Для подключения нижних зон автоматического пожаротушения, противопожарного водопровода стилобатной, надземной части высотного комплекса высотой до 100 м и встроенной подземной стоянки автомобилей к передвижной пожарной технике, снаружи здания следует предусматривать не менее двух патрубков с соединительными головками диаметром 80 мм, количество патрубков определяется исходя из расчетного расхода на пожаротушение, при этом патрубки допускается объединять в один общий трубопровод до насосной станции пожаротушения. Регулировку подачи огнетушащего вещества в системы следует обеспечивать установкой задвижек и обратных клапанов, установленных внутри здания. Соединительные головки, выведенные наружу здания, допускается располагать парно по высоте, при этом нижний патрубок должен быть расположен не ниже 1,0 м от уровня земли, в местах, обозначенных световыми указателями и пиктограммами и удобных для подъезда пожарных автомобилей (на расстоянии не более 200 м от пожарных гидрантов), с расчетом установки одновременно не менее двух пожарных автомобилей.</w:t>
      </w:r>
    </w:p>
    <w:p>
      <w:pPr>
        <w:pStyle w:val="0"/>
        <w:spacing w:before="240" w:lineRule="auto"/>
        <w:ind w:firstLine="540"/>
        <w:jc w:val="both"/>
      </w:pPr>
      <w:r>
        <w:rPr>
          <w:sz w:val="24"/>
        </w:rPr>
        <w:t xml:space="preserve">Для обеспечения подачи воды в системы автоматического пожаротушения, противопожарного водопровода высотной части здания (выше 100 метров) необходимо предусматривать электроснабжение повысительной насосной станции по особой группе электроснабжения, которая обеспечивает работоспособность установки при отключении комплекса от наружного электроснабжения.</w:t>
      </w:r>
    </w:p>
    <w:p>
      <w:pPr>
        <w:pStyle w:val="0"/>
        <w:spacing w:before="240" w:lineRule="auto"/>
        <w:ind w:firstLine="540"/>
        <w:jc w:val="both"/>
      </w:pPr>
      <w:r>
        <w:rPr>
          <w:sz w:val="24"/>
        </w:rPr>
        <w:t xml:space="preserve">В верхних пожарных отсеках высотной части корпусов на технических этажах допускается размещать резервуары с запасом воды для пожаротушения. Объем резервуаров должен быть рассчитан на десятиминутную работу всех систем (внутренних пожарных кранов, дренчерных завес и автоматического пожаротушения) соответствующего пожарного отсека, по истечении которых работа противопожарных систем должна обеспечиваться работой пожарных насосов.</w:t>
      </w:r>
    </w:p>
    <w:p>
      <w:pPr>
        <w:pStyle w:val="0"/>
        <w:spacing w:before="240" w:lineRule="auto"/>
        <w:ind w:firstLine="540"/>
        <w:jc w:val="both"/>
      </w:pPr>
      <w:r>
        <w:rPr>
          <w:sz w:val="24"/>
        </w:rPr>
        <w:t xml:space="preserve">14.3.5 Спринклерные оросители, устанавливаемые в поэтажных внеквартирных коридорах жилых домов, должны обеспечивать орошение дверных проемов в квартиры спринклерными оросителями, с обеспечением орошения по 1-й группе помещений согласно </w:t>
      </w:r>
      <w:hyperlink w:history="0" r:id="rId363"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устанавливаемыми на системе внутреннего противопожарного водопровода. При этом удаление воды, пролитой при испытании или срабатывании спринклерных оросителей, следует осуществлять в самостоятельную сеть дренажной канализации, оборудованную водоприемными устройствами. При установке противопожарных входных дверей в квартиру с пределом огнестойкости не менее EI 60 тушение внеквартирных коридоров допускается не предусматривать.</w:t>
      </w:r>
    </w:p>
    <w:p>
      <w:pPr>
        <w:pStyle w:val="0"/>
        <w:spacing w:before="240" w:lineRule="auto"/>
        <w:ind w:firstLine="540"/>
        <w:jc w:val="both"/>
      </w:pPr>
      <w:r>
        <w:rPr>
          <w:sz w:val="24"/>
        </w:rPr>
        <w:t xml:space="preserve">14.3.6 Для обеспечения функциональной связи вестибюлей (фойе, холлов) на подземном или надземном этаже стилобатной части в пределах одного пожарного отсека допускается предусматривать сообщение вестибюлей (фойе, холлов), при этом должно быть предусмотрено их оборудование автоматической системой пожаротушения.</w:t>
      </w:r>
    </w:p>
    <w:p>
      <w:pPr>
        <w:pStyle w:val="0"/>
        <w:spacing w:before="240" w:lineRule="auto"/>
        <w:ind w:firstLine="540"/>
        <w:jc w:val="both"/>
      </w:pPr>
      <w:r>
        <w:rPr>
          <w:sz w:val="24"/>
        </w:rPr>
        <w:t xml:space="preserve">14.3.7 Защите спринклерными оросителями системы автоматического пожаротушения, расположенными со стороны защищаемых помещений на расстоянии не более 0,5 м от перегородок с шагом 1,5 - 2,0 м, подлежат конструкции из закаленного стекла толщиной не менее 6 мм, устанавливаемые на путях эвакуации (общие коридоры, холлы, фойе, вестибюли, галереи) вместо перегородок с пределом огнестойкости EI 60.</w:t>
      </w:r>
    </w:p>
    <w:bookmarkStart w:id="1425" w:name="P1425"/>
    <w:bookmarkEnd w:id="1425"/>
    <w:p>
      <w:pPr>
        <w:pStyle w:val="0"/>
        <w:spacing w:before="240" w:lineRule="auto"/>
        <w:ind w:firstLine="540"/>
        <w:jc w:val="both"/>
      </w:pPr>
      <w:r>
        <w:rPr>
          <w:sz w:val="24"/>
        </w:rPr>
        <w:t xml:space="preserve">14.3.8 Мусоросборная камера, при наличии, должна быть оборудована автоматической пожарной сигнализацией, системой оповещения и управления эвакуацией людей при пожаре (не ниже 2-го типа), а также автоматической установкой спринклерного пожаротушения с параметрами:</w:t>
      </w:r>
    </w:p>
    <w:p>
      <w:pPr>
        <w:pStyle w:val="0"/>
        <w:spacing w:before="240" w:lineRule="auto"/>
        <w:ind w:firstLine="540"/>
        <w:jc w:val="both"/>
      </w:pPr>
      <w:r>
        <w:rPr>
          <w:sz w:val="24"/>
        </w:rPr>
        <w:t xml:space="preserve">- интенсивность орошения не менее интенсивности орошения пожарного отсека, в котором она находится;</w:t>
      </w:r>
    </w:p>
    <w:p>
      <w:pPr>
        <w:pStyle w:val="0"/>
        <w:spacing w:before="240" w:lineRule="auto"/>
        <w:ind w:firstLine="540"/>
        <w:jc w:val="both"/>
      </w:pPr>
      <w:r>
        <w:rPr>
          <w:sz w:val="24"/>
        </w:rPr>
        <w:t xml:space="preserve">- площадь для расчета расхода воды не менее - 120 м</w:t>
      </w:r>
      <w:r>
        <w:rPr>
          <w:sz w:val="24"/>
          <w:vertAlign w:val="superscript"/>
        </w:rPr>
        <w:t xml:space="preserve">2</w:t>
      </w:r>
      <w:r>
        <w:rPr>
          <w:sz w:val="24"/>
        </w:rPr>
        <w:t xml:space="preserve">;</w:t>
      </w:r>
    </w:p>
    <w:p>
      <w:pPr>
        <w:pStyle w:val="0"/>
        <w:spacing w:before="240" w:lineRule="auto"/>
        <w:ind w:firstLine="540"/>
        <w:jc w:val="both"/>
      </w:pPr>
      <w:r>
        <w:rPr>
          <w:sz w:val="24"/>
        </w:rPr>
        <w:t xml:space="preserve">- время работы установки - 60 мин.</w:t>
      </w:r>
    </w:p>
    <w:bookmarkStart w:id="1429" w:name="P1429"/>
    <w:bookmarkEnd w:id="1429"/>
    <w:p>
      <w:pPr>
        <w:pStyle w:val="0"/>
        <w:spacing w:before="240" w:lineRule="auto"/>
        <w:ind w:firstLine="540"/>
        <w:jc w:val="both"/>
      </w:pPr>
      <w:r>
        <w:rPr>
          <w:sz w:val="24"/>
        </w:rPr>
        <w:t xml:space="preserve">14.3.9 Спринклерные оросители допускается устанавливать на сети внутреннего противопожарного водопровода через задвижку и реле потока. Параметры установок пожаротушения (интенсивность орошения, расход ОТВ, минимальная площадь орошения при срабатывании спринклерной АУП, продолжительность подачи воды и максимальное расстояние между спринклерными оросителями) должны соответствовать 1-й группе помещений согласно </w:t>
      </w:r>
      <w:hyperlink w:history="0" r:id="rId36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14.3.10 В квартирах и апартаментах высотных зданий класса Ф1.3 или расположенных в многофункциональных зданиях в системе водоснабжения должны быть предусмотрены краны для обеспечения внутриквартирного первичного пожаротушения согласно </w:t>
      </w:r>
      <w:hyperlink w:history="0" r:id="rId365"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14.3.11 К системе автоматического пожаротушения подземной стоянки автомобилей допускается подключать секции пожаротушения помещений (блоков кладовых жильцов, расположенных в пожарном отсеке стоянки автомобилей). При размещении данных помещений в пожарном отсеке надземной части жилого дома интенсивность следует принимать по 2-й группе.</w:t>
      </w:r>
    </w:p>
    <w:p>
      <w:pPr>
        <w:pStyle w:val="0"/>
        <w:spacing w:before="240" w:lineRule="auto"/>
        <w:ind w:firstLine="540"/>
        <w:jc w:val="both"/>
      </w:pPr>
      <w:r>
        <w:rPr>
          <w:sz w:val="24"/>
        </w:rPr>
        <w:t xml:space="preserve">14.3.12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 следует оборудовать помещение сбора мусора на этажах подземной стоянки автомобилей без устройства выхода непосредственно наружу и при условии выделения его противопожарными стенами с пределом огнестойкости не менее REI 150 с заполнением проемов противопожарными дверями (воротами) 1-го типа без устройства тамбур-шлюза и дренчерной завесы.</w:t>
      </w:r>
    </w:p>
    <w:p>
      <w:pPr>
        <w:pStyle w:val="0"/>
        <w:spacing w:before="240" w:lineRule="auto"/>
        <w:ind w:firstLine="540"/>
        <w:jc w:val="both"/>
      </w:pPr>
      <w:r>
        <w:rPr>
          <w:sz w:val="24"/>
        </w:rPr>
        <w:t xml:space="preserve">14.3.13 Выход из помещения насосной станции пожаротушения следует предусматривать непосредственно наружу или в лестничную клетку с выходом наружу.</w:t>
      </w:r>
    </w:p>
    <w:p>
      <w:pPr>
        <w:pStyle w:val="0"/>
        <w:spacing w:before="240" w:lineRule="auto"/>
        <w:ind w:firstLine="540"/>
        <w:jc w:val="both"/>
      </w:pPr>
      <w:r>
        <w:rPr>
          <w:sz w:val="24"/>
        </w:rPr>
        <w:t xml:space="preserve">Допускается предусматривать выход из помещения насосной станции или других технических помещений подземной части высотного здания, комплекса в незадымляемую лестничную клетку типа Н2 или Н3, в том числе через коридор без устройства отдельного выхода на лестничную клетку и выходов непосредственно наружу. При устройстве выхода из помещения насосной станции через коридор, все двери помещений, выходящие в указанный коридор, должны быть предусмотрены противопожарными 2-го типа.</w:t>
      </w:r>
    </w:p>
    <w:p>
      <w:pPr>
        <w:pStyle w:val="0"/>
        <w:spacing w:before="240" w:lineRule="auto"/>
        <w:ind w:firstLine="540"/>
        <w:jc w:val="both"/>
      </w:pPr>
      <w:r>
        <w:rPr>
          <w:sz w:val="24"/>
        </w:rPr>
        <w:t xml:space="preserve">При этом длина пути от двери помещения насосной до входа в незадымляемую лестничную клетку должна быть не более 20 м.</w:t>
      </w:r>
    </w:p>
    <w:bookmarkStart w:id="1436" w:name="P1436"/>
    <w:bookmarkEnd w:id="1436"/>
    <w:p>
      <w:pPr>
        <w:pStyle w:val="2"/>
        <w:spacing w:before="240" w:lineRule="auto"/>
        <w:outlineLvl w:val="2"/>
        <w:ind w:firstLine="540"/>
        <w:jc w:val="both"/>
      </w:pPr>
      <w:r>
        <w:rPr>
          <w:sz w:val="24"/>
          <w:b w:val="on"/>
        </w:rPr>
        <w:t xml:space="preserve">14.4 Мероприятия по обеспечению пожарной безопасности в инженерных системах помещений, входящих в состав высотного комплекса</w:t>
      </w:r>
    </w:p>
    <w:p>
      <w:pPr>
        <w:pStyle w:val="0"/>
        <w:spacing w:before="240" w:lineRule="auto"/>
        <w:ind w:firstLine="540"/>
        <w:jc w:val="both"/>
      </w:pPr>
      <w:r>
        <w:rPr>
          <w:sz w:val="24"/>
        </w:rPr>
        <w:t xml:space="preserve">14.4.1 Перечень противопожарного оборудования и его количество, размещение опорного пункта пожаротушения для хранения запаса противопожарного оборудования, в каждом пожарном отсеке высотной части здания, в помещении на техническом этаже определяются при разработке оперативного плана пожаротушения.</w:t>
      </w:r>
    </w:p>
    <w:p>
      <w:pPr>
        <w:pStyle w:val="0"/>
        <w:spacing w:before="240" w:lineRule="auto"/>
        <w:ind w:firstLine="540"/>
        <w:jc w:val="both"/>
      </w:pPr>
      <w:r>
        <w:rPr>
          <w:sz w:val="24"/>
        </w:rPr>
        <w:t xml:space="preserve">Для высотных зданий следует разрабатывать план тушения пожара (раздел "Расстановка пожарных подъемных механизмов").</w:t>
      </w:r>
    </w:p>
    <w:p>
      <w:pPr>
        <w:pStyle w:val="0"/>
        <w:spacing w:before="240" w:lineRule="auto"/>
        <w:ind w:firstLine="540"/>
        <w:jc w:val="both"/>
      </w:pPr>
      <w:r>
        <w:rPr>
          <w:sz w:val="24"/>
        </w:rPr>
        <w:t xml:space="preserve">14.4.2 Технические помещения, обслуживающие жилую и общественную части высотного объекта и размещаемые на любых этажах подземной стоянки автомобилей, в том числе насосную станцию хозяйственно-питьевого водопровода, допускается относить к обслуживаемым пожарным отсекам и выделять от смежных отсеков противопожарными стенами и перекрытиями 1-го типа. Допускается предусматривать сообщение технических помещений с помещениями стоянки автомобилей через противопожарные двери с пределом огнестойкости не менее EIS 60 без устройства дренчерных завес.</w:t>
      </w:r>
    </w:p>
    <w:p>
      <w:pPr>
        <w:pStyle w:val="0"/>
        <w:spacing w:before="240" w:lineRule="auto"/>
        <w:ind w:firstLine="540"/>
        <w:jc w:val="both"/>
      </w:pPr>
      <w:r>
        <w:rPr>
          <w:sz w:val="24"/>
        </w:rPr>
        <w:t xml:space="preserve">14.4.3 Помещения встроенных трансформаторных подстанций, главных распределительных щитов, распределительных узлов (РУ) допускается размещать на подземных этажах высотного объекта при условии выполнения следующих требований:</w:t>
      </w:r>
    </w:p>
    <w:p>
      <w:pPr>
        <w:pStyle w:val="0"/>
        <w:spacing w:before="240" w:lineRule="auto"/>
        <w:ind w:firstLine="540"/>
        <w:jc w:val="both"/>
      </w:pPr>
      <w:r>
        <w:rPr>
          <w:sz w:val="24"/>
        </w:rPr>
        <w:t xml:space="preserve">- отделение помещений трансформаторных и распределительных подстанций в блоке с ограждающими конструкциями с пределом огнестойкости не менее REI (EI) 180 с заполнением проемов (за исключением проемов в наружной стене) противопожарными воротами (дверями) с пределом огнестойкости не менее EI 60;</w:t>
      </w:r>
    </w:p>
    <w:p>
      <w:pPr>
        <w:pStyle w:val="0"/>
        <w:spacing w:before="240" w:lineRule="auto"/>
        <w:ind w:firstLine="540"/>
        <w:jc w:val="both"/>
      </w:pPr>
      <w:r>
        <w:rPr>
          <w:sz w:val="24"/>
        </w:rPr>
        <w:t xml:space="preserve">- использование только сухих трансформаторов или трансформаторов с негорючим заполнителем;</w:t>
      </w:r>
    </w:p>
    <w:p>
      <w:pPr>
        <w:pStyle w:val="0"/>
        <w:spacing w:before="240" w:lineRule="auto"/>
        <w:ind w:firstLine="540"/>
        <w:jc w:val="both"/>
      </w:pPr>
      <w:r>
        <w:rPr>
          <w:sz w:val="24"/>
        </w:rPr>
        <w:t xml:space="preserve">- обеспечение возможности транспортирования трансформаторов с использованием передвижных и стационарных механизмов для загрузки через подземную стоянку автомобилей до помещений размещения трансформатора;</w:t>
      </w:r>
    </w:p>
    <w:p>
      <w:pPr>
        <w:pStyle w:val="0"/>
        <w:spacing w:before="240" w:lineRule="auto"/>
        <w:ind w:firstLine="540"/>
        <w:jc w:val="both"/>
      </w:pPr>
      <w:r>
        <w:rPr>
          <w:sz w:val="24"/>
        </w:rPr>
        <w:t xml:space="preserve">- отделение зоны загрузки в пределах пожарного отсека противопожарными преградами с пределом огнестойкости не менее REI 150;</w:t>
      </w:r>
    </w:p>
    <w:p>
      <w:pPr>
        <w:pStyle w:val="0"/>
        <w:spacing w:before="240" w:lineRule="auto"/>
        <w:ind w:firstLine="540"/>
        <w:jc w:val="both"/>
      </w:pPr>
      <w:r>
        <w:rPr>
          <w:sz w:val="24"/>
        </w:rPr>
        <w:t xml:space="preserve">- сообщение зоны загрузки со смежными помещениями через тамбур-шлюз 1-го типа с подпором воздуха при пожаре;</w:t>
      </w:r>
    </w:p>
    <w:p>
      <w:pPr>
        <w:pStyle w:val="0"/>
        <w:spacing w:before="240" w:lineRule="auto"/>
        <w:ind w:firstLine="540"/>
        <w:jc w:val="both"/>
      </w:pPr>
      <w:r>
        <w:rPr>
          <w:sz w:val="24"/>
        </w:rPr>
        <w:t xml:space="preserve">- устройство не менее двух выходов из блока размещения трансформаторных и распределительных подстанций в эвакуационные лестничные клетки стоянки автомобилей через тамбур-шлюзы с подпором воздуха при пожаре.</w:t>
      </w:r>
    </w:p>
    <w:p>
      <w:pPr>
        <w:pStyle w:val="0"/>
        <w:spacing w:before="240" w:lineRule="auto"/>
        <w:ind w:firstLine="540"/>
        <w:jc w:val="both"/>
      </w:pPr>
      <w:r>
        <w:rPr>
          <w:sz w:val="24"/>
        </w:rPr>
        <w:t xml:space="preserve">Указанные помещения должны оборудоваться системой автоматической пожарной сигнализации, а оборудование их системой автоматического пожаротушения допускается не предусматривать.</w:t>
      </w:r>
    </w:p>
    <w:p>
      <w:pPr>
        <w:pStyle w:val="0"/>
        <w:spacing w:before="240" w:lineRule="auto"/>
        <w:ind w:firstLine="540"/>
        <w:jc w:val="both"/>
      </w:pPr>
      <w:r>
        <w:rPr>
          <w:sz w:val="24"/>
        </w:rPr>
        <w:t xml:space="preserve">Выходы (входы) из вышеуказанных помещений допускается предусматривать через помещения для хранения автомобилей или непосредственно наружу.</w:t>
      </w:r>
    </w:p>
    <w:p>
      <w:pPr>
        <w:pStyle w:val="0"/>
        <w:spacing w:before="240" w:lineRule="auto"/>
        <w:ind w:firstLine="540"/>
        <w:jc w:val="both"/>
      </w:pPr>
      <w:r>
        <w:rPr>
          <w:sz w:val="24"/>
        </w:rPr>
        <w:t xml:space="preserve">14.4.4 Дизель-генераторную установку допускается размещать в помещениях пожарного отсека подземной части здания на минус первом уровне подземной стоянки автомобилей, для которой должно быть предусмотрено выполнение следующих требований:</w:t>
      </w:r>
    </w:p>
    <w:p>
      <w:pPr>
        <w:pStyle w:val="0"/>
        <w:spacing w:before="240" w:lineRule="auto"/>
        <w:ind w:firstLine="540"/>
        <w:jc w:val="both"/>
      </w:pPr>
      <w:r>
        <w:rPr>
          <w:sz w:val="24"/>
        </w:rPr>
        <w:t xml:space="preserve">- помещения ДГУ и хранения топлива должны отделяться от других частей здания (помещений) противопожарными преградами (стенами и перекрытиями) с пределом огнестойкости не менее REI 180 без проемов;</w:t>
      </w:r>
    </w:p>
    <w:p>
      <w:pPr>
        <w:pStyle w:val="0"/>
        <w:spacing w:before="240" w:lineRule="auto"/>
        <w:ind w:firstLine="540"/>
        <w:jc w:val="both"/>
      </w:pPr>
      <w:r>
        <w:rPr>
          <w:sz w:val="24"/>
        </w:rPr>
        <w:t xml:space="preserve">- помещение ДГУ обеспечивать обособленным выходом непосредственно наружу через противопожарные двери с пределом огнестойкости не менее EI 90;</w:t>
      </w:r>
    </w:p>
    <w:p>
      <w:pPr>
        <w:pStyle w:val="0"/>
        <w:spacing w:before="240" w:lineRule="auto"/>
        <w:ind w:firstLine="540"/>
        <w:jc w:val="both"/>
      </w:pPr>
      <w:r>
        <w:rPr>
          <w:sz w:val="24"/>
        </w:rPr>
        <w:t xml:space="preserve">- расходный бак для хранения дизельного топлива, размещаемый в помещении ДГУ, должен быть заводского изготовления объемом не более 1 м</w:t>
      </w:r>
      <w:r>
        <w:rPr>
          <w:sz w:val="24"/>
          <w:vertAlign w:val="superscript"/>
        </w:rPr>
        <w:t xml:space="preserve">3</w:t>
      </w:r>
      <w:r>
        <w:rPr>
          <w:sz w:val="24"/>
        </w:rPr>
        <w:t xml:space="preserve">;</w:t>
      </w:r>
    </w:p>
    <w:p>
      <w:pPr>
        <w:pStyle w:val="0"/>
        <w:spacing w:before="240" w:lineRule="auto"/>
        <w:ind w:firstLine="540"/>
        <w:jc w:val="both"/>
      </w:pPr>
      <w:r>
        <w:rPr>
          <w:sz w:val="24"/>
        </w:rPr>
        <w:t xml:space="preserve">- вентиляционные (дыхательные) трубопроводы расходного бака топлива должны быть оборудованы пламяпреградителями и выведены за пределы помещения ДГУ, наружу;</w:t>
      </w:r>
    </w:p>
    <w:p>
      <w:pPr>
        <w:pStyle w:val="0"/>
        <w:spacing w:before="240" w:lineRule="auto"/>
        <w:ind w:firstLine="540"/>
        <w:jc w:val="both"/>
      </w:pPr>
      <w:r>
        <w:rPr>
          <w:sz w:val="24"/>
        </w:rPr>
        <w:t xml:space="preserve">- устройство в помещении ДГУ мероприятий по предотвращению растекания топлива в случае розлива в другие помещения (бортики, обвалования, подпорные стенки и др.). В качестве поддона, рассчитанного на пролив всего объема горючих жидкостей, допускается использовать объем помещения, строительные конструкции которого должны быть гидроскопичны и не должны вступать в контакт с дизельным топливом;</w:t>
      </w:r>
    </w:p>
    <w:p>
      <w:pPr>
        <w:pStyle w:val="0"/>
        <w:spacing w:before="240" w:lineRule="auto"/>
        <w:ind w:firstLine="540"/>
        <w:jc w:val="both"/>
      </w:pPr>
      <w:r>
        <w:rPr>
          <w:sz w:val="24"/>
        </w:rPr>
        <w:t xml:space="preserve">- в дверных проемах предусмотреть пороги высотой не менее 15 см;</w:t>
      </w:r>
    </w:p>
    <w:p>
      <w:pPr>
        <w:pStyle w:val="0"/>
        <w:spacing w:before="240" w:lineRule="auto"/>
        <w:ind w:firstLine="540"/>
        <w:jc w:val="both"/>
      </w:pPr>
      <w:r>
        <w:rPr>
          <w:sz w:val="24"/>
        </w:rPr>
        <w:t xml:space="preserve">- покрытие пола в помещении ДГУ и хранения топлива должно быть устойчивым к воздействию нефтепродуктов;</w:t>
      </w:r>
    </w:p>
    <w:p>
      <w:pPr>
        <w:pStyle w:val="0"/>
        <w:spacing w:before="240" w:lineRule="auto"/>
        <w:ind w:firstLine="540"/>
        <w:jc w:val="both"/>
      </w:pPr>
      <w:r>
        <w:rPr>
          <w:sz w:val="24"/>
        </w:rPr>
        <w:t xml:space="preserve">- дизельное топливо, используемое для ДГУ, должно иметь температуру вспышки не ниже 61 °C (летний дизель, марка Л по </w:t>
      </w:r>
      <w:hyperlink w:history="0" r:id="rId366"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предусматривать по типу "шип-паз";</w:t>
      </w:r>
    </w:p>
    <w:p>
      <w:pPr>
        <w:pStyle w:val="0"/>
        <w:spacing w:before="240" w:lineRule="auto"/>
        <w:ind w:firstLine="540"/>
        <w:jc w:val="both"/>
      </w:pPr>
      <w:r>
        <w:rPr>
          <w:sz w:val="24"/>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управлением;</w:t>
      </w:r>
    </w:p>
    <w:p>
      <w:pPr>
        <w:pStyle w:val="0"/>
        <w:spacing w:before="240" w:lineRule="auto"/>
        <w:ind w:firstLine="540"/>
        <w:jc w:val="both"/>
      </w:pPr>
      <w:r>
        <w:rPr>
          <w:sz w:val="24"/>
        </w:rPr>
        <w:t xml:space="preserve">- при использовании аккумуляторов для запуска дизель-генератора, необходимо применять только сухие стартерные аккумуляторы;</w:t>
      </w:r>
    </w:p>
    <w:p>
      <w:pPr>
        <w:pStyle w:val="0"/>
        <w:spacing w:before="240" w:lineRule="auto"/>
        <w:ind w:firstLine="540"/>
        <w:jc w:val="both"/>
      </w:pPr>
      <w:r>
        <w:rPr>
          <w:sz w:val="24"/>
        </w:rPr>
        <w:t xml:space="preserve">- устройство аварийной вентиляции, исключающей образование взрывопожароопасной концентрации горючих паров, при этом параметры аварийной вентиляции, в том числе кратность воздухообмена, определять на стадии рабочего проектирования;</w:t>
      </w:r>
    </w:p>
    <w:p>
      <w:pPr>
        <w:pStyle w:val="0"/>
        <w:spacing w:before="240" w:lineRule="auto"/>
        <w:ind w:firstLine="540"/>
        <w:jc w:val="both"/>
      </w:pPr>
      <w:r>
        <w:rPr>
          <w:sz w:val="24"/>
        </w:rPr>
        <w:t xml:space="preserve">- помещение ДГУ следует оборудовать системой газоанализа. Сигнал о достижении 10% нижнего концентрационного предела распространения пламени (НКПР) должен поступать в помещение с круглосуточным пребыванием дежурного персонала (пожарный пост, диспетчерскую);</w:t>
      </w:r>
    </w:p>
    <w:p>
      <w:pPr>
        <w:pStyle w:val="0"/>
        <w:spacing w:before="240" w:lineRule="auto"/>
        <w:ind w:firstLine="540"/>
        <w:jc w:val="both"/>
      </w:pPr>
      <w:r>
        <w:rPr>
          <w:sz w:val="24"/>
        </w:rPr>
        <w:t xml:space="preserve">- помещение ДГУ должно оборудоваться системой обнаружения утечки топлива в случае аварии. Сигнал о срабатывании данной системы следует предусматривать в помещении с круглосуточным пребыванием дежурного персонала (пожарный пост, диспетчерскую) по управлению системами противопожарной защиты;</w:t>
      </w:r>
    </w:p>
    <w:p>
      <w:pPr>
        <w:pStyle w:val="0"/>
        <w:spacing w:before="240" w:lineRule="auto"/>
        <w:ind w:firstLine="540"/>
        <w:jc w:val="both"/>
      </w:pPr>
      <w:r>
        <w:rPr>
          <w:sz w:val="24"/>
        </w:rPr>
        <w:t xml:space="preserve">- помещение ДГУ должно быть оборудовано автономными системами общеобменной вентиляции. Кратность воздухообмена предусматривают исходя из категории помещения по пожарной опасности (категория помещения должна быть не выше B1);</w:t>
      </w:r>
    </w:p>
    <w:p>
      <w:pPr>
        <w:pStyle w:val="0"/>
        <w:spacing w:before="240" w:lineRule="auto"/>
        <w:ind w:firstLine="540"/>
        <w:jc w:val="both"/>
      </w:pPr>
      <w:r>
        <w:rPr>
          <w:sz w:val="24"/>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B),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pPr>
        <w:pStyle w:val="0"/>
        <w:spacing w:before="240" w:lineRule="auto"/>
        <w:ind w:firstLine="540"/>
        <w:jc w:val="both"/>
      </w:pPr>
      <w:r>
        <w:rPr>
          <w:sz w:val="24"/>
        </w:rPr>
        <w:t xml:space="preserve">- заправку топливом следует выполнять вручную.</w:t>
      </w:r>
    </w:p>
    <w:p>
      <w:pPr>
        <w:pStyle w:val="0"/>
        <w:spacing w:before="240" w:lineRule="auto"/>
        <w:ind w:firstLine="540"/>
        <w:jc w:val="both"/>
      </w:pPr>
      <w:r>
        <w:rPr>
          <w:sz w:val="24"/>
        </w:rPr>
        <w:t xml:space="preserve">14.4.5 Допускается размещение дизель-генераторных установок в помещениях на 1-м этаже, при условии выполнения следующих требований:</w:t>
      </w:r>
    </w:p>
    <w:p>
      <w:pPr>
        <w:pStyle w:val="0"/>
        <w:spacing w:before="240" w:lineRule="auto"/>
        <w:ind w:firstLine="540"/>
        <w:jc w:val="both"/>
      </w:pPr>
      <w:r>
        <w:rPr>
          <w:sz w:val="24"/>
        </w:rPr>
        <w:t xml:space="preserve">- отделение помещения ДГУ и хранения топлива от других частей здания (помещений) - противопожарными преградами (стенами и перекрытиями) с пределом огнестойкости не менее REI 240 без проемов;</w:t>
      </w:r>
    </w:p>
    <w:p>
      <w:pPr>
        <w:pStyle w:val="0"/>
        <w:spacing w:before="240" w:lineRule="auto"/>
        <w:ind w:firstLine="540"/>
        <w:jc w:val="both"/>
      </w:pPr>
      <w:r>
        <w:rPr>
          <w:sz w:val="24"/>
        </w:rPr>
        <w:t xml:space="preserve">- устройство обособленного выхода непосредственно наружу через противопожарные двери с пределом огнестойкости не менее EI 90;</w:t>
      </w:r>
    </w:p>
    <w:p>
      <w:pPr>
        <w:pStyle w:val="0"/>
        <w:spacing w:before="240" w:lineRule="auto"/>
        <w:ind w:firstLine="540"/>
        <w:jc w:val="both"/>
      </w:pPr>
      <w:r>
        <w:rPr>
          <w:sz w:val="24"/>
        </w:rPr>
        <w:t xml:space="preserve">- расходный бак для хранения дизельного топлива, размещаемый в помещении ДГУ, должен быть заводского изготовления объемом не более 1 м</w:t>
      </w:r>
      <w:r>
        <w:rPr>
          <w:sz w:val="24"/>
          <w:vertAlign w:val="superscript"/>
        </w:rPr>
        <w:t xml:space="preserve">3</w:t>
      </w:r>
      <w:r>
        <w:rPr>
          <w:sz w:val="24"/>
        </w:rPr>
        <w:t xml:space="preserve">;</w:t>
      </w:r>
    </w:p>
    <w:p>
      <w:pPr>
        <w:pStyle w:val="0"/>
        <w:spacing w:before="240" w:lineRule="auto"/>
        <w:ind w:firstLine="540"/>
        <w:jc w:val="both"/>
      </w:pPr>
      <w:r>
        <w:rPr>
          <w:sz w:val="24"/>
        </w:rPr>
        <w:t xml:space="preserve">- устройство вентиляционных (дыхательных) трубопроводов расходного бака топлива, оборудованных пламяпреградителями с выводом за пределы помещения ДГУ, наружу;</w:t>
      </w:r>
    </w:p>
    <w:p>
      <w:pPr>
        <w:pStyle w:val="0"/>
        <w:spacing w:before="240" w:lineRule="auto"/>
        <w:ind w:firstLine="540"/>
        <w:jc w:val="both"/>
      </w:pPr>
      <w:r>
        <w:rPr>
          <w:sz w:val="24"/>
        </w:rPr>
        <w:t xml:space="preserve">- устройство в помещении ДГУ мероприятий, предотвращающих растекание топлива в другие помещения (бортики, обвалования, подпорные стенки и др.);</w:t>
      </w:r>
    </w:p>
    <w:p>
      <w:pPr>
        <w:pStyle w:val="0"/>
        <w:spacing w:before="240" w:lineRule="auto"/>
        <w:ind w:firstLine="540"/>
        <w:jc w:val="both"/>
      </w:pPr>
      <w:r>
        <w:rPr>
          <w:sz w:val="24"/>
        </w:rPr>
        <w:t xml:space="preserve">- применение дизельного топлива с температурой вспышки не ниже 61 °C (летний дизель, марка Л по </w:t>
      </w:r>
      <w:hyperlink w:history="0" r:id="rId367"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следует предусматривать по типу "шип-паз";</w:t>
      </w:r>
    </w:p>
    <w:p>
      <w:pPr>
        <w:pStyle w:val="0"/>
        <w:spacing w:before="240" w:lineRule="auto"/>
        <w:ind w:firstLine="540"/>
        <w:jc w:val="both"/>
      </w:pPr>
      <w:r>
        <w:rPr>
          <w:sz w:val="24"/>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и дистанционным управлением;</w:t>
      </w:r>
    </w:p>
    <w:p>
      <w:pPr>
        <w:pStyle w:val="0"/>
        <w:spacing w:before="240" w:lineRule="auto"/>
        <w:ind w:firstLine="540"/>
        <w:jc w:val="both"/>
      </w:pPr>
      <w:r>
        <w:rPr>
          <w:sz w:val="24"/>
        </w:rPr>
        <w:t xml:space="preserve">- при использовании аккумуляторов для запуска дизель-генератора, необходимо применять только сухие стартерные аккумуляторы;</w:t>
      </w:r>
    </w:p>
    <w:p>
      <w:pPr>
        <w:pStyle w:val="0"/>
        <w:spacing w:before="240" w:lineRule="auto"/>
        <w:ind w:firstLine="540"/>
        <w:jc w:val="both"/>
      </w:pPr>
      <w:r>
        <w:rPr>
          <w:sz w:val="24"/>
        </w:rPr>
        <w:t xml:space="preserve">- устройство аварийной вентиляции, исключающей образование взрывопожароопасной концентрации горючих паров;</w:t>
      </w:r>
    </w:p>
    <w:p>
      <w:pPr>
        <w:pStyle w:val="0"/>
        <w:spacing w:before="240" w:lineRule="auto"/>
        <w:ind w:firstLine="540"/>
        <w:jc w:val="both"/>
      </w:pPr>
      <w:r>
        <w:rPr>
          <w:sz w:val="24"/>
        </w:rPr>
        <w:t xml:space="preserve">- помещение ДГУ следует оборудовать системой газоанализа. Сигнал о достижении 10% НКПР должен поступать в помещение с круглосуточным пребыванием дежурного персонала (пожарного поста, диспетчерскую);</w:t>
      </w:r>
    </w:p>
    <w:p>
      <w:pPr>
        <w:pStyle w:val="0"/>
        <w:spacing w:before="240" w:lineRule="auto"/>
        <w:ind w:firstLine="540"/>
        <w:jc w:val="both"/>
      </w:pPr>
      <w:r>
        <w:rPr>
          <w:sz w:val="24"/>
        </w:rPr>
        <w:t xml:space="preserve">- помещение ДГУ должно быть оборудовано системой обнаружения утечки топлива в случае аварии. Сигнал о срабатывании данной системы должен поступать в помещение с круглосуточным пребыванием дежурного персонала (пожарный пост, диспетчерскую) по управлению системами противопожарной защиты;</w:t>
      </w:r>
    </w:p>
    <w:p>
      <w:pPr>
        <w:pStyle w:val="0"/>
        <w:spacing w:before="240" w:lineRule="auto"/>
        <w:ind w:firstLine="540"/>
        <w:jc w:val="both"/>
      </w:pPr>
      <w:r>
        <w:rPr>
          <w:sz w:val="24"/>
        </w:rPr>
        <w:t xml:space="preserve">- помещение ДГУ должно быть оборудовано автономными системами общеобменной вентиляции. Кратность воздухообмена предусматривают исходя из категории помещения по пожарной опасности (категория помещения должна быть не выше B1);</w:t>
      </w:r>
    </w:p>
    <w:p>
      <w:pPr>
        <w:pStyle w:val="0"/>
        <w:spacing w:before="240" w:lineRule="auto"/>
        <w:ind w:firstLine="540"/>
        <w:jc w:val="both"/>
      </w:pPr>
      <w:r>
        <w:rPr>
          <w:sz w:val="24"/>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B),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pPr>
        <w:pStyle w:val="0"/>
        <w:spacing w:before="240" w:lineRule="auto"/>
        <w:ind w:firstLine="540"/>
        <w:jc w:val="both"/>
      </w:pPr>
      <w:r>
        <w:rPr>
          <w:sz w:val="24"/>
        </w:rPr>
        <w:t xml:space="preserve">- заправку топливом следует выполнять вручную.</w:t>
      </w:r>
    </w:p>
    <w:p>
      <w:pPr>
        <w:pStyle w:val="0"/>
        <w:spacing w:before="240" w:lineRule="auto"/>
        <w:ind w:firstLine="540"/>
        <w:jc w:val="both"/>
      </w:pPr>
      <w:r>
        <w:rPr>
          <w:sz w:val="24"/>
        </w:rPr>
        <w:t xml:space="preserve">14.4.6 Устройство системы вытяжной противодымной вентиляции не требуется в помещениях для разгрузки автомобилей площадью не более 50 м</w:t>
      </w:r>
      <w:r>
        <w:rPr>
          <w:sz w:val="24"/>
          <w:vertAlign w:val="superscript"/>
        </w:rPr>
        <w:t xml:space="preserve">2</w:t>
      </w:r>
      <w:r>
        <w:rPr>
          <w:sz w:val="24"/>
        </w:rPr>
        <w:t xml:space="preserve">, отделенных от других частей здания противопожарными перегородками 1-го типа с повышенным с пределом огнестойкости не менее EI 150 и перекрытиями с пределом огнестойкости не менее REI 150 и заполнением проемов противопожарными дверями 1-го типа (EIS 60), оборудованных системой автоматического спринклерного пожаротушения, не требуется.</w:t>
      </w:r>
    </w:p>
    <w:p>
      <w:pPr>
        <w:pStyle w:val="0"/>
        <w:spacing w:before="240" w:lineRule="auto"/>
        <w:ind w:firstLine="540"/>
        <w:jc w:val="both"/>
      </w:pPr>
      <w:r>
        <w:rPr>
          <w:sz w:val="24"/>
        </w:rPr>
        <w:t xml:space="preserve">14.4.7 В подземной стоянке автомобилей допускается устройство помещений мойки машин и колес с устройством входа и въезда в нее непосредственно из помещений для хранения автомобилей. При этом группу помещений мойки в пределах пожарного отсека следует выделять стенами с пределом огнестойкости не менее REI 150 и заполнением проемов противопожарными дверями (воротами, шторами, люками, клапанами) 1-го типа. Эвакуацию людей из помещений мойки машин и колес допускается предусматривать через помещение для хранения автомобилей в лестничные клетки подземной стоянки автомобилей.</w:t>
      </w:r>
    </w:p>
    <w:p>
      <w:pPr>
        <w:pStyle w:val="0"/>
        <w:spacing w:before="240" w:lineRule="auto"/>
        <w:ind w:firstLine="540"/>
        <w:jc w:val="both"/>
      </w:pPr>
      <w:r>
        <w:rPr>
          <w:sz w:val="24"/>
        </w:rPr>
        <w:t xml:space="preserve">Помещения мойки, за исключением мест непосредственного мытья автомобилей (помывочных кабин), следует оборудовать установками пожаротушения, с параметрами, соответствующими отсеку подземной стоянки автомобилей, в котором расположена мойка. Номинальную температуру срабатывания спринклерных оросителей мойки принимают в зависимости от температуры окружающей среды, учитывая технологический процесс в зоне их расположения. В помещениях мойки машин и колес не допускается хранение автомобильных (мотоциклетных) шин. При оборудовании группы помещений мойки площадью не более 200 м</w:t>
      </w:r>
      <w:r>
        <w:rPr>
          <w:sz w:val="24"/>
          <w:vertAlign w:val="superscript"/>
        </w:rPr>
        <w:t xml:space="preserve">2</w:t>
      </w:r>
      <w:r>
        <w:rPr>
          <w:sz w:val="24"/>
        </w:rPr>
        <w:t xml:space="preserve"> установкой пожаротушения, допускается не предусматривать в указанных помещениях мойки систему противодымной вентиляции.</w:t>
      </w:r>
    </w:p>
    <w:p>
      <w:pPr>
        <w:pStyle w:val="0"/>
        <w:spacing w:before="240" w:lineRule="auto"/>
        <w:ind w:firstLine="540"/>
        <w:jc w:val="both"/>
      </w:pPr>
      <w:r>
        <w:rPr>
          <w:sz w:val="24"/>
        </w:rPr>
        <w:t xml:space="preserve">14.4.8 Помещения компактора (с возможностью заезда автомобиля), расположенные на минус первом уровне подземной стоянки автомобилей, следует отделять от смежных с ними помещений противопожарными стенами с пределом огнестойкости не менее REI 150 с заполнением проемов противопожарными дверями 1-го типа с пределом огнестойкости не менее EIS 60.</w:t>
      </w:r>
    </w:p>
    <w:p>
      <w:pPr>
        <w:pStyle w:val="0"/>
        <w:spacing w:before="240" w:lineRule="auto"/>
        <w:ind w:firstLine="540"/>
        <w:jc w:val="both"/>
      </w:pPr>
      <w:r>
        <w:rPr>
          <w:sz w:val="24"/>
        </w:rPr>
        <w:t xml:space="preserve">Из помещения компактора допускается предусматривать эвакуационный выход через помещение для хранения автомобилей подземной стоянки автомобилей. Заезд автомобиля в помещение компактора следует предусматривать снаружи, без заезда в подземную стоянку автомобилей.</w:t>
      </w:r>
    </w:p>
    <w:p>
      <w:pPr>
        <w:pStyle w:val="0"/>
        <w:spacing w:before="240" w:lineRule="auto"/>
        <w:ind w:firstLine="540"/>
        <w:jc w:val="both"/>
      </w:pPr>
      <w:r>
        <w:rPr>
          <w:sz w:val="24"/>
        </w:rPr>
        <w:t xml:space="preserve">Помещение компактора должны быть оборудованы:</w:t>
      </w:r>
    </w:p>
    <w:p>
      <w:pPr>
        <w:pStyle w:val="0"/>
        <w:spacing w:before="240" w:lineRule="auto"/>
        <w:ind w:firstLine="540"/>
        <w:jc w:val="both"/>
      </w:pPr>
      <w:r>
        <w:rPr>
          <w:sz w:val="24"/>
        </w:rPr>
        <w:t xml:space="preserve">- автоматической пожарной сигнализацией;</w:t>
      </w:r>
    </w:p>
    <w:p>
      <w:pPr>
        <w:pStyle w:val="0"/>
        <w:spacing w:before="240" w:lineRule="auto"/>
        <w:ind w:firstLine="540"/>
        <w:jc w:val="both"/>
      </w:pPr>
      <w:r>
        <w:rPr>
          <w:sz w:val="24"/>
        </w:rPr>
        <w:t xml:space="preserve">- системой оповещения и управления эвакуацией людей при пожаре, а также автоматической установкой спринклерного пожаротушения. Параметры автоматической спринклерной установки пожаротушения (интенсивность, время работы, расчетная площадь пожара) следует принимать соответствующими отсеку подземной стоянки автомобилей. При оборудовании помещения компактора площадью не более 60 м</w:t>
      </w:r>
      <w:r>
        <w:rPr>
          <w:sz w:val="24"/>
          <w:vertAlign w:val="superscript"/>
        </w:rPr>
        <w:t xml:space="preserve">2</w:t>
      </w:r>
      <w:r>
        <w:rPr>
          <w:sz w:val="24"/>
        </w:rPr>
        <w:t xml:space="preserve"> установкой спринклерного пожаротушения, систему вытяжной противодымной вентиляции допускается не предусматривать.</w:t>
      </w:r>
    </w:p>
    <w:p>
      <w:pPr>
        <w:pStyle w:val="0"/>
        <w:spacing w:before="240" w:lineRule="auto"/>
        <w:ind w:firstLine="540"/>
        <w:jc w:val="both"/>
      </w:pPr>
      <w:r>
        <w:rPr>
          <w:sz w:val="24"/>
        </w:rPr>
        <w:t xml:space="preserve">14.4.9 Помещения индивидуальных хозяйственных кладовых для жильцов на подземных этажах проектируемого высотного здания должны быть оборудованы системой пожаротушения (спринклерным автоматическим пожаротушением).</w:t>
      </w:r>
    </w:p>
    <w:p>
      <w:pPr>
        <w:pStyle w:val="0"/>
        <w:spacing w:before="240" w:lineRule="auto"/>
        <w:ind w:firstLine="540"/>
        <w:jc w:val="both"/>
      </w:pPr>
      <w:r>
        <w:rPr>
          <w:sz w:val="24"/>
        </w:rPr>
        <w:t xml:space="preserve">При этом для помещений кладовых следует выполнять следующие мероприятия:</w:t>
      </w:r>
    </w:p>
    <w:p>
      <w:pPr>
        <w:pStyle w:val="0"/>
        <w:spacing w:before="240" w:lineRule="auto"/>
        <w:ind w:firstLine="540"/>
        <w:jc w:val="both"/>
      </w:pPr>
      <w:r>
        <w:rPr>
          <w:sz w:val="24"/>
        </w:rPr>
        <w:t xml:space="preserve">- предусматривать автоматическую пожарную сигнализацию с установкой дымовых пожарных извещателей в соответствии с </w:t>
      </w:r>
      <w:hyperlink w:history="0" r:id="rId368"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 отделку полов, стен и потолков в помещениях индивидуальных кладовых, а также коридоров путей эвакуации из помещений кладовых следует выполнять из материалов группы горючести НГ;</w:t>
      </w:r>
    </w:p>
    <w:p>
      <w:pPr>
        <w:pStyle w:val="0"/>
        <w:spacing w:before="240" w:lineRule="auto"/>
        <w:ind w:firstLine="540"/>
        <w:jc w:val="both"/>
      </w:pPr>
      <w:r>
        <w:rPr>
          <w:sz w:val="24"/>
        </w:rPr>
        <w:t xml:space="preserve">- в кладовых допускается хранение вещей, оборудования, овощей и т.п. Хранение взрывоопасных веществ и материалов, легковоспламеняющихся и горючих жидкостей, масел, баллонов с горючими газами, баллонов под давлением, автомобильных (мотоциклетных) шин (покрышек) в хозяйственных кладовых не допускается;</w:t>
      </w:r>
    </w:p>
    <w:p>
      <w:pPr>
        <w:pStyle w:val="0"/>
        <w:spacing w:before="240" w:lineRule="auto"/>
        <w:ind w:firstLine="540"/>
        <w:jc w:val="both"/>
      </w:pPr>
      <w:r>
        <w:rPr>
          <w:sz w:val="24"/>
        </w:rPr>
        <w:t xml:space="preserve">- из каждого блока кладовых следует предусматривать не менее двух эвакуационных выходов шириной не менее 0,8 м каждый с количеством мест хранения более 15 (с единовременным пребыванием более 15 человек), при меньшем количестве - один выход.</w:t>
      </w:r>
    </w:p>
    <w:p>
      <w:pPr>
        <w:pStyle w:val="0"/>
        <w:spacing w:before="240" w:lineRule="auto"/>
        <w:ind w:firstLine="540"/>
        <w:jc w:val="both"/>
      </w:pPr>
      <w:r>
        <w:rPr>
          <w:sz w:val="24"/>
        </w:rPr>
        <w:t xml:space="preserve">Помещения кладовых должны быть оборудованы системой пожаротушения (спринклерным автоматическим пожаротушением). Параметры автоматической спринклерной установки пожаротушения (интенсивность, время работы, расчетная площадь пожара) следует принимать по </w:t>
      </w:r>
      <w:hyperlink w:history="0" w:anchor="P1429" w:tooltip="14.3.9 Спринклерные оросители допускается устанавливать на сети внутреннего противопожарного водопровода через задвижку и реле потока. Параметры установок пожаротушения (интенсивность орошения, расход ОТВ, минимальная площадь орошения при срабатывании спринклерной АУП, продолжительность подачи воды и максимальное расстояние между спринклерными оросителями) должны соответствовать 1-й группе помещений согласно СП 486.1311500.">
        <w:r>
          <w:rPr>
            <w:sz w:val="24"/>
            <w:color w:val="0000ff"/>
          </w:rPr>
          <w:t xml:space="preserve">14.3.9</w:t>
        </w:r>
      </w:hyperlink>
      <w:r>
        <w:rPr>
          <w:sz w:val="24"/>
        </w:rPr>
        <w:t xml:space="preserve">.</w:t>
      </w:r>
    </w:p>
    <w:p>
      <w:pPr>
        <w:pStyle w:val="0"/>
        <w:jc w:val="both"/>
      </w:pPr>
      <w:r>
        <w:rPr>
          <w:sz w:val="24"/>
        </w:rPr>
        <w:t xml:space="preserve">(в ред. </w:t>
      </w:r>
      <w:hyperlink w:history="0" r:id="rId36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14.4.10 Следует предусматривать мероприятия по шумо- и виброизоляции при работе блоков кондиционеров или холодильных машин на открытых технических балконах (лоджиях), при этом балконы (лоджии) должны быть отделены противопожарными перегородками с пределом огнестойкости не менее EI 90.</w:t>
      </w:r>
    </w:p>
    <w:p>
      <w:pPr>
        <w:pStyle w:val="0"/>
        <w:spacing w:before="240" w:lineRule="auto"/>
        <w:ind w:firstLine="540"/>
        <w:jc w:val="both"/>
      </w:pPr>
      <w:r>
        <w:rPr>
          <w:sz w:val="24"/>
        </w:rPr>
        <w:t xml:space="preserve">14.4.11 В техническом пространстве высотой менее 1,8 м (без постоянного пребывания людей), являющемся частью этажа, используемом только для прокладки коммуникаций, высотой менее 1,8 м (этажом не является), расположенном над первым этажом, допускается проектировать отдельные зоны для инженерного оборудования здания.</w:t>
      </w:r>
    </w:p>
    <w:p>
      <w:pPr>
        <w:pStyle w:val="0"/>
        <w:spacing w:before="240" w:lineRule="auto"/>
        <w:ind w:firstLine="540"/>
        <w:jc w:val="both"/>
      </w:pPr>
      <w:r>
        <w:rPr>
          <w:sz w:val="24"/>
        </w:rPr>
        <w:t xml:space="preserve">Техническое пространство следует оборудовать системой пожарной сигнализации и системой оповещения и управления эвакуацией людей при пожаре.</w:t>
      </w:r>
    </w:p>
    <w:p>
      <w:pPr>
        <w:pStyle w:val="0"/>
        <w:spacing w:before="240" w:lineRule="auto"/>
        <w:ind w:firstLine="540"/>
        <w:jc w:val="both"/>
      </w:pPr>
      <w:r>
        <w:rPr>
          <w:sz w:val="24"/>
        </w:rPr>
        <w:t xml:space="preserve">Техническое пространство, при наличии в нем горючих материалов (за исключением: канальных вентиляторов, выполненных из материалов группы горючести НГ, щитов обслуживания вентиляционного оборудования с клеммными соединениями и подходящими кабелями в исполнении нг-FRLS; а также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следует оборудовать внутренним противопожарным водопроводом.</w:t>
      </w:r>
    </w:p>
    <w:p>
      <w:pPr>
        <w:pStyle w:val="0"/>
        <w:spacing w:before="240" w:lineRule="auto"/>
        <w:ind w:firstLine="540"/>
        <w:jc w:val="both"/>
      </w:pPr>
      <w:r>
        <w:rPr>
          <w:sz w:val="24"/>
        </w:rPr>
        <w:t xml:space="preserve">На высотном объекте допускается не предусматривать вытяжную противодымную вентиляцию из технических этажей (технических пространств) жилого дома с учетом обеспечения входа в незадымляемые лестничные клетки типа Н2 через тамбур-шлюзы с подпором воздуха при пожаре. При этом указанные лестничные клетки должны сообщаться с коридорами (через тамбур-шлюзы с подпором воздуха при пожаре), из которых предусматривается удаление продуктов горения системой вытяжной противодымной вентиляции в целях обеспечения необходимого сочетания вытяжных и приточных противодымных систем.</w:t>
      </w:r>
    </w:p>
    <w:p>
      <w:pPr>
        <w:pStyle w:val="0"/>
        <w:spacing w:before="240" w:lineRule="auto"/>
        <w:ind w:firstLine="540"/>
        <w:jc w:val="both"/>
      </w:pPr>
      <w:r>
        <w:rPr>
          <w:sz w:val="24"/>
        </w:rPr>
        <w:t xml:space="preserve">Устройство технических пространств допускается при выполнении следующих требований - выделение указанных пространств, расположенных в объеме этажа, стенами (при необходимости) и перекрытиями (не участвующими в общей устойчивости и геометрической неизменяемости здания при пожаре) с пределом огнестойкости не менее REI 45, а от смежных этажей - строительными конструкциями с пределом огнестойкости не менее предела огнестойкости междуэтажного перекрытия объекта или противопожарными стенами и (или) перекрытиями в случае размещения на границе пожарных отсеков. В случае участия перекрытия в общей устойчивости и геометрической неизменяемости здания при пожаре предел огнестойкости по несущей способности должен быть не менее R 120.</w:t>
      </w:r>
    </w:p>
    <w:p>
      <w:pPr>
        <w:pStyle w:val="0"/>
        <w:spacing w:before="240" w:lineRule="auto"/>
        <w:ind w:firstLine="540"/>
        <w:jc w:val="both"/>
      </w:pPr>
      <w:r>
        <w:rPr>
          <w:sz w:val="24"/>
        </w:rPr>
        <w:t xml:space="preserve">Эвакуацию из указанных помещений допускается обеспечивать в эвакуационные лестничные клетки жилых секций с выходом на них непосредственно, а также через коридор и/или тамбур-шлюз (лифтовой холл) лифта для пожарных подразделений.</w:t>
      </w:r>
    </w:p>
    <w:p>
      <w:pPr>
        <w:pStyle w:val="0"/>
        <w:spacing w:before="240" w:lineRule="auto"/>
        <w:ind w:firstLine="540"/>
        <w:jc w:val="both"/>
      </w:pPr>
      <w:r>
        <w:rPr>
          <w:sz w:val="24"/>
        </w:rPr>
        <w:t xml:space="preserve">Выполнение доступа в указанные пространства из незадымляемых лестничных клеток типа Н2 или Н3 и (или) из смежных помещений (включая коридоры и холлы, лобби, фойе, вестибюли) допускается через люки с пределом огнестойкости не менее EIS 60 размерами не менее 0,6 x 0,8 м, без устройства эвакуационных выходов.</w:t>
      </w:r>
    </w:p>
    <w:p>
      <w:pPr>
        <w:pStyle w:val="0"/>
        <w:spacing w:before="240" w:lineRule="auto"/>
        <w:ind w:firstLine="540"/>
        <w:jc w:val="both"/>
      </w:pPr>
      <w:r>
        <w:rPr>
          <w:sz w:val="24"/>
        </w:rPr>
        <w:t xml:space="preserve">Следует предусматривать устройство в техническом пространстве систем противопожарной защиты: внутреннего противопожарного водопровода, системы оповещения и управления эвакуацией людей при пожаре, автоматической пожарной сигнализации, противодымной защиты, а также спринклерных оросителей, запитанных через сигнализатор потока жидкости от системы внутреннего противопожарного водопровода, с параметрами (интенсивность орошения, расход воды, время работы, минимальная площадь, расстояние между оросителями) как для помещений 1 группы при наличии сгораемых материалов или конструкций (за исключением: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При отсутствии в пространстве горючих материалов, за исключением вышеуказанных, техническое пространство должно быть оборудовано только системой автоматической пожарной сигнализации и системой оповещения и управления эвакуацией людей при пожаре.</w:t>
      </w:r>
    </w:p>
    <w:p>
      <w:pPr>
        <w:pStyle w:val="0"/>
        <w:spacing w:before="240" w:lineRule="auto"/>
        <w:ind w:firstLine="540"/>
        <w:jc w:val="both"/>
      </w:pPr>
      <w:r>
        <w:rPr>
          <w:sz w:val="24"/>
        </w:rPr>
        <w:t xml:space="preserve">14.4.12 При размещении на кровле высотных жилых корпусов технических помещений (электрощитовых, электротехнических помещений для установки ВРУ, распределительных щитов, распределительных панелей и щитов управления (в том числе для питания систем противопожарной защиты), машинных отделений лифтов), они должны быть выделены противопожарными преградами (стенами и перекрытиями) с пределом огнестойкости не менее REI 150, с заполнением проемов противопожарными дверями 1-го типа.</w:t>
      </w:r>
    </w:p>
    <w:p>
      <w:pPr>
        <w:pStyle w:val="0"/>
        <w:spacing w:before="240" w:lineRule="auto"/>
        <w:ind w:firstLine="540"/>
        <w:jc w:val="both"/>
      </w:pPr>
      <w:r>
        <w:rPr>
          <w:sz w:val="24"/>
        </w:rPr>
        <w:t xml:space="preserve">Для персонала, периодически обслуживающего инженерное оборудование, выходы из указанных помещений должны быть выполнены на кровлю и далее по проходам шириной не менее 0,7 м (выполненным из материалов НГ), ведущим в эвакуационные лестничные клетки здания. Конструкции покрытий при устройстве указанных проходов следует проектировать с пределом огнестойкости не менее R (EI) 30 и классом пожарной опасности К0.</w:t>
      </w:r>
    </w:p>
    <w:p>
      <w:pPr>
        <w:pStyle w:val="0"/>
        <w:spacing w:before="240" w:lineRule="auto"/>
        <w:ind w:firstLine="540"/>
        <w:jc w:val="both"/>
      </w:pPr>
      <w:r>
        <w:rPr>
          <w:sz w:val="24"/>
        </w:rPr>
        <w:t xml:space="preserve">14.4.13 Над выходами с участков кровли следует предусматривать установку табличек "Выход" и устройство оповещателей СОУЭ при пожаре в зоне смотровых площадок. Звуковые сигналы СОУЭ должны обеспечивать общий уровень звука на эксплуатируемой кровле (уровень звука постоянного шума вместе со всеми сигналами, производимыми оповещателями), но не менее 75 дБА на расстоянии 3 м от оповещателя.</w:t>
      </w:r>
    </w:p>
    <w:p>
      <w:pPr>
        <w:pStyle w:val="0"/>
        <w:spacing w:before="240" w:lineRule="auto"/>
        <w:ind w:firstLine="540"/>
        <w:jc w:val="both"/>
      </w:pPr>
      <w:r>
        <w:rPr>
          <w:sz w:val="24"/>
        </w:rPr>
        <w:t xml:space="preserve">На смотровых площадках следует предусматривать установку оповещателей системы оповещения, указателей движения людей при пожаре и ручных пожарных извещателей. На смотровых площадках не допускается предусматривать размещение оборудования (скамейки, зонты, урны, столики, стулья).</w:t>
      </w:r>
    </w:p>
    <w:p>
      <w:pPr>
        <w:pStyle w:val="0"/>
        <w:spacing w:before="240" w:lineRule="auto"/>
        <w:ind w:firstLine="540"/>
        <w:jc w:val="both"/>
      </w:pPr>
      <w:r>
        <w:rPr>
          <w:sz w:val="24"/>
        </w:rPr>
        <w:t xml:space="preserve">14.4.14 Следует предусматривать оборудование поэтажных помещений сбора и временного хранения мусора автоматическими установками пожаротушения и пожарной сигнализации.</w:t>
      </w:r>
    </w:p>
    <w:p>
      <w:pPr>
        <w:pStyle w:val="0"/>
        <w:spacing w:before="240" w:lineRule="auto"/>
        <w:ind w:firstLine="540"/>
        <w:jc w:val="both"/>
      </w:pPr>
      <w:r>
        <w:rPr>
          <w:sz w:val="24"/>
        </w:rPr>
        <w:t xml:space="preserve">14.4.15 Мусоросборная камера должна быть оборудована: автоматической пожарной сигнализацией, системой оповещения и управления эвакуацией людей при пожаре (не ниже 2 типа), а также автоматической установкой спринклерного пожаротушения по </w:t>
      </w:r>
      <w:hyperlink w:history="0" w:anchor="P1425" w:tooltip="14.3.8 Мусоросборная камера, при наличии, должна быть оборудована автоматической пожарной сигнализацией, системой оповещения и управления эвакуацией людей при пожаре (не ниже 2-го типа), а также автоматической установкой спринклерного пожаротушения с параметрами:">
        <w:r>
          <w:rPr>
            <w:sz w:val="24"/>
            <w:color w:val="0000ff"/>
          </w:rPr>
          <w:t xml:space="preserve">14.3.8</w:t>
        </w:r>
      </w:hyperlink>
      <w:r>
        <w:rPr>
          <w:sz w:val="24"/>
        </w:rPr>
        <w:t xml:space="preserve">.</w:t>
      </w:r>
    </w:p>
    <w:p>
      <w:pPr>
        <w:pStyle w:val="0"/>
        <w:jc w:val="both"/>
      </w:pPr>
      <w:r>
        <w:rPr>
          <w:sz w:val="24"/>
        </w:rPr>
        <w:t xml:space="preserve">(в ред. </w:t>
      </w:r>
      <w:hyperlink w:history="0" r:id="rId37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Допускается размещение помещений сбора мусора на этажах подземной стоянки автомобилей без устройства выхода непосредственно наружу при условии выделения указанных помещений противопожарными стенами с пределом огнестойкости не менее REI 150 с заполнением проемов противопожарными дверями (воротами) 1-го типа без устройства тамбур-шлюза и дренчерной завесы, а также оборудования указанных помещений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 При этом удаление продуктов горения из помещений сбора мусора на этажах подземной стоянки автомобилей допускается не предусматривать.</w:t>
      </w:r>
    </w:p>
    <w:p>
      <w:pPr>
        <w:pStyle w:val="0"/>
        <w:spacing w:before="240" w:lineRule="auto"/>
        <w:ind w:firstLine="540"/>
        <w:jc w:val="both"/>
      </w:pPr>
      <w:r>
        <w:rPr>
          <w:sz w:val="24"/>
        </w:rPr>
        <w:t xml:space="preserve">14.4.16 Допускается размещение во встроенной в высотное здание подземной стоянки автомобилей машино-мест для зарядки электромобилей (машино-места должны быть оборудованы информационными табличками как машино-места для электромобилей) при условии выполнения следующих мероприятий:</w:t>
      </w:r>
    </w:p>
    <w:p>
      <w:pPr>
        <w:pStyle w:val="0"/>
        <w:spacing w:before="240" w:lineRule="auto"/>
        <w:ind w:firstLine="540"/>
        <w:jc w:val="both"/>
      </w:pPr>
      <w:r>
        <w:rPr>
          <w:sz w:val="24"/>
        </w:rPr>
        <w:t xml:space="preserve">- при выделении аккумуляторными батареями при зарядке водорода дополнительно должна предусматриваться аварийная вентиляция, срабатывающая от соответствующих датчиков, при превышении допустимой концентрации водорода. При организации зарядки аккумуляторных батарей электромобилей с батареями, которые во время зарядки не выделяют вещества в объеме, способном образовать взрывоопасную среду, устройство дополнительной аварийной вентиляции допускается не предусматривать. При этом электрические сети для зарядки электромобилей должны предусматриваться со степенью защиты не менее IP 54, а также обеспечиваться устройством защитного отключения, в том числе и при получении сигнала о срабатывании систем противопожарной защиты. Зарядные устройства должны применяться только заводского изготовления. Мощность зарядного устройства не должна превышать 65 кВт. Автоматика зарядного устройства должна отключать зарядку при достижении 95% зарядки аккумуляторов;</w:t>
      </w:r>
    </w:p>
    <w:p>
      <w:pPr>
        <w:pStyle w:val="0"/>
        <w:spacing w:before="240" w:lineRule="auto"/>
        <w:ind w:firstLine="540"/>
        <w:jc w:val="both"/>
      </w:pPr>
      <w:r>
        <w:rPr>
          <w:sz w:val="24"/>
        </w:rPr>
        <w:t xml:space="preserve">- система вытяжной противодымной вентиляции из указанных помещений должна приниматься с учетом длительного горения автомобильных аккумуляторов (не менее 1 ч);</w:t>
      </w:r>
    </w:p>
    <w:p>
      <w:pPr>
        <w:pStyle w:val="0"/>
        <w:spacing w:before="240" w:lineRule="auto"/>
        <w:ind w:firstLine="540"/>
        <w:jc w:val="both"/>
      </w:pPr>
      <w:r>
        <w:rPr>
          <w:sz w:val="24"/>
        </w:rPr>
        <w:t xml:space="preserve">- тушение указанных помещений должно предусматриваться автоматической установкой пожаротушения и системой внутреннего противопожарного водопровода пожарного отсека стоянки автомобилей;</w:t>
      </w:r>
    </w:p>
    <w:p>
      <w:pPr>
        <w:pStyle w:val="0"/>
        <w:spacing w:before="240" w:lineRule="auto"/>
        <w:ind w:firstLine="540"/>
        <w:jc w:val="both"/>
      </w:pPr>
      <w:r>
        <w:rPr>
          <w:sz w:val="24"/>
        </w:rPr>
        <w:t xml:space="preserve">- размещение зарядных станций (устройства, розетки) на расстоянии не менее 0,5 м от уровня пола на стенах стоянки, ограждающих конструкциях или несущих колоннах, выполненных из негорючих материалов;</w:t>
      </w:r>
    </w:p>
    <w:p>
      <w:pPr>
        <w:pStyle w:val="0"/>
        <w:spacing w:before="240" w:lineRule="auto"/>
        <w:ind w:firstLine="540"/>
        <w:jc w:val="both"/>
      </w:pPr>
      <w:r>
        <w:rPr>
          <w:sz w:val="24"/>
        </w:rPr>
        <w:t xml:space="preserve">- исполнение кабелей питания электрозарядных станций (устройств, розеток) для автомобилей должно исключать возможность распространения пламени, внешняя оболочка кабелей должна быть из негорючих материалов. При этом прокладка данных кабелей должна выполняться открытым способом по стенам и потолкам помещений (допускается прокладка в трубах или ПВХ-коробах). При прокладке силовых кабелей для питания зарядных станций (устройств, розеток) должны предусматриваться мероприятия, исключающие повреждение кабелей в результате наезда на них автомобилей. В частности, допускается прокладка кабелей по стенам стоянки автомобилей открытым способом на высоте не менее 1,4 м от уровня пола;</w:t>
      </w:r>
    </w:p>
    <w:p>
      <w:pPr>
        <w:pStyle w:val="0"/>
        <w:spacing w:before="240" w:lineRule="auto"/>
        <w:ind w:firstLine="540"/>
        <w:jc w:val="both"/>
      </w:pPr>
      <w:r>
        <w:rPr>
          <w:sz w:val="24"/>
        </w:rPr>
        <w:t xml:space="preserve">- оборудование этажа стоянки автомобилей передвижным 50-литровым огнетушителем с возможностью тушения пожаров классов A, B, C, E (порошковым), а также двумя 5-литровыми огнетушителями с возможностью тушения пожаров класса D (порошковые типа ОПС-5 или аналоги).</w:t>
      </w:r>
    </w:p>
    <w:p>
      <w:pPr>
        <w:pStyle w:val="0"/>
        <w:spacing w:before="240" w:lineRule="auto"/>
        <w:ind w:firstLine="540"/>
        <w:jc w:val="both"/>
      </w:pPr>
      <w:r>
        <w:rPr>
          <w:sz w:val="24"/>
        </w:rPr>
        <w:t xml:space="preserve">При этом следует предусматривать размещение в подземной стоянке автомобилей машино-мест для электромобилей на первом подземном уровне в отдельной части (секции) пожарного отсека, отделенной противопожарными перегородками с пределом огнестойкости не менее EI 90 с заполнением проемов противопожарными воротами (дверями) 1-го типа в дымогазонепроницаемом исполнении, а помещение для электромобилей должно иметь выезд непосредственно в изолированную рампу, имеющую выезд наружу. Допускается располагать выезд из данного помещения не далее 15 м от проема въезда в рампу.</w:t>
      </w:r>
    </w:p>
    <w:p>
      <w:pPr>
        <w:pStyle w:val="0"/>
        <w:jc w:val="both"/>
      </w:pPr>
      <w:r>
        <w:rPr>
          <w:sz w:val="24"/>
        </w:rPr>
      </w:r>
    </w:p>
    <w:p>
      <w:pPr>
        <w:pStyle w:val="2"/>
        <w:outlineLvl w:val="1"/>
        <w:ind w:firstLine="540"/>
        <w:jc w:val="both"/>
      </w:pPr>
      <w:r>
        <w:rPr>
          <w:sz w:val="24"/>
        </w:rPr>
        <w:t xml:space="preserve">15 Мероприятия по обеспечению санитарно-гигиенических и экологических требований</w:t>
      </w:r>
    </w:p>
    <w:p>
      <w:pPr>
        <w:pStyle w:val="0"/>
        <w:jc w:val="both"/>
      </w:pPr>
      <w:r>
        <w:rPr>
          <w:sz w:val="24"/>
        </w:rPr>
      </w:r>
    </w:p>
    <w:p>
      <w:pPr>
        <w:pStyle w:val="0"/>
        <w:ind w:firstLine="540"/>
        <w:jc w:val="both"/>
      </w:pPr>
      <w:r>
        <w:rPr>
          <w:sz w:val="24"/>
        </w:rPr>
        <w:t xml:space="preserve">15.1 Для высотных зданий с жилыми помещениями на этапе проектирования следует предусматривать:</w:t>
      </w:r>
    </w:p>
    <w:p>
      <w:pPr>
        <w:pStyle w:val="0"/>
        <w:spacing w:before="240" w:lineRule="auto"/>
        <w:ind w:firstLine="540"/>
        <w:jc w:val="both"/>
      </w:pPr>
      <w:r>
        <w:rPr>
          <w:sz w:val="24"/>
        </w:rPr>
        <w:t xml:space="preserve">выполнение санитарно-эпидемиологических и экологических требований по охране здоровья людей и окружающей природной среды в соответствии с </w:t>
      </w:r>
      <w:hyperlink w:history="0" w:anchor="P3081" w:tooltip="БИБЛИОГРАФИЯ">
        <w:r>
          <w:rPr>
            <w:sz w:val="24"/>
            <w:color w:val="0000ff"/>
          </w:rPr>
          <w:t xml:space="preserve">[3]</w:t>
        </w:r>
      </w:hyperlink>
      <w:r>
        <w:rPr>
          <w:sz w:val="24"/>
        </w:rPr>
        <w:t xml:space="preserve">, </w:t>
      </w:r>
      <w:hyperlink w:history="0" w:anchor="P3081" w:tooltip="БИБЛИОГРАФИЯ">
        <w:r>
          <w:rPr>
            <w:sz w:val="24"/>
            <w:color w:val="0000ff"/>
          </w:rPr>
          <w:t xml:space="preserve">[4]</w:t>
        </w:r>
      </w:hyperlink>
      <w:r>
        <w:rPr>
          <w:sz w:val="24"/>
        </w:rPr>
        <w:t xml:space="preserve">, </w:t>
      </w:r>
      <w:hyperlink w:history="0" r:id="rId371"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w:t>
      </w:r>
      <w:hyperlink w:history="0" r:id="rId37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jc w:val="both"/>
      </w:pPr>
      <w:r>
        <w:rPr>
          <w:sz w:val="24"/>
        </w:rPr>
        <w:t xml:space="preserve">(в ред. </w:t>
      </w:r>
      <w:hyperlink w:history="0" r:id="rId37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обеспечение благоприятных условий жизнедеятельности человека;</w:t>
      </w:r>
    </w:p>
    <w:p>
      <w:pPr>
        <w:pStyle w:val="0"/>
        <w:spacing w:before="240" w:lineRule="auto"/>
        <w:ind w:firstLine="540"/>
        <w:jc w:val="both"/>
      </w:pPr>
      <w:r>
        <w:rPr>
          <w:sz w:val="24"/>
        </w:rPr>
        <w:t xml:space="preserve">возмещение вреда окружающей среде;</w:t>
      </w:r>
    </w:p>
    <w:p>
      <w:pPr>
        <w:pStyle w:val="0"/>
        <w:spacing w:before="240" w:lineRule="auto"/>
        <w:ind w:firstLine="540"/>
        <w:jc w:val="both"/>
      </w:pPr>
      <w:r>
        <w:rPr>
          <w:sz w:val="24"/>
        </w:rPr>
        <w:t xml:space="preserve">оценку воздействия строительства и эксплуатации высотных зданий на окружающую среду;</w:t>
      </w:r>
    </w:p>
    <w:p>
      <w:pPr>
        <w:pStyle w:val="0"/>
        <w:spacing w:before="240" w:lineRule="auto"/>
        <w:ind w:firstLine="540"/>
        <w:jc w:val="both"/>
      </w:pPr>
      <w:r>
        <w:rPr>
          <w:sz w:val="24"/>
        </w:rPr>
        <w:t xml:space="preserve">обеспечение необходимых технических мероприятий по защите высотного здания от источников вибрации и шума в соответствии с СП 50.13330, </w:t>
      </w:r>
      <w:hyperlink w:history="0" r:id="rId374"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4.3</w:t>
        </w:r>
      </w:hyperlink>
      <w:r>
        <w:rPr>
          <w:sz w:val="24"/>
        </w:rPr>
        <w:t xml:space="preserve">.</w:t>
      </w:r>
    </w:p>
    <w:p>
      <w:pPr>
        <w:pStyle w:val="0"/>
        <w:jc w:val="both"/>
      </w:pPr>
      <w:r>
        <w:rPr>
          <w:sz w:val="24"/>
        </w:rPr>
        <w:t xml:space="preserve">(в ред. </w:t>
      </w:r>
      <w:hyperlink w:history="0" r:id="rId37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15.2 При разработке задания на проектирование высотных зданий с жилыми функциями в составе проектной документации необходимо учитывать оценку уровня радиоактивного излучения, плотности потока радона на выделенном участке.</w:t>
      </w:r>
    </w:p>
    <w:p>
      <w:pPr>
        <w:pStyle w:val="0"/>
        <w:spacing w:before="240" w:lineRule="auto"/>
        <w:ind w:firstLine="540"/>
        <w:jc w:val="both"/>
      </w:pPr>
      <w:r>
        <w:rPr>
          <w:sz w:val="24"/>
        </w:rPr>
        <w:t xml:space="preserve">15.3 При разработке задания на проектирование высотных зданий в составе проектной документации необходимо осуществлять оценку ветрового режима и аэродинамических показателей. При этом следует обеспечивать на земле снижение ветровых потоков, возникающих у первых этажей высотного здания и прилегающей застройки.</w:t>
      </w:r>
    </w:p>
    <w:p>
      <w:pPr>
        <w:pStyle w:val="0"/>
        <w:spacing w:before="240" w:lineRule="auto"/>
        <w:ind w:firstLine="540"/>
        <w:jc w:val="both"/>
      </w:pPr>
      <w:r>
        <w:rPr>
          <w:sz w:val="24"/>
        </w:rPr>
        <w:t xml:space="preserve">15.4 Стоянки автомобилей следует проектировать и рассчитывать в соответствии с действующими нормами и правилами. Вентиляционные камеры вытяжных вентиляционных систем и систем дымоудаления из подземных стоянок автомобилей рекомендуется размещать на верхних технических этажах или на кровле здания с соблюдением </w:t>
      </w:r>
      <w:hyperlink w:history="0" r:id="rId376"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по шумо- и виброизоляции.</w:t>
      </w:r>
    </w:p>
    <w:p>
      <w:pPr>
        <w:pStyle w:val="0"/>
        <w:spacing w:before="240" w:lineRule="auto"/>
        <w:ind w:firstLine="540"/>
        <w:jc w:val="both"/>
      </w:pPr>
      <w:r>
        <w:rPr>
          <w:sz w:val="24"/>
        </w:rPr>
        <w:t xml:space="preserve">Выбросы загрязняющих веществ от стоянок автомобилей и автономных источников теплоснабжения должны рассчитывать с учетом технических характеристик оборудования.</w:t>
      </w:r>
    </w:p>
    <w:p>
      <w:pPr>
        <w:pStyle w:val="0"/>
        <w:spacing w:before="240" w:lineRule="auto"/>
        <w:ind w:firstLine="540"/>
        <w:jc w:val="both"/>
      </w:pPr>
      <w:r>
        <w:rPr>
          <w:sz w:val="24"/>
        </w:rPr>
        <w:t xml:space="preserve">Разрывы от стоянок автомобилей и гаражей-стоянок в составе высотного здания до жилой застройки и других нормируемых объектов следует принимать по </w:t>
      </w:r>
      <w:hyperlink w:history="0" r:id="rId377"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w:t>
        </w:r>
      </w:hyperlink>
      <w:r>
        <w:rPr>
          <w:sz w:val="24"/>
        </w:rPr>
        <w:t xml:space="preserve">.</w:t>
      </w:r>
    </w:p>
    <w:p>
      <w:pPr>
        <w:pStyle w:val="0"/>
        <w:jc w:val="both"/>
      </w:pPr>
      <w:r>
        <w:rPr>
          <w:sz w:val="24"/>
        </w:rPr>
        <w:t xml:space="preserve">(абзац введен </w:t>
      </w:r>
      <w:hyperlink w:history="0" r:id="rId37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15.5 Для обеспечения безопасности при эксплуатации инженерных систем необходимо соблюдать следующие правила:</w:t>
      </w:r>
    </w:p>
    <w:p>
      <w:pPr>
        <w:pStyle w:val="0"/>
        <w:spacing w:before="240" w:lineRule="auto"/>
        <w:ind w:firstLine="540"/>
        <w:jc w:val="both"/>
      </w:pPr>
      <w:r>
        <w:rPr>
          <w:sz w:val="24"/>
        </w:rPr>
        <w:t xml:space="preserve">температура поверхностей доступных для людей частей нагревательных приборов и подающих трубопроводов отопления не должна превышать 95 °C, если приняты меры для предотвращения касания их человеком, температура поверхностей изолированных трубопроводов не должна превышать 40 °C;</w:t>
      </w:r>
    </w:p>
    <w:p>
      <w:pPr>
        <w:pStyle w:val="0"/>
        <w:spacing w:before="240" w:lineRule="auto"/>
        <w:ind w:firstLine="540"/>
        <w:jc w:val="both"/>
      </w:pPr>
      <w:r>
        <w:rPr>
          <w:sz w:val="24"/>
        </w:rPr>
        <w:t xml:space="preserve">температура горячего воздуха на расстоянии 0,1 м от выпускного отверстия приборов воздушного отопления не должна превышать 70 °C;</w:t>
      </w:r>
    </w:p>
    <w:p>
      <w:pPr>
        <w:pStyle w:val="0"/>
        <w:spacing w:before="240" w:lineRule="auto"/>
        <w:ind w:firstLine="540"/>
        <w:jc w:val="both"/>
      </w:pPr>
      <w:r>
        <w:rPr>
          <w:sz w:val="24"/>
        </w:rPr>
        <w:t xml:space="preserve">температура горячей воды в местах водоразбора системы ГВС не должна превышать 65 °C.</w:t>
      </w:r>
    </w:p>
    <w:p>
      <w:pPr>
        <w:pStyle w:val="0"/>
        <w:jc w:val="both"/>
      </w:pPr>
      <w:r>
        <w:rPr>
          <w:sz w:val="24"/>
        </w:rPr>
        <w:t xml:space="preserve">(в ред. </w:t>
      </w:r>
      <w:hyperlink w:history="0" r:id="rId37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15.6 Для предотвращения загрязнения воздуха в квартирах и помещениях общественного назначения с глухим остеклением необходимо предусматривать установку систем механической (с принудительным притоком и принудительным удалением воздуха) вентиляции этих помещений в соответствии с </w:t>
      </w:r>
      <w:hyperlink w:history="0" r:id="rId38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jc w:val="both"/>
      </w:pPr>
      <w:r>
        <w:rPr>
          <w:sz w:val="24"/>
        </w:rPr>
        <w:t xml:space="preserve">(в ред. </w:t>
      </w:r>
      <w:hyperlink w:history="0" r:id="rId38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15.7 Параметры вибрации во всех нормируемых по вибрации помещениях должны соответствовать санитарным нормам </w:t>
      </w:r>
      <w:hyperlink w:history="0" r:id="rId382"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38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15.8 Шумовые характеристики источников внешнего шума, уровни проникающего в жилые помещения звука и уровни шума на территориях застройки, требуемое значение их снижения, мероприятия и средства шумозащиты следует определять по </w:t>
      </w:r>
      <w:hyperlink w:history="0" r:id="rId384"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w:t>
      </w:r>
      <w:hyperlink w:history="0" r:id="rId385"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и на основании натурных измерений.</w:t>
      </w:r>
    </w:p>
    <w:p>
      <w:pPr>
        <w:pStyle w:val="0"/>
        <w:jc w:val="both"/>
      </w:pPr>
      <w:r>
        <w:rPr>
          <w:sz w:val="24"/>
        </w:rPr>
        <w:t xml:space="preserve">(в ред. </w:t>
      </w:r>
      <w:hyperlink w:history="0" r:id="rId38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15.9 Защита от внутренних источников шума должна обеспечивать нормативные уровни шума во всех нормируемых по вибрации помещениях зданий в соответствии с </w:t>
      </w:r>
      <w:hyperlink w:history="0" r:id="rId387"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и </w:t>
      </w:r>
      <w:hyperlink w:history="0" r:id="rId388"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38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К внутренним источникам шума относят: инженерное оборудование, АИТ или ЭЦ, размещенные на крыше, системы кондиционирования и т.п.</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b w:val="on"/>
        </w:rPr>
        <w:t xml:space="preserve">(рекомендуемое)</w:t>
      </w:r>
    </w:p>
    <w:p>
      <w:pPr>
        <w:pStyle w:val="0"/>
        <w:jc w:val="both"/>
      </w:pPr>
      <w:r>
        <w:rPr>
          <w:sz w:val="24"/>
        </w:rPr>
      </w:r>
    </w:p>
    <w:bookmarkStart w:id="1561" w:name="P1561"/>
    <w:bookmarkEnd w:id="1561"/>
    <w:p>
      <w:pPr>
        <w:pStyle w:val="2"/>
        <w:jc w:val="center"/>
      </w:pPr>
      <w:r>
        <w:rPr>
          <w:sz w:val="24"/>
        </w:rPr>
        <w:t xml:space="preserve">ПАРАМЕТРЫ ВНУТРЕННЕГО ВОЗДУХА ПОМЕЩЕНИЙ ЗДАНИЙ</w:t>
      </w:r>
    </w:p>
    <w:p>
      <w:pPr>
        <w:pStyle w:val="0"/>
        <w:jc w:val="both"/>
      </w:pPr>
      <w:r>
        <w:rPr>
          <w:sz w:val="24"/>
        </w:rPr>
      </w:r>
    </w:p>
    <w:p>
      <w:pPr>
        <w:pStyle w:val="0"/>
        <w:ind w:firstLine="540"/>
        <w:jc w:val="both"/>
      </w:pPr>
      <w:r>
        <w:rPr>
          <w:sz w:val="24"/>
        </w:rPr>
        <w:t xml:space="preserve">А.1 Значения параметров внутреннего воздуха высотных жилых, гостиничных и общественных зданий следует принимать при меньших значениях оптимальных температур внутреннего воздуха, указанных в таблицах А.1 и </w:t>
      </w:r>
      <w:hyperlink w:history="0" w:anchor="P1623" w:tooltip="Оптимальные значения параметров внутреннего воздуха">
        <w:r>
          <w:rPr>
            <w:sz w:val="24"/>
            <w:color w:val="0000ff"/>
          </w:rPr>
          <w:t xml:space="preserve">А.2</w:t>
        </w:r>
      </w:hyperlink>
      <w:r>
        <w:rPr>
          <w:sz w:val="24"/>
        </w:rPr>
        <w:t xml:space="preserve"> настоящего приложения, в соответствии с </w:t>
      </w:r>
      <w:hyperlink w:history="0" r:id="rId39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и </w:t>
      </w:r>
      <w:hyperlink w:history="0" r:id="rId391"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для систем кондиционирования воздуха температуры следует принимать в пределах оптимальных норм согласно таблицам А.1 и </w:t>
      </w:r>
      <w:hyperlink w:history="0" w:anchor="P1623" w:tooltip="Оптимальные значения параметров внутреннего воздуха">
        <w:r>
          <w:rPr>
            <w:sz w:val="24"/>
            <w:color w:val="0000ff"/>
          </w:rPr>
          <w:t xml:space="preserve">А.2</w:t>
        </w:r>
      </w:hyperlink>
      <w:r>
        <w:rPr>
          <w:sz w:val="24"/>
        </w:rPr>
        <w:t xml:space="preserve"> настоящего приложения.</w:t>
      </w:r>
    </w:p>
    <w:p>
      <w:pPr>
        <w:pStyle w:val="0"/>
        <w:jc w:val="both"/>
      </w:pPr>
      <w:r>
        <w:rPr>
          <w:sz w:val="24"/>
        </w:rPr>
        <w:t xml:space="preserve">(в ред. </w:t>
      </w:r>
      <w:hyperlink w:history="0" r:id="rId39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jc w:val="right"/>
      </w:pPr>
      <w:r>
        <w:rPr>
          <w:sz w:val="24"/>
        </w:rPr>
        <w:t xml:space="preserve">Таблица А.1</w:t>
      </w:r>
    </w:p>
    <w:p>
      <w:pPr>
        <w:pStyle w:val="0"/>
        <w:jc w:val="both"/>
      </w:pPr>
      <w:r>
        <w:rPr>
          <w:sz w:val="24"/>
        </w:rPr>
      </w:r>
    </w:p>
    <w:p>
      <w:pPr>
        <w:pStyle w:val="0"/>
        <w:jc w:val="center"/>
      </w:pPr>
      <w:r>
        <w:rPr>
          <w:sz w:val="24"/>
        </w:rPr>
        <w:t xml:space="preserve">Оптимальные значения параметров внутреннего воздуха</w:t>
      </w:r>
    </w:p>
    <w:p>
      <w:pPr>
        <w:pStyle w:val="0"/>
        <w:jc w:val="center"/>
      </w:pPr>
      <w:r>
        <w:rPr>
          <w:sz w:val="24"/>
        </w:rPr>
        <w:t xml:space="preserve">для жилых и гостиничных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Жилая комната или гостиничный номер с воздушным или водяным отоплением с местными отопительными приборами</w:t>
            </w:r>
          </w:p>
        </w:tc>
        <w:tc>
          <w:tcPr>
            <w:tcW w:w="1420" w:type="dxa"/>
          </w:tcPr>
          <w:p>
            <w:pPr>
              <w:pStyle w:val="0"/>
              <w:jc w:val="center"/>
            </w:pPr>
            <w:r>
              <w:rPr>
                <w:sz w:val="24"/>
              </w:rPr>
              <w:t xml:space="preserve">20 - 22</w:t>
            </w:r>
          </w:p>
        </w:tc>
        <w:tc>
          <w:tcPr>
            <w:tcW w:w="1840" w:type="dxa"/>
          </w:tcPr>
          <w:p>
            <w:pPr>
              <w:pStyle w:val="0"/>
              <w:jc w:val="center"/>
            </w:pPr>
            <w:r>
              <w:rPr>
                <w:sz w:val="24"/>
              </w:rPr>
              <w:t xml:space="preserve">19 - 20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Гостиничный номер с лучистым отоплением</w:t>
            </w:r>
          </w:p>
        </w:tc>
        <w:tc>
          <w:tcPr>
            <w:tcW w:w="1420" w:type="dxa"/>
          </w:tcPr>
          <w:p>
            <w:pPr>
              <w:pStyle w:val="0"/>
              <w:jc w:val="center"/>
            </w:pPr>
            <w:r>
              <w:rPr>
                <w:sz w:val="24"/>
              </w:rPr>
              <w:t xml:space="preserve">17 - 20</w:t>
            </w:r>
          </w:p>
        </w:tc>
        <w:tc>
          <w:tcPr>
            <w:tcW w:w="1840" w:type="dxa"/>
          </w:tcPr>
          <w:p>
            <w:pPr>
              <w:pStyle w:val="0"/>
              <w:jc w:val="center"/>
            </w:pPr>
            <w:r>
              <w:rPr>
                <w:sz w:val="24"/>
              </w:rPr>
              <w:t xml:space="preserve">19 - 20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Кухня с воздушным или водяным отоплением с местными отопительными приборами</w:t>
            </w:r>
          </w:p>
        </w:tc>
        <w:tc>
          <w:tcPr>
            <w:tcW w:w="1420" w:type="dxa"/>
          </w:tcPr>
          <w:p>
            <w:pPr>
              <w:pStyle w:val="0"/>
              <w:jc w:val="center"/>
            </w:pPr>
            <w:r>
              <w:rPr>
                <w:sz w:val="24"/>
              </w:rPr>
              <w:t xml:space="preserve">19 - 21</w:t>
            </w:r>
          </w:p>
        </w:tc>
        <w:tc>
          <w:tcPr>
            <w:tcW w:w="1840" w:type="dxa"/>
          </w:tcPr>
          <w:p>
            <w:pPr>
              <w:pStyle w:val="0"/>
              <w:jc w:val="center"/>
            </w:pPr>
            <w:r>
              <w:rPr>
                <w:sz w:val="24"/>
              </w:rPr>
              <w:t xml:space="preserve">18 - 20</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Туалет</w:t>
            </w:r>
          </w:p>
        </w:tc>
        <w:tc>
          <w:tcPr>
            <w:tcW w:w="1420" w:type="dxa"/>
          </w:tcPr>
          <w:p>
            <w:pPr>
              <w:pStyle w:val="0"/>
              <w:jc w:val="center"/>
            </w:pPr>
            <w:r>
              <w:rPr>
                <w:sz w:val="24"/>
              </w:rPr>
              <w:t xml:space="preserve">19 - 21</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Ванная, совмещенный санузел</w:t>
            </w:r>
          </w:p>
        </w:tc>
        <w:tc>
          <w:tcPr>
            <w:tcW w:w="1420" w:type="dxa"/>
          </w:tcPr>
          <w:p>
            <w:pPr>
              <w:pStyle w:val="0"/>
              <w:jc w:val="center"/>
            </w:pPr>
            <w:r>
              <w:rPr>
                <w:sz w:val="24"/>
              </w:rPr>
              <w:t xml:space="preserve">24 - 26</w:t>
            </w:r>
          </w:p>
        </w:tc>
        <w:tc>
          <w:tcPr>
            <w:tcW w:w="1840" w:type="dxa"/>
          </w:tcPr>
          <w:p>
            <w:pPr>
              <w:pStyle w:val="0"/>
              <w:jc w:val="center"/>
            </w:pPr>
            <w:r>
              <w:rPr>
                <w:sz w:val="24"/>
              </w:rPr>
              <w:t xml:space="preserve">23 - 27</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Межквартирный коридор</w:t>
            </w:r>
          </w:p>
        </w:tc>
        <w:tc>
          <w:tcPr>
            <w:tcW w:w="1420" w:type="dxa"/>
          </w:tcPr>
          <w:p>
            <w:pPr>
              <w:pStyle w:val="0"/>
              <w:jc w:val="center"/>
            </w:pPr>
            <w:r>
              <w:rPr>
                <w:sz w:val="24"/>
              </w:rPr>
              <w:t xml:space="preserve">18 - 20</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Вестибюль лестничной клетки</w:t>
            </w:r>
          </w:p>
        </w:tc>
        <w:tc>
          <w:tcPr>
            <w:tcW w:w="1420" w:type="dxa"/>
          </w:tcPr>
          <w:p>
            <w:pPr>
              <w:pStyle w:val="0"/>
              <w:jc w:val="center"/>
            </w:pPr>
            <w:r>
              <w:rPr>
                <w:sz w:val="24"/>
              </w:rPr>
              <w:t xml:space="preserve">16 - 18</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tcW w:w="1170" w:type="dxa"/>
          </w:tcPr>
          <w:p>
            <w:pPr>
              <w:pStyle w:val="0"/>
            </w:pPr>
            <w:r>
              <w:rPr>
                <w:sz w:val="24"/>
              </w:rPr>
              <w:t xml:space="preserve">Теплый</w:t>
            </w:r>
          </w:p>
        </w:tc>
        <w:tc>
          <w:tcPr>
            <w:tcW w:w="2041" w:type="dxa"/>
          </w:tcPr>
          <w:p>
            <w:pPr>
              <w:pStyle w:val="0"/>
            </w:pPr>
            <w:r>
              <w:rPr>
                <w:sz w:val="24"/>
              </w:rPr>
              <w:t xml:space="preserve">Жилая комната, гостиничный номер</w:t>
            </w:r>
          </w:p>
        </w:tc>
        <w:tc>
          <w:tcPr>
            <w:tcW w:w="1420" w:type="dxa"/>
          </w:tcPr>
          <w:p>
            <w:pPr>
              <w:pStyle w:val="0"/>
              <w:jc w:val="center"/>
            </w:pPr>
            <w:r>
              <w:rPr>
                <w:sz w:val="24"/>
              </w:rPr>
              <w:t xml:space="preserve">22 - 25</w:t>
            </w:r>
          </w:p>
        </w:tc>
        <w:tc>
          <w:tcPr>
            <w:tcW w:w="1840" w:type="dxa"/>
          </w:tcPr>
          <w:p>
            <w:pPr>
              <w:pStyle w:val="0"/>
              <w:jc w:val="center"/>
            </w:pPr>
            <w:r>
              <w:rPr>
                <w:sz w:val="24"/>
              </w:rPr>
              <w:t xml:space="preserve">22 - 25</w:t>
            </w:r>
          </w:p>
        </w:tc>
        <w:tc>
          <w:tcPr>
            <w:tcW w:w="1230" w:type="dxa"/>
          </w:tcPr>
          <w:p>
            <w:pPr>
              <w:pStyle w:val="0"/>
              <w:jc w:val="center"/>
            </w:pPr>
            <w:r>
              <w:rPr>
                <w:sz w:val="24"/>
              </w:rPr>
              <w:t xml:space="preserve">&lt; 60</w:t>
            </w:r>
          </w:p>
        </w:tc>
        <w:tc>
          <w:tcPr>
            <w:tcW w:w="1361" w:type="dxa"/>
          </w:tcPr>
          <w:p>
            <w:pPr>
              <w:pStyle w:val="0"/>
              <w:jc w:val="center"/>
            </w:pPr>
            <w:r>
              <w:rPr>
                <w:sz w:val="24"/>
              </w:rPr>
              <w:t xml:space="preserve">0,2</w:t>
            </w:r>
          </w:p>
        </w:tc>
      </w:tr>
      <w:tr>
        <w:tc>
          <w:tcPr>
            <w:gridSpan w:val="6"/>
            <w:tcW w:w="9062" w:type="dxa"/>
          </w:tcPr>
          <w:p>
            <w:pPr>
              <w:pStyle w:val="0"/>
              <w:ind w:firstLine="283"/>
              <w:jc w:val="both"/>
            </w:pPr>
            <w:r>
              <w:rPr>
                <w:sz w:val="24"/>
              </w:rPr>
              <w:t xml:space="preserve">Обозначение: НН - не нормируется.</w:t>
            </w:r>
          </w:p>
        </w:tc>
      </w:tr>
    </w:tbl>
    <w:p>
      <w:pPr>
        <w:pStyle w:val="0"/>
        <w:jc w:val="both"/>
      </w:pPr>
      <w:r>
        <w:rPr>
          <w:sz w:val="24"/>
        </w:rPr>
      </w:r>
    </w:p>
    <w:p>
      <w:pPr>
        <w:pStyle w:val="0"/>
        <w:jc w:val="right"/>
      </w:pPr>
      <w:r>
        <w:rPr>
          <w:sz w:val="24"/>
        </w:rPr>
        <w:t xml:space="preserve">Таблица А.2</w:t>
      </w:r>
    </w:p>
    <w:p>
      <w:pPr>
        <w:pStyle w:val="0"/>
        <w:jc w:val="both"/>
      </w:pPr>
      <w:r>
        <w:rPr>
          <w:sz w:val="24"/>
        </w:rPr>
      </w:r>
    </w:p>
    <w:bookmarkStart w:id="1623" w:name="P1623"/>
    <w:bookmarkEnd w:id="1623"/>
    <w:p>
      <w:pPr>
        <w:pStyle w:val="0"/>
        <w:jc w:val="center"/>
      </w:pPr>
      <w:r>
        <w:rPr>
          <w:sz w:val="24"/>
        </w:rPr>
        <w:t xml:space="preserve">Оптимальные значения параметров внутреннего воздуха</w:t>
      </w:r>
    </w:p>
    <w:p>
      <w:pPr>
        <w:pStyle w:val="0"/>
        <w:jc w:val="center"/>
      </w:pPr>
      <w:r>
        <w:rPr>
          <w:sz w:val="24"/>
        </w:rPr>
        <w:t xml:space="preserve">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Офис с воздушным или водяным отоплением с местными отопительными приборами</w:t>
            </w:r>
          </w:p>
        </w:tc>
        <w:tc>
          <w:tcPr>
            <w:tcW w:w="1420" w:type="dxa"/>
          </w:tcPr>
          <w:p>
            <w:pPr>
              <w:pStyle w:val="0"/>
              <w:jc w:val="center"/>
            </w:pPr>
            <w:r>
              <w:rPr>
                <w:sz w:val="24"/>
              </w:rPr>
              <w:t xml:space="preserve">19 - 21</w:t>
            </w:r>
          </w:p>
        </w:tc>
        <w:tc>
          <w:tcPr>
            <w:tcW w:w="1840" w:type="dxa"/>
          </w:tcPr>
          <w:p>
            <w:pPr>
              <w:pStyle w:val="0"/>
              <w:jc w:val="center"/>
            </w:pPr>
            <w:r>
              <w:rPr>
                <w:sz w:val="24"/>
              </w:rPr>
              <w:t xml:space="preserve">18 - 20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То же, с лучистым отоплением</w:t>
            </w:r>
          </w:p>
        </w:tc>
        <w:tc>
          <w:tcPr>
            <w:tcW w:w="1420" w:type="dxa"/>
          </w:tcPr>
          <w:p>
            <w:pPr>
              <w:pStyle w:val="0"/>
              <w:jc w:val="center"/>
            </w:pPr>
            <w:r>
              <w:rPr>
                <w:sz w:val="24"/>
              </w:rPr>
              <w:t xml:space="preserve">17 - 20</w:t>
            </w:r>
          </w:p>
        </w:tc>
        <w:tc>
          <w:tcPr>
            <w:tcW w:w="1840" w:type="dxa"/>
          </w:tcPr>
          <w:p>
            <w:pPr>
              <w:pStyle w:val="0"/>
              <w:jc w:val="center"/>
            </w:pPr>
            <w:r>
              <w:rPr>
                <w:sz w:val="24"/>
              </w:rPr>
              <w:t xml:space="preserve">18 - 20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0,2</w:t>
            </w:r>
          </w:p>
        </w:tc>
      </w:tr>
      <w:tr>
        <w:tc>
          <w:tcPr>
            <w:tcW w:w="1170" w:type="dxa"/>
          </w:tcPr>
          <w:p>
            <w:pPr>
              <w:pStyle w:val="0"/>
            </w:pPr>
            <w:r>
              <w:rPr>
                <w:sz w:val="24"/>
              </w:rPr>
              <w:t xml:space="preserve">Теплый</w:t>
            </w:r>
          </w:p>
        </w:tc>
        <w:tc>
          <w:tcPr>
            <w:tcW w:w="2041" w:type="dxa"/>
          </w:tcPr>
          <w:p>
            <w:pPr>
              <w:pStyle w:val="0"/>
            </w:pPr>
            <w:r>
              <w:rPr>
                <w:sz w:val="24"/>
              </w:rPr>
              <w:t xml:space="preserve">Офис с воздушным или лучистым охлаждением</w:t>
            </w:r>
          </w:p>
        </w:tc>
        <w:tc>
          <w:tcPr>
            <w:tcW w:w="1420" w:type="dxa"/>
          </w:tcPr>
          <w:p>
            <w:pPr>
              <w:pStyle w:val="0"/>
              <w:jc w:val="center"/>
            </w:pPr>
            <w:r>
              <w:rPr>
                <w:sz w:val="24"/>
              </w:rPr>
              <w:t xml:space="preserve">23 - 25</w:t>
            </w:r>
          </w:p>
        </w:tc>
        <w:tc>
          <w:tcPr>
            <w:tcW w:w="1840" w:type="dxa"/>
          </w:tcPr>
          <w:p>
            <w:pPr>
              <w:pStyle w:val="0"/>
              <w:jc w:val="center"/>
            </w:pPr>
            <w:r>
              <w:rPr>
                <w:sz w:val="24"/>
              </w:rPr>
              <w:t xml:space="preserve">22 - 24</w:t>
            </w:r>
          </w:p>
        </w:tc>
        <w:tc>
          <w:tcPr>
            <w:tcW w:w="1230" w:type="dxa"/>
          </w:tcPr>
          <w:p>
            <w:pPr>
              <w:pStyle w:val="0"/>
              <w:jc w:val="center"/>
            </w:pPr>
            <w:r>
              <w:rPr>
                <w:sz w:val="24"/>
              </w:rPr>
              <w:t xml:space="preserve">&lt; 60</w:t>
            </w:r>
          </w:p>
        </w:tc>
        <w:tc>
          <w:tcPr>
            <w:tcW w:w="1361" w:type="dxa"/>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А.2 В помещениях, обслуживаемых системами лучистого отопления или охлаждения с панелями в потолке, следует проверять допустимую температуру поверхности панелей из условия ограничения облученности головы человека. Тепловой поток в этом случае </w:t>
      </w:r>
      <w:r>
        <w:rPr>
          <w:position w:val="-11"/>
        </w:rPr>
        <w:drawing>
          <wp:inline distT="0" distB="0" distL="0" distR="0">
            <wp:extent cx="21145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211455" cy="292735"/>
                    </a:xfrm>
                    <a:prstGeom prst="rect">
                      <a:avLst/>
                    </a:prstGeom>
                    <a:noFill/>
                    <a:ln>
                      <a:noFill/>
                    </a:ln>
                  </pic:spPr>
                </pic:pic>
              </a:graphicData>
            </a:graphic>
          </wp:inline>
        </w:drawing>
      </w:r>
      <w:r>
        <w:rPr>
          <w:sz w:val="24"/>
        </w:rPr>
        <w:t xml:space="preserve">, Вт/м</w:t>
      </w:r>
      <w:r>
        <w:rPr>
          <w:sz w:val="24"/>
          <w:vertAlign w:val="superscript"/>
        </w:rPr>
        <w:t xml:space="preserve">2</w:t>
      </w:r>
      <w:r>
        <w:rPr>
          <w:sz w:val="24"/>
        </w:rPr>
        <w:t xml:space="preserve">, при соблюдении теплового комфорта, должен удовлетворять условию</w:t>
      </w:r>
    </w:p>
    <w:p>
      <w:pPr>
        <w:pStyle w:val="0"/>
        <w:jc w:val="both"/>
      </w:pPr>
      <w:r>
        <w:rPr>
          <w:sz w:val="24"/>
        </w:rPr>
      </w:r>
    </w:p>
    <w:p>
      <w:pPr>
        <w:pStyle w:val="0"/>
        <w:jc w:val="center"/>
      </w:pPr>
      <w:r>
        <w:rPr>
          <w:position w:val="-11"/>
        </w:rPr>
        <w:drawing>
          <wp:inline distT="0" distB="0" distL="0" distR="0">
            <wp:extent cx="1097280"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1097280" cy="29273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А.3 Допустимые параметры внутреннего воздуха помещений жилых, гостиничных и общественных зданий следует принимать по </w:t>
      </w:r>
      <w:hyperlink w:history="0" w:anchor="P1660" w:tooltip="Допустимые параметры внутреннего воздуха жилых,">
        <w:r>
          <w:rPr>
            <w:sz w:val="24"/>
            <w:color w:val="0000ff"/>
          </w:rPr>
          <w:t xml:space="preserve">таблице А.3</w:t>
        </w:r>
      </w:hyperlink>
      <w:r>
        <w:rPr>
          <w:sz w:val="24"/>
        </w:rPr>
        <w:t xml:space="preserve">.</w:t>
      </w:r>
    </w:p>
    <w:p>
      <w:pPr>
        <w:pStyle w:val="0"/>
        <w:spacing w:before="240" w:lineRule="auto"/>
        <w:ind w:firstLine="540"/>
        <w:jc w:val="both"/>
      </w:pPr>
      <w:r>
        <w:rPr>
          <w:sz w:val="24"/>
        </w:rPr>
        <w:t xml:space="preserve">А.4 Допустимые параметры внутреннего воздуха по </w:t>
      </w:r>
      <w:hyperlink w:history="0" w:anchor="P1660" w:tooltip="Допустимые параметры внутреннего воздуха жилых,">
        <w:r>
          <w:rPr>
            <w:sz w:val="24"/>
            <w:color w:val="0000ff"/>
          </w:rPr>
          <w:t xml:space="preserve">таблице А.3</w:t>
        </w:r>
      </w:hyperlink>
      <w:r>
        <w:rPr>
          <w:sz w:val="24"/>
        </w:rPr>
        <w:t xml:space="preserve"> в помещениях квартир и номерах гостиниц необходимо поддерживать при нахождении в них людей; в офисах - в рабочее время.</w:t>
      </w:r>
    </w:p>
    <w:p>
      <w:pPr>
        <w:pStyle w:val="0"/>
        <w:spacing w:before="240" w:lineRule="auto"/>
        <w:ind w:firstLine="540"/>
        <w:jc w:val="both"/>
      </w:pPr>
      <w:r>
        <w:rPr>
          <w:sz w:val="24"/>
        </w:rPr>
        <w:t xml:space="preserve">Для экономии энергии допускается снижение температуры внутреннего воздуха до 16 °C при длительном (более одних суток) отсутствии людей в помещениях квартир или незанятых номерах гостиниц, а также офисах - во внерабочее время.</w:t>
      </w:r>
    </w:p>
    <w:p>
      <w:pPr>
        <w:pStyle w:val="0"/>
        <w:jc w:val="both"/>
      </w:pPr>
      <w:r>
        <w:rPr>
          <w:sz w:val="24"/>
        </w:rPr>
      </w:r>
    </w:p>
    <w:p>
      <w:pPr>
        <w:pStyle w:val="0"/>
        <w:jc w:val="right"/>
      </w:pPr>
      <w:r>
        <w:rPr>
          <w:sz w:val="24"/>
        </w:rPr>
        <w:t xml:space="preserve">Таблица А.3</w:t>
      </w:r>
    </w:p>
    <w:p>
      <w:pPr>
        <w:pStyle w:val="0"/>
        <w:jc w:val="both"/>
      </w:pPr>
      <w:r>
        <w:rPr>
          <w:sz w:val="24"/>
        </w:rPr>
      </w:r>
    </w:p>
    <w:bookmarkStart w:id="1660" w:name="P1660"/>
    <w:bookmarkEnd w:id="1660"/>
    <w:p>
      <w:pPr>
        <w:pStyle w:val="0"/>
        <w:jc w:val="center"/>
      </w:pPr>
      <w:r>
        <w:rPr>
          <w:sz w:val="24"/>
        </w:rPr>
        <w:t xml:space="preserve">Допустимые параметры внутреннего воздуха жилых,</w:t>
      </w:r>
    </w:p>
    <w:p>
      <w:pPr>
        <w:pStyle w:val="0"/>
        <w:jc w:val="center"/>
      </w:pPr>
      <w:r>
        <w:rPr>
          <w:sz w:val="24"/>
        </w:rPr>
        <w:t xml:space="preserve">гостиничных и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Жилая комната или гостиничный номер с воздушным или водяным отоплением с местными отопительными приборами</w:t>
            </w:r>
          </w:p>
        </w:tc>
        <w:tc>
          <w:tcPr>
            <w:tcW w:w="1420" w:type="dxa"/>
          </w:tcPr>
          <w:p>
            <w:pPr>
              <w:pStyle w:val="0"/>
              <w:jc w:val="center"/>
            </w:pPr>
            <w:r>
              <w:rPr>
                <w:sz w:val="24"/>
              </w:rPr>
              <w:t xml:space="preserve">18 - 24</w:t>
            </w:r>
          </w:p>
        </w:tc>
        <w:tc>
          <w:tcPr>
            <w:tcW w:w="1840" w:type="dxa"/>
          </w:tcPr>
          <w:p>
            <w:pPr>
              <w:pStyle w:val="0"/>
              <w:jc w:val="center"/>
            </w:pPr>
            <w:r>
              <w:rPr>
                <w:sz w:val="24"/>
              </w:rPr>
              <w:t xml:space="preserve">17 - 23</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Гостиничный номер с лучистым отоплением</w:t>
            </w:r>
          </w:p>
        </w:tc>
        <w:tc>
          <w:tcPr>
            <w:tcW w:w="1420" w:type="dxa"/>
          </w:tcPr>
          <w:p>
            <w:pPr>
              <w:pStyle w:val="0"/>
              <w:jc w:val="center"/>
            </w:pPr>
            <w:r>
              <w:rPr>
                <w:sz w:val="24"/>
              </w:rPr>
              <w:t xml:space="preserve">16 - 20</w:t>
            </w:r>
          </w:p>
        </w:tc>
        <w:tc>
          <w:tcPr>
            <w:tcW w:w="1840" w:type="dxa"/>
          </w:tcPr>
          <w:p>
            <w:pPr>
              <w:pStyle w:val="0"/>
              <w:jc w:val="center"/>
            </w:pPr>
            <w:r>
              <w:rPr>
                <w:sz w:val="24"/>
              </w:rPr>
              <w:t xml:space="preserve">18 - 23</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Кухня с воздушным или водяным отоплением с местными отопительными приборами</w:t>
            </w:r>
          </w:p>
        </w:tc>
        <w:tc>
          <w:tcPr>
            <w:tcW w:w="1420" w:type="dxa"/>
          </w:tcPr>
          <w:p>
            <w:pPr>
              <w:pStyle w:val="0"/>
              <w:jc w:val="center"/>
            </w:pPr>
            <w:r>
              <w:rPr>
                <w:sz w:val="24"/>
              </w:rPr>
              <w:t xml:space="preserve">18 - 23</w:t>
            </w:r>
          </w:p>
        </w:tc>
        <w:tc>
          <w:tcPr>
            <w:tcW w:w="1840" w:type="dxa"/>
          </w:tcPr>
          <w:p>
            <w:pPr>
              <w:pStyle w:val="0"/>
              <w:jc w:val="center"/>
            </w:pPr>
            <w:r>
              <w:rPr>
                <w:sz w:val="24"/>
              </w:rPr>
              <w:t xml:space="preserve">17 - 22</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Туалет</w:t>
            </w:r>
          </w:p>
        </w:tc>
        <w:tc>
          <w:tcPr>
            <w:tcW w:w="1420" w:type="dxa"/>
          </w:tcPr>
          <w:p>
            <w:pPr>
              <w:pStyle w:val="0"/>
              <w:jc w:val="center"/>
            </w:pPr>
            <w:r>
              <w:rPr>
                <w:sz w:val="24"/>
              </w:rPr>
              <w:t xml:space="preserve">18 - 23</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Ванная, совмещенный санузел</w:t>
            </w:r>
          </w:p>
        </w:tc>
        <w:tc>
          <w:tcPr>
            <w:tcW w:w="1420" w:type="dxa"/>
          </w:tcPr>
          <w:p>
            <w:pPr>
              <w:pStyle w:val="0"/>
              <w:jc w:val="center"/>
            </w:pPr>
            <w:r>
              <w:rPr>
                <w:sz w:val="24"/>
              </w:rPr>
              <w:t xml:space="preserve">20 - 28</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Межквартирный коридор</w:t>
            </w:r>
          </w:p>
        </w:tc>
        <w:tc>
          <w:tcPr>
            <w:tcW w:w="1420" w:type="dxa"/>
          </w:tcPr>
          <w:p>
            <w:pPr>
              <w:pStyle w:val="0"/>
              <w:jc w:val="center"/>
            </w:pPr>
            <w:r>
              <w:rPr>
                <w:sz w:val="24"/>
              </w:rPr>
              <w:t xml:space="preserve">18 - 22</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Вестибюль лестничной клетки</w:t>
            </w:r>
          </w:p>
        </w:tc>
        <w:tc>
          <w:tcPr>
            <w:tcW w:w="1420" w:type="dxa"/>
          </w:tcPr>
          <w:p>
            <w:pPr>
              <w:pStyle w:val="0"/>
              <w:jc w:val="center"/>
            </w:pPr>
            <w:r>
              <w:rPr>
                <w:sz w:val="24"/>
              </w:rPr>
              <w:t xml:space="preserve">14 - 20</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Офис</w:t>
            </w:r>
          </w:p>
        </w:tc>
        <w:tc>
          <w:tcPr>
            <w:tcW w:w="1420" w:type="dxa"/>
          </w:tcPr>
          <w:p>
            <w:pPr>
              <w:pStyle w:val="0"/>
              <w:jc w:val="center"/>
            </w:pPr>
            <w:r>
              <w:rPr>
                <w:sz w:val="24"/>
              </w:rPr>
              <w:t xml:space="preserve">16 - 22</w:t>
            </w:r>
          </w:p>
        </w:tc>
        <w:tc>
          <w:tcPr>
            <w:tcW w:w="1840" w:type="dxa"/>
          </w:tcPr>
          <w:p>
            <w:pPr>
              <w:pStyle w:val="0"/>
              <w:jc w:val="center"/>
            </w:pPr>
            <w:r>
              <w:rPr>
                <w:sz w:val="24"/>
              </w:rPr>
              <w:t xml:space="preserve">15 - 21</w:t>
            </w:r>
          </w:p>
        </w:tc>
        <w:tc>
          <w:tcPr>
            <w:tcW w:w="1230" w:type="dxa"/>
          </w:tcPr>
          <w:p>
            <w:pPr>
              <w:pStyle w:val="0"/>
              <w:jc w:val="center"/>
            </w:pPr>
            <w:r>
              <w:rPr>
                <w:sz w:val="24"/>
              </w:rPr>
              <w:t xml:space="preserve">НН</w:t>
            </w:r>
          </w:p>
        </w:tc>
        <w:tc>
          <w:tcPr>
            <w:tcW w:w="1361" w:type="dxa"/>
          </w:tcPr>
          <w:p>
            <w:pPr>
              <w:pStyle w:val="0"/>
              <w:jc w:val="center"/>
            </w:pPr>
            <w:r>
              <w:rPr>
                <w:sz w:val="24"/>
              </w:rPr>
              <w:t xml:space="preserve">0,3</w:t>
            </w:r>
          </w:p>
        </w:tc>
      </w:tr>
      <w:tr>
        <w:tc>
          <w:tcPr>
            <w:tcW w:w="1170" w:type="dxa"/>
            <w:vMerge w:val="restart"/>
          </w:tcPr>
          <w:p>
            <w:pPr>
              <w:pStyle w:val="0"/>
            </w:pPr>
            <w:r>
              <w:rPr>
                <w:sz w:val="24"/>
              </w:rPr>
              <w:t xml:space="preserve">Теплый</w:t>
            </w:r>
          </w:p>
        </w:tc>
        <w:tc>
          <w:tcPr>
            <w:tcW w:w="2041" w:type="dxa"/>
          </w:tcPr>
          <w:p>
            <w:pPr>
              <w:pStyle w:val="0"/>
            </w:pPr>
            <w:r>
              <w:rPr>
                <w:sz w:val="24"/>
              </w:rPr>
              <w:t xml:space="preserve">Жилая комната, гостиничный номер</w:t>
            </w:r>
          </w:p>
        </w:tc>
        <w:tc>
          <w:tcPr>
            <w:tcW w:w="1420" w:type="dxa"/>
          </w:tcPr>
          <w:p>
            <w:pPr>
              <w:pStyle w:val="0"/>
              <w:jc w:val="center"/>
            </w:pPr>
            <w:r>
              <w:rPr>
                <w:sz w:val="24"/>
              </w:rPr>
              <w:t xml:space="preserve">22 - 25</w:t>
            </w:r>
          </w:p>
        </w:tc>
        <w:tc>
          <w:tcPr>
            <w:tcW w:w="1840" w:type="dxa"/>
          </w:tcPr>
          <w:p>
            <w:pPr>
              <w:pStyle w:val="0"/>
              <w:jc w:val="center"/>
            </w:pPr>
            <w:r>
              <w:rPr>
                <w:sz w:val="24"/>
              </w:rPr>
              <w:t xml:space="preserve">19 - 27</w:t>
            </w:r>
          </w:p>
        </w:tc>
        <w:tc>
          <w:tcPr>
            <w:tcW w:w="1230" w:type="dxa"/>
          </w:tcPr>
          <w:p>
            <w:pPr>
              <w:pStyle w:val="0"/>
              <w:jc w:val="center"/>
            </w:pPr>
            <w:r>
              <w:rPr>
                <w:sz w:val="24"/>
              </w:rPr>
              <w:t xml:space="preserve">НН</w:t>
            </w:r>
          </w:p>
        </w:tc>
        <w:tc>
          <w:tcPr>
            <w:tcW w:w="1361" w:type="dxa"/>
          </w:tcPr>
          <w:p>
            <w:pPr>
              <w:pStyle w:val="0"/>
              <w:jc w:val="center"/>
            </w:pPr>
            <w:r>
              <w:rPr>
                <w:sz w:val="24"/>
              </w:rPr>
              <w:t xml:space="preserve">0,3</w:t>
            </w:r>
          </w:p>
        </w:tc>
      </w:tr>
      <w:tr>
        <w:tc>
          <w:tcPr>
            <w:vMerge w:val="continue"/>
          </w:tcPr>
          <w:p/>
        </w:tc>
        <w:tc>
          <w:tcPr>
            <w:tcW w:w="2041" w:type="dxa"/>
          </w:tcPr>
          <w:p>
            <w:pPr>
              <w:pStyle w:val="0"/>
            </w:pPr>
            <w:r>
              <w:rPr>
                <w:sz w:val="24"/>
              </w:rPr>
              <w:t xml:space="preserve">Офис</w:t>
            </w:r>
          </w:p>
        </w:tc>
        <w:tc>
          <w:tcPr>
            <w:tcW w:w="1420" w:type="dxa"/>
          </w:tcPr>
          <w:p>
            <w:pPr>
              <w:pStyle w:val="0"/>
              <w:jc w:val="center"/>
            </w:pPr>
            <w:r>
              <w:rPr>
                <w:sz w:val="24"/>
              </w:rPr>
              <w:t xml:space="preserve">18 - 27</w:t>
            </w:r>
          </w:p>
        </w:tc>
        <w:tc>
          <w:tcPr>
            <w:tcW w:w="1840" w:type="dxa"/>
          </w:tcPr>
          <w:p>
            <w:pPr>
              <w:pStyle w:val="0"/>
              <w:jc w:val="center"/>
            </w:pPr>
            <w:r>
              <w:rPr>
                <w:sz w:val="24"/>
              </w:rPr>
              <w:t xml:space="preserve">19 - 27</w:t>
            </w:r>
          </w:p>
        </w:tc>
        <w:tc>
          <w:tcPr>
            <w:tcW w:w="1230" w:type="dxa"/>
          </w:tcPr>
          <w:p>
            <w:pPr>
              <w:pStyle w:val="0"/>
              <w:jc w:val="center"/>
            </w:pPr>
            <w:r>
              <w:rPr>
                <w:sz w:val="24"/>
              </w:rPr>
              <w:t xml:space="preserve">НН</w:t>
            </w:r>
          </w:p>
        </w:tc>
        <w:tc>
          <w:tcPr>
            <w:tcW w:w="1361" w:type="dxa"/>
          </w:tcPr>
          <w:p>
            <w:pPr>
              <w:pStyle w:val="0"/>
              <w:jc w:val="center"/>
            </w:pPr>
            <w:r>
              <w:rPr>
                <w:sz w:val="24"/>
              </w:rPr>
              <w:t xml:space="preserve">&lt;= 0,5</w:t>
            </w:r>
          </w:p>
        </w:tc>
      </w:tr>
      <w:tr>
        <w:tc>
          <w:tcPr>
            <w:gridSpan w:val="6"/>
            <w:tcW w:w="9062" w:type="dxa"/>
          </w:tcPr>
          <w:p>
            <w:pPr>
              <w:pStyle w:val="0"/>
              <w:ind w:firstLine="283"/>
              <w:jc w:val="both"/>
            </w:pPr>
            <w:r>
              <w:rPr>
                <w:sz w:val="24"/>
              </w:rPr>
              <w:t xml:space="preserve">Обозначение: НН - не нормируется.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1727" w:name="P1727"/>
    <w:bookmarkEnd w:id="1727"/>
    <w:p>
      <w:pPr>
        <w:pStyle w:val="0"/>
        <w:outlineLvl w:val="0"/>
        <w:jc w:val="right"/>
      </w:pPr>
      <w:r>
        <w:rPr>
          <w:sz w:val="24"/>
          <w:b w:val="on"/>
        </w:rPr>
        <w:t xml:space="preserve">Приложение Б</w:t>
      </w:r>
    </w:p>
    <w:p>
      <w:pPr>
        <w:pStyle w:val="0"/>
        <w:jc w:val="both"/>
      </w:pPr>
      <w:r>
        <w:rPr>
          <w:sz w:val="24"/>
        </w:rPr>
      </w:r>
    </w:p>
    <w:p>
      <w:pPr>
        <w:pStyle w:val="2"/>
        <w:jc w:val="center"/>
      </w:pPr>
      <w:r>
        <w:rPr>
          <w:sz w:val="24"/>
        </w:rPr>
        <w:t xml:space="preserve">ПАРАМЕТРЫ ВОЗДУХООБМЕНА</w:t>
      </w:r>
    </w:p>
    <w:p>
      <w:pPr>
        <w:pStyle w:val="0"/>
        <w:jc w:val="center"/>
      </w:pPr>
      <w:r>
        <w:rPr>
          <w:sz w:val="24"/>
        </w:rPr>
      </w:r>
    </w:p>
    <w:p>
      <w:pPr>
        <w:pStyle w:val="0"/>
        <w:jc w:val="center"/>
      </w:pPr>
      <w:r>
        <w:rPr>
          <w:sz w:val="24"/>
        </w:rPr>
        <w:t xml:space="preserve">(приложение Б в ред. </w:t>
      </w:r>
      <w:hyperlink w:history="0" r:id="rId39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ind w:firstLine="540"/>
        <w:jc w:val="both"/>
      </w:pPr>
      <w:r>
        <w:rPr>
          <w:sz w:val="24"/>
        </w:rPr>
        <w:t xml:space="preserve">Б.1 Параметры расхода наружного воздуха распространяются на помещения жилых, гостиничных и общественных зданий, если концентрация вредных веществ в наружном (атмосферном) воздухе не превышает предельно допустимые концентрации (ПДК) в воздухе населенных мест.</w:t>
      </w:r>
    </w:p>
    <w:p>
      <w:pPr>
        <w:pStyle w:val="0"/>
        <w:spacing w:before="240" w:lineRule="auto"/>
        <w:ind w:firstLine="540"/>
        <w:jc w:val="both"/>
      </w:pPr>
      <w:r>
        <w:rPr>
          <w:sz w:val="24"/>
        </w:rPr>
        <w:t xml:space="preserve">Значения ПДК загрязняющих веществ, наиболее часто присутствующих в атмосферном воздухе, приведены в </w:t>
      </w:r>
      <w:hyperlink w:history="0" w:anchor="P1739" w:tooltip="Предельно допустимые концентрации загрязняющих веществ">
        <w:r>
          <w:rPr>
            <w:sz w:val="24"/>
            <w:color w:val="0000ff"/>
          </w:rPr>
          <w:t xml:space="preserve">таблице Б.1</w:t>
        </w:r>
      </w:hyperlink>
      <w:r>
        <w:rPr>
          <w:sz w:val="24"/>
        </w:rPr>
        <w:t xml:space="preserve">.</w:t>
      </w:r>
    </w:p>
    <w:p>
      <w:pPr>
        <w:pStyle w:val="0"/>
        <w:jc w:val="both"/>
      </w:pPr>
      <w:r>
        <w:rPr>
          <w:sz w:val="24"/>
        </w:rPr>
      </w:r>
    </w:p>
    <w:p>
      <w:pPr>
        <w:pStyle w:val="0"/>
        <w:jc w:val="right"/>
      </w:pPr>
      <w:r>
        <w:rPr>
          <w:sz w:val="24"/>
        </w:rPr>
        <w:t xml:space="preserve">Таблица Б.1</w:t>
      </w:r>
    </w:p>
    <w:p>
      <w:pPr>
        <w:pStyle w:val="0"/>
        <w:jc w:val="both"/>
      </w:pPr>
      <w:r>
        <w:rPr>
          <w:sz w:val="24"/>
        </w:rPr>
      </w:r>
    </w:p>
    <w:bookmarkStart w:id="1739" w:name="P1739"/>
    <w:bookmarkEnd w:id="1739"/>
    <w:p>
      <w:pPr>
        <w:pStyle w:val="0"/>
        <w:jc w:val="center"/>
      </w:pPr>
      <w:r>
        <w:rPr>
          <w:sz w:val="24"/>
        </w:rPr>
        <w:t xml:space="preserve">Предельно допустимые концентрации загрязняющих веществ</w:t>
      </w:r>
    </w:p>
    <w:p>
      <w:pPr>
        <w:pStyle w:val="0"/>
        <w:jc w:val="center"/>
      </w:pPr>
      <w:r>
        <w:rPr>
          <w:sz w:val="24"/>
        </w:rPr>
        <w:t xml:space="preserve">в воздухе населенных пунктов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3061"/>
        <w:gridCol w:w="3061"/>
      </w:tblGrid>
      <w:tr>
        <w:tc>
          <w:tcPr>
            <w:tcW w:w="2948" w:type="dxa"/>
            <w:vAlign w:val="center"/>
            <w:vMerge w:val="restart"/>
          </w:tcPr>
          <w:p>
            <w:pPr>
              <w:pStyle w:val="0"/>
              <w:jc w:val="center"/>
            </w:pPr>
            <w:r>
              <w:rPr>
                <w:sz w:val="24"/>
              </w:rPr>
              <w:t xml:space="preserve">Вещество</w:t>
            </w:r>
          </w:p>
        </w:tc>
        <w:tc>
          <w:tcPr>
            <w:gridSpan w:val="2"/>
            <w:tcW w:w="6122" w:type="dxa"/>
            <w:vAlign w:val="center"/>
          </w:tcPr>
          <w:p>
            <w:pPr>
              <w:pStyle w:val="0"/>
              <w:jc w:val="center"/>
            </w:pPr>
            <w:r>
              <w:rPr>
                <w:sz w:val="24"/>
              </w:rPr>
              <w:t xml:space="preserve">Предельно допустимая концентрация в наружном воздухе, мг/м</w:t>
            </w:r>
            <w:r>
              <w:rPr>
                <w:sz w:val="24"/>
                <w:vertAlign w:val="superscript"/>
              </w:rPr>
              <w:t xml:space="preserve">3</w:t>
            </w:r>
          </w:p>
        </w:tc>
      </w:tr>
      <w:tr>
        <w:tc>
          <w:tcPr>
            <w:vMerge w:val="continue"/>
          </w:tcPr>
          <w:p/>
        </w:tc>
        <w:tc>
          <w:tcPr>
            <w:tcW w:w="3061" w:type="dxa"/>
            <w:vAlign w:val="center"/>
          </w:tcPr>
          <w:p>
            <w:pPr>
              <w:pStyle w:val="0"/>
              <w:jc w:val="center"/>
            </w:pPr>
            <w:r>
              <w:rPr>
                <w:sz w:val="24"/>
              </w:rPr>
              <w:t xml:space="preserve">максимальная разовая</w:t>
            </w:r>
          </w:p>
        </w:tc>
        <w:tc>
          <w:tcPr>
            <w:tcW w:w="3061" w:type="dxa"/>
            <w:vAlign w:val="center"/>
          </w:tcPr>
          <w:p>
            <w:pPr>
              <w:pStyle w:val="0"/>
              <w:jc w:val="center"/>
            </w:pPr>
            <w:r>
              <w:rPr>
                <w:sz w:val="24"/>
              </w:rPr>
              <w:t xml:space="preserve">среднесуточная</w:t>
            </w:r>
          </w:p>
        </w:tc>
      </w:tr>
      <w:tr>
        <w:tc>
          <w:tcPr>
            <w:tcW w:w="2948" w:type="dxa"/>
          </w:tcPr>
          <w:p>
            <w:pPr>
              <w:pStyle w:val="0"/>
            </w:pPr>
            <w:r>
              <w:rPr>
                <w:sz w:val="24"/>
              </w:rPr>
              <w:t xml:space="preserve">Диоксид азота</w:t>
            </w:r>
          </w:p>
        </w:tc>
        <w:tc>
          <w:tcPr>
            <w:tcW w:w="3061" w:type="dxa"/>
          </w:tcPr>
          <w:p>
            <w:pPr>
              <w:pStyle w:val="0"/>
              <w:jc w:val="center"/>
            </w:pPr>
            <w:r>
              <w:rPr>
                <w:sz w:val="24"/>
              </w:rPr>
              <w:t xml:space="preserve">0,2</w:t>
            </w:r>
          </w:p>
        </w:tc>
        <w:tc>
          <w:tcPr>
            <w:tcW w:w="3061" w:type="dxa"/>
          </w:tcPr>
          <w:p>
            <w:pPr>
              <w:pStyle w:val="0"/>
              <w:jc w:val="center"/>
            </w:pPr>
            <w:r>
              <w:rPr>
                <w:sz w:val="24"/>
              </w:rPr>
              <w:t xml:space="preserve">0,04</w:t>
            </w:r>
          </w:p>
        </w:tc>
      </w:tr>
      <w:tr>
        <w:tc>
          <w:tcPr>
            <w:tcW w:w="2948" w:type="dxa"/>
          </w:tcPr>
          <w:p>
            <w:pPr>
              <w:pStyle w:val="0"/>
            </w:pPr>
            <w:r>
              <w:rPr>
                <w:sz w:val="24"/>
              </w:rPr>
              <w:t xml:space="preserve">Пыль нетоксичная</w:t>
            </w:r>
          </w:p>
        </w:tc>
        <w:tc>
          <w:tcPr>
            <w:tcW w:w="3061" w:type="dxa"/>
          </w:tcPr>
          <w:p>
            <w:pPr>
              <w:pStyle w:val="0"/>
              <w:jc w:val="center"/>
            </w:pPr>
            <w:r>
              <w:rPr>
                <w:sz w:val="24"/>
              </w:rPr>
              <w:t xml:space="preserve">0,5</w:t>
            </w:r>
          </w:p>
        </w:tc>
        <w:tc>
          <w:tcPr>
            <w:tcW w:w="3061" w:type="dxa"/>
          </w:tcPr>
          <w:p>
            <w:pPr>
              <w:pStyle w:val="0"/>
              <w:jc w:val="center"/>
            </w:pPr>
            <w:r>
              <w:rPr>
                <w:sz w:val="24"/>
              </w:rPr>
              <w:t xml:space="preserve">0,15</w:t>
            </w:r>
          </w:p>
        </w:tc>
      </w:tr>
      <w:tr>
        <w:tc>
          <w:tcPr>
            <w:tcW w:w="2948" w:type="dxa"/>
          </w:tcPr>
          <w:p>
            <w:pPr>
              <w:pStyle w:val="0"/>
            </w:pPr>
            <w:r>
              <w:rPr>
                <w:sz w:val="24"/>
              </w:rPr>
              <w:t xml:space="preserve">Свинец</w:t>
            </w:r>
          </w:p>
        </w:tc>
        <w:tc>
          <w:tcPr>
            <w:tcW w:w="3061" w:type="dxa"/>
          </w:tcPr>
          <w:p>
            <w:pPr>
              <w:pStyle w:val="0"/>
              <w:jc w:val="center"/>
            </w:pPr>
            <w:r>
              <w:rPr>
                <w:sz w:val="24"/>
              </w:rPr>
              <w:t xml:space="preserve">0,001</w:t>
            </w:r>
          </w:p>
        </w:tc>
        <w:tc>
          <w:tcPr>
            <w:tcW w:w="3061" w:type="dxa"/>
          </w:tcPr>
          <w:p>
            <w:pPr>
              <w:pStyle w:val="0"/>
              <w:jc w:val="center"/>
            </w:pPr>
            <w:r>
              <w:rPr>
                <w:sz w:val="24"/>
              </w:rPr>
              <w:t xml:space="preserve">0,0003</w:t>
            </w:r>
          </w:p>
        </w:tc>
      </w:tr>
      <w:tr>
        <w:tc>
          <w:tcPr>
            <w:tcW w:w="2948" w:type="dxa"/>
          </w:tcPr>
          <w:p>
            <w:pPr>
              <w:pStyle w:val="0"/>
            </w:pPr>
            <w:r>
              <w:rPr>
                <w:sz w:val="24"/>
              </w:rPr>
              <w:t xml:space="preserve">Сернистый ангидрид</w:t>
            </w:r>
          </w:p>
        </w:tc>
        <w:tc>
          <w:tcPr>
            <w:tcW w:w="3061" w:type="dxa"/>
          </w:tcPr>
          <w:p>
            <w:pPr>
              <w:pStyle w:val="0"/>
              <w:jc w:val="center"/>
            </w:pPr>
            <w:r>
              <w:rPr>
                <w:sz w:val="24"/>
              </w:rPr>
              <w:t xml:space="preserve">0,5</w:t>
            </w:r>
          </w:p>
        </w:tc>
        <w:tc>
          <w:tcPr>
            <w:tcW w:w="3061" w:type="dxa"/>
          </w:tcPr>
          <w:p>
            <w:pPr>
              <w:pStyle w:val="0"/>
              <w:jc w:val="center"/>
            </w:pPr>
            <w:r>
              <w:rPr>
                <w:sz w:val="24"/>
              </w:rPr>
              <w:t xml:space="preserve">0,05</w:t>
            </w:r>
          </w:p>
        </w:tc>
      </w:tr>
      <w:tr>
        <w:tc>
          <w:tcPr>
            <w:tcW w:w="2948" w:type="dxa"/>
          </w:tcPr>
          <w:p>
            <w:pPr>
              <w:pStyle w:val="0"/>
            </w:pPr>
            <w:r>
              <w:rPr>
                <w:sz w:val="24"/>
              </w:rPr>
              <w:t xml:space="preserve">Углеводороды</w:t>
            </w:r>
          </w:p>
        </w:tc>
        <w:tc>
          <w:tcPr>
            <w:tcW w:w="3061" w:type="dxa"/>
          </w:tcPr>
          <w:p>
            <w:pPr>
              <w:pStyle w:val="0"/>
              <w:jc w:val="center"/>
            </w:pPr>
            <w:r>
              <w:rPr>
                <w:sz w:val="24"/>
              </w:rPr>
              <w:t xml:space="preserve">0,3</w:t>
            </w:r>
          </w:p>
        </w:tc>
        <w:tc>
          <w:tcPr>
            <w:tcW w:w="3061" w:type="dxa"/>
          </w:tcPr>
          <w:p>
            <w:pPr>
              <w:pStyle w:val="0"/>
              <w:jc w:val="center"/>
            </w:pPr>
            <w:r>
              <w:rPr>
                <w:sz w:val="24"/>
              </w:rPr>
              <w:t xml:space="preserve">0,1</w:t>
            </w:r>
          </w:p>
        </w:tc>
      </w:tr>
      <w:tr>
        <w:tc>
          <w:tcPr>
            <w:tcW w:w="2948" w:type="dxa"/>
          </w:tcPr>
          <w:p>
            <w:pPr>
              <w:pStyle w:val="0"/>
            </w:pPr>
            <w:r>
              <w:rPr>
                <w:sz w:val="24"/>
              </w:rPr>
              <w:t xml:space="preserve">Оксид углерода</w:t>
            </w:r>
          </w:p>
        </w:tc>
        <w:tc>
          <w:tcPr>
            <w:tcW w:w="3061" w:type="dxa"/>
          </w:tcPr>
          <w:p>
            <w:pPr>
              <w:pStyle w:val="0"/>
              <w:jc w:val="center"/>
            </w:pPr>
            <w:r>
              <w:rPr>
                <w:sz w:val="24"/>
              </w:rPr>
              <w:t xml:space="preserve">5,0</w:t>
            </w:r>
          </w:p>
        </w:tc>
        <w:tc>
          <w:tcPr>
            <w:tcW w:w="3061" w:type="dxa"/>
          </w:tcPr>
          <w:p>
            <w:pPr>
              <w:pStyle w:val="0"/>
              <w:jc w:val="center"/>
            </w:pPr>
            <w:r>
              <w:rPr>
                <w:sz w:val="24"/>
              </w:rPr>
              <w:t xml:space="preserve">3,0</w:t>
            </w:r>
          </w:p>
        </w:tc>
      </w:tr>
      <w:tr>
        <w:tc>
          <w:tcPr>
            <w:tcW w:w="2948" w:type="dxa"/>
          </w:tcPr>
          <w:p>
            <w:pPr>
              <w:pStyle w:val="0"/>
            </w:pPr>
            <w:r>
              <w:rPr>
                <w:sz w:val="24"/>
              </w:rPr>
              <w:t xml:space="preserve">Фенол</w:t>
            </w:r>
          </w:p>
        </w:tc>
        <w:tc>
          <w:tcPr>
            <w:tcW w:w="3061" w:type="dxa"/>
          </w:tcPr>
          <w:p>
            <w:pPr>
              <w:pStyle w:val="0"/>
              <w:jc w:val="center"/>
            </w:pPr>
            <w:r>
              <w:rPr>
                <w:sz w:val="24"/>
              </w:rPr>
              <w:t xml:space="preserve">0,01</w:t>
            </w:r>
          </w:p>
        </w:tc>
        <w:tc>
          <w:tcPr>
            <w:tcW w:w="3061" w:type="dxa"/>
          </w:tcPr>
          <w:p>
            <w:pPr>
              <w:pStyle w:val="0"/>
              <w:jc w:val="center"/>
            </w:pPr>
            <w:r>
              <w:rPr>
                <w:sz w:val="24"/>
              </w:rPr>
              <w:t xml:space="preserve">0,003</w:t>
            </w:r>
          </w:p>
        </w:tc>
      </w:tr>
    </w:tbl>
    <w:p>
      <w:pPr>
        <w:pStyle w:val="0"/>
        <w:jc w:val="both"/>
      </w:pPr>
      <w:r>
        <w:rPr>
          <w:sz w:val="24"/>
        </w:rPr>
      </w:r>
    </w:p>
    <w:p>
      <w:pPr>
        <w:pStyle w:val="0"/>
        <w:ind w:firstLine="540"/>
        <w:jc w:val="both"/>
      </w:pPr>
      <w:r>
        <w:rPr>
          <w:sz w:val="24"/>
        </w:rPr>
        <w:t xml:space="preserve">Если уровень загрязнения наружного воздуха превышает показатели, приведенные в </w:t>
      </w:r>
      <w:hyperlink w:history="0" w:anchor="P1739" w:tooltip="Предельно допустимые концентрации загрязняющих веществ">
        <w:r>
          <w:rPr>
            <w:sz w:val="24"/>
            <w:color w:val="0000ff"/>
          </w:rPr>
          <w:t xml:space="preserve">таблице Б.1</w:t>
        </w:r>
      </w:hyperlink>
      <w:r>
        <w:rPr>
          <w:sz w:val="24"/>
        </w:rPr>
        <w:t xml:space="preserve">, необходимо предусматривать его очистку.</w:t>
      </w:r>
    </w:p>
    <w:p>
      <w:pPr>
        <w:pStyle w:val="0"/>
        <w:spacing w:before="240" w:lineRule="auto"/>
        <w:ind w:firstLine="540"/>
        <w:jc w:val="both"/>
      </w:pPr>
      <w:r>
        <w:rPr>
          <w:sz w:val="24"/>
        </w:rPr>
        <w:t xml:space="preserve">В случаях, когда существующие технологии очистки не позволяют обеспечивать требуемую чистоту наружного воздуха, допускается кратковременное (например, в часы пик на автодорогах) уменьшение поступления наружного воздуха.</w:t>
      </w:r>
    </w:p>
    <w:p>
      <w:pPr>
        <w:pStyle w:val="0"/>
        <w:spacing w:before="240" w:lineRule="auto"/>
        <w:ind w:firstLine="540"/>
        <w:jc w:val="both"/>
      </w:pPr>
      <w:r>
        <w:rPr>
          <w:sz w:val="24"/>
        </w:rPr>
        <w:t xml:space="preserve">Б.2 Расход наружного воздуха в жилых и гостиничных помещениях следует принимать по большему расходу приточного или вытяжного воздуха, удаляемого наружу системами вытяжной вентиляции и технологическим оборудованием, с учетом нормируемого дисбаланса, но не менее расхода воздуха по </w:t>
      </w:r>
      <w:hyperlink w:history="0" w:anchor="P1774" w:tooltip="Минимальный воздухообмен для жилых и гостиничных помещений">
        <w:r>
          <w:rPr>
            <w:sz w:val="24"/>
            <w:color w:val="0000ff"/>
          </w:rPr>
          <w:t xml:space="preserve">таблице Б.2</w:t>
        </w:r>
      </w:hyperlink>
      <w:r>
        <w:rPr>
          <w:sz w:val="24"/>
        </w:rPr>
        <w:t xml:space="preserve">. Воздухообмен для помещений общественного назначения принять по </w:t>
      </w:r>
      <w:hyperlink w:history="0" r:id="rId39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приложению М</w:t>
        </w:r>
      </w:hyperlink>
      <w:r>
        <w:rPr>
          <w:sz w:val="24"/>
        </w:rPr>
        <w:t xml:space="preserve"> СП 60.13330.2020. По заданию на проектирование допускается принимать большие расходы воздуха.</w:t>
      </w:r>
    </w:p>
    <w:p>
      <w:pPr>
        <w:pStyle w:val="0"/>
        <w:jc w:val="both"/>
      </w:pPr>
      <w:r>
        <w:rPr>
          <w:sz w:val="24"/>
        </w:rPr>
      </w:r>
    </w:p>
    <w:p>
      <w:pPr>
        <w:pStyle w:val="0"/>
        <w:jc w:val="right"/>
      </w:pPr>
      <w:r>
        <w:rPr>
          <w:sz w:val="24"/>
        </w:rPr>
        <w:t xml:space="preserve">Таблица Б.2</w:t>
      </w:r>
    </w:p>
    <w:p>
      <w:pPr>
        <w:pStyle w:val="0"/>
        <w:jc w:val="both"/>
      </w:pPr>
      <w:r>
        <w:rPr>
          <w:sz w:val="24"/>
        </w:rPr>
      </w:r>
    </w:p>
    <w:bookmarkStart w:id="1774" w:name="P1774"/>
    <w:bookmarkEnd w:id="1774"/>
    <w:p>
      <w:pPr>
        <w:pStyle w:val="0"/>
        <w:jc w:val="center"/>
      </w:pPr>
      <w:r>
        <w:rPr>
          <w:sz w:val="24"/>
        </w:rPr>
        <w:t xml:space="preserve">Минимальный воздухообмен для жилых и гостиничных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2324"/>
        <w:gridCol w:w="2041"/>
        <w:gridCol w:w="2551"/>
      </w:tblGrid>
      <w:tr>
        <w:tc>
          <w:tcPr>
            <w:tcW w:w="2154" w:type="dxa"/>
            <w:vAlign w:val="center"/>
            <w:vMerge w:val="restart"/>
          </w:tcPr>
          <w:p>
            <w:pPr>
              <w:pStyle w:val="0"/>
              <w:jc w:val="center"/>
            </w:pPr>
            <w:r>
              <w:rPr>
                <w:sz w:val="24"/>
              </w:rPr>
              <w:t xml:space="preserve">Наименование помещения</w:t>
            </w:r>
          </w:p>
        </w:tc>
        <w:tc>
          <w:tcPr>
            <w:gridSpan w:val="2"/>
            <w:tcW w:w="4365" w:type="dxa"/>
            <w:vAlign w:val="center"/>
          </w:tcPr>
          <w:p>
            <w:pPr>
              <w:pStyle w:val="0"/>
              <w:jc w:val="center"/>
            </w:pPr>
            <w:r>
              <w:rPr>
                <w:sz w:val="24"/>
              </w:rPr>
              <w:t xml:space="preserve">Расход воздуха, м</w:t>
            </w:r>
            <w:r>
              <w:rPr>
                <w:sz w:val="24"/>
                <w:vertAlign w:val="superscript"/>
              </w:rPr>
              <w:t xml:space="preserve">3</w:t>
            </w:r>
            <w:r>
              <w:rPr>
                <w:sz w:val="24"/>
              </w:rPr>
              <w:t xml:space="preserve">/ч</w:t>
            </w:r>
          </w:p>
        </w:tc>
        <w:tc>
          <w:tcPr>
            <w:tcW w:w="2551" w:type="dxa"/>
            <w:vAlign w:val="center"/>
            <w:vMerge w:val="restart"/>
          </w:tcPr>
          <w:p>
            <w:pPr>
              <w:pStyle w:val="0"/>
              <w:jc w:val="center"/>
            </w:pPr>
            <w:r>
              <w:rPr>
                <w:sz w:val="24"/>
              </w:rPr>
              <w:t xml:space="preserve">Примечание</w:t>
            </w:r>
          </w:p>
        </w:tc>
      </w:tr>
      <w:tr>
        <w:tc>
          <w:tcPr>
            <w:vMerge w:val="continue"/>
          </w:tcPr>
          <w:p/>
        </w:tc>
        <w:tc>
          <w:tcPr>
            <w:tcW w:w="2324" w:type="dxa"/>
            <w:vAlign w:val="center"/>
          </w:tcPr>
          <w:p>
            <w:pPr>
              <w:pStyle w:val="0"/>
              <w:jc w:val="center"/>
            </w:pPr>
            <w:r>
              <w:rPr>
                <w:sz w:val="24"/>
              </w:rPr>
              <w:t xml:space="preserve">приточный на человека</w:t>
            </w:r>
          </w:p>
        </w:tc>
        <w:tc>
          <w:tcPr>
            <w:tcW w:w="2041" w:type="dxa"/>
            <w:vAlign w:val="center"/>
          </w:tcPr>
          <w:p>
            <w:pPr>
              <w:pStyle w:val="0"/>
              <w:jc w:val="center"/>
            </w:pPr>
            <w:r>
              <w:rPr>
                <w:sz w:val="24"/>
              </w:rPr>
              <w:t xml:space="preserve">вытяжной на помещение</w:t>
            </w:r>
          </w:p>
        </w:tc>
        <w:tc>
          <w:tcPr>
            <w:vMerge w:val="continue"/>
          </w:tcPr>
          <w:p/>
        </w:tc>
      </w:tr>
      <w:tr>
        <w:tc>
          <w:tcPr>
            <w:tcW w:w="2154" w:type="dxa"/>
          </w:tcPr>
          <w:p>
            <w:pPr>
              <w:pStyle w:val="0"/>
            </w:pPr>
            <w:r>
              <w:rPr>
                <w:sz w:val="24"/>
              </w:rPr>
              <w:t xml:space="preserve">Жилая комната в квартире</w:t>
            </w:r>
          </w:p>
        </w:tc>
        <w:tc>
          <w:tcPr>
            <w:tcW w:w="2324" w:type="dxa"/>
          </w:tcPr>
          <w:p>
            <w:pPr>
              <w:pStyle w:val="0"/>
            </w:pPr>
            <w:r>
              <w:rPr>
                <w:sz w:val="24"/>
              </w:rPr>
              <w:t xml:space="preserve">Не менее 0,35 обмена в час при площади более 20 м</w:t>
            </w:r>
            <w:r>
              <w:rPr>
                <w:sz w:val="24"/>
                <w:vertAlign w:val="superscript"/>
              </w:rPr>
              <w:t xml:space="preserve">2</w:t>
            </w:r>
            <w:r>
              <w:rPr>
                <w:sz w:val="24"/>
              </w:rPr>
              <w:t xml:space="preserve"> на человека; 3 м</w:t>
            </w:r>
            <w:r>
              <w:rPr>
                <w:sz w:val="24"/>
                <w:vertAlign w:val="superscript"/>
              </w:rPr>
              <w:t xml:space="preserve">3</w:t>
            </w:r>
            <w:r>
              <w:rPr>
                <w:sz w:val="24"/>
              </w:rPr>
              <w:t xml:space="preserve">/(м</w:t>
            </w:r>
            <w:r>
              <w:rPr>
                <w:sz w:val="24"/>
                <w:vertAlign w:val="superscript"/>
              </w:rPr>
              <w:t xml:space="preserve">2</w:t>
            </w:r>
            <w:r>
              <w:rPr>
                <w:sz w:val="24"/>
              </w:rPr>
              <w:t xml:space="preserve">·ч) при площади менее 20 м</w:t>
            </w:r>
            <w:r>
              <w:rPr>
                <w:sz w:val="24"/>
                <w:vertAlign w:val="superscript"/>
              </w:rPr>
              <w:t xml:space="preserve">2</w:t>
            </w:r>
            <w:r>
              <w:rPr>
                <w:sz w:val="24"/>
              </w:rPr>
              <w:t xml:space="preserve"> на человека</w:t>
            </w:r>
          </w:p>
        </w:tc>
        <w:tc>
          <w:tcPr>
            <w:tcW w:w="2041" w:type="dxa"/>
          </w:tcPr>
          <w:p>
            <w:pPr>
              <w:pStyle w:val="0"/>
              <w:jc w:val="center"/>
            </w:pPr>
            <w:r>
              <w:rPr>
                <w:sz w:val="24"/>
              </w:rPr>
              <w:t xml:space="preserve">-</w:t>
            </w:r>
          </w:p>
        </w:tc>
        <w:tc>
          <w:tcPr>
            <w:tcW w:w="2551" w:type="dxa"/>
          </w:tcPr>
          <w:p>
            <w:pPr>
              <w:pStyle w:val="0"/>
            </w:pPr>
            <w:r>
              <w:rPr>
                <w:sz w:val="24"/>
              </w:rPr>
              <w:t xml:space="preserve">Удаление воздуха, как правило, через санузлы, кухни, подсобные помещения</w:t>
            </w:r>
          </w:p>
        </w:tc>
      </w:tr>
      <w:tr>
        <w:tc>
          <w:tcPr>
            <w:tcW w:w="2154" w:type="dxa"/>
          </w:tcPr>
          <w:p>
            <w:pPr>
              <w:pStyle w:val="0"/>
            </w:pPr>
            <w:r>
              <w:rPr>
                <w:sz w:val="24"/>
              </w:rPr>
              <w:t xml:space="preserve">Кухня</w:t>
            </w:r>
          </w:p>
        </w:tc>
        <w:tc>
          <w:tcPr>
            <w:tcW w:w="2324" w:type="dxa"/>
          </w:tcPr>
          <w:p>
            <w:pPr>
              <w:pStyle w:val="0"/>
              <w:jc w:val="center"/>
            </w:pPr>
            <w:r>
              <w:rPr>
                <w:sz w:val="24"/>
                <w:b w:val="on"/>
              </w:rPr>
              <w:t xml:space="preserve">"</w:t>
            </w:r>
          </w:p>
        </w:tc>
        <w:tc>
          <w:tcPr>
            <w:tcW w:w="2041" w:type="dxa"/>
          </w:tcPr>
          <w:p>
            <w:pPr>
              <w:pStyle w:val="0"/>
            </w:pPr>
            <w:r>
              <w:rPr>
                <w:sz w:val="24"/>
              </w:rPr>
              <w:t xml:space="preserve">60 (при электрической плите)</w:t>
            </w:r>
          </w:p>
        </w:tc>
        <w:tc>
          <w:tcPr>
            <w:tcW w:w="2551" w:type="dxa"/>
          </w:tcPr>
          <w:p>
            <w:pPr>
              <w:pStyle w:val="0"/>
            </w:pPr>
            <w:r>
              <w:rPr>
                <w:sz w:val="24"/>
              </w:rPr>
              <w:t xml:space="preserve">Приточный воздух, как правило, поступает из жилых помещений</w:t>
            </w:r>
          </w:p>
        </w:tc>
      </w:tr>
      <w:tr>
        <w:tc>
          <w:tcPr>
            <w:tcW w:w="2154" w:type="dxa"/>
            <w:tcBorders>
              <w:bottom w:val="nil"/>
            </w:tcBorders>
          </w:tcPr>
          <w:p>
            <w:pPr>
              <w:pStyle w:val="0"/>
            </w:pPr>
            <w:r>
              <w:rPr>
                <w:sz w:val="24"/>
              </w:rPr>
              <w:t xml:space="preserve">Туалет</w:t>
            </w:r>
          </w:p>
        </w:tc>
        <w:tc>
          <w:tcPr>
            <w:tcW w:w="2324" w:type="dxa"/>
            <w:vMerge w:val="restart"/>
          </w:tcPr>
          <w:p>
            <w:pPr>
              <w:pStyle w:val="0"/>
              <w:jc w:val="center"/>
            </w:pPr>
            <w:r>
              <w:rPr>
                <w:sz w:val="24"/>
              </w:rPr>
              <w:t xml:space="preserve">-</w:t>
            </w:r>
          </w:p>
        </w:tc>
        <w:tc>
          <w:tcPr>
            <w:tcW w:w="2041" w:type="dxa"/>
            <w:tcBorders>
              <w:bottom w:val="nil"/>
            </w:tcBorders>
          </w:tcPr>
          <w:p>
            <w:pPr>
              <w:pStyle w:val="0"/>
            </w:pPr>
            <w:r>
              <w:rPr>
                <w:sz w:val="24"/>
              </w:rPr>
              <w:t xml:space="preserve">25</w:t>
            </w:r>
          </w:p>
        </w:tc>
        <w:tc>
          <w:tcPr>
            <w:tcW w:w="2551" w:type="dxa"/>
            <w:vMerge w:val="restart"/>
          </w:tcPr>
          <w:p>
            <w:pPr>
              <w:pStyle w:val="0"/>
            </w:pPr>
            <w:r>
              <w:rPr>
                <w:sz w:val="24"/>
              </w:rPr>
              <w:t xml:space="preserve">Приточный воздух поступает из жилых помещений</w:t>
            </w:r>
          </w:p>
        </w:tc>
      </w:tr>
      <w:tr>
        <w:tblPrEx>
          <w:tblBorders>
            <w:insideH w:val="nil"/>
          </w:tblBorders>
        </w:tblPrEx>
        <w:tc>
          <w:tcPr>
            <w:tcW w:w="2154" w:type="dxa"/>
            <w:tcBorders>
              <w:top w:val="nil"/>
              <w:bottom w:val="nil"/>
            </w:tcBorders>
          </w:tcPr>
          <w:p>
            <w:pPr>
              <w:pStyle w:val="0"/>
            </w:pPr>
            <w:r>
              <w:rPr>
                <w:sz w:val="24"/>
              </w:rPr>
              <w:t xml:space="preserve">Ванная комната</w:t>
            </w:r>
          </w:p>
        </w:tc>
        <w:tc>
          <w:tcPr>
            <w:vMerge w:val="continue"/>
          </w:tcPr>
          <w:p/>
        </w:tc>
        <w:tc>
          <w:tcPr>
            <w:tcW w:w="2041" w:type="dxa"/>
            <w:tcBorders>
              <w:top w:val="nil"/>
              <w:bottom w:val="nil"/>
            </w:tcBorders>
          </w:tcPr>
          <w:p>
            <w:pPr>
              <w:pStyle w:val="0"/>
            </w:pPr>
            <w:r>
              <w:rPr>
                <w:sz w:val="24"/>
              </w:rPr>
              <w:t xml:space="preserve">50</w:t>
            </w:r>
          </w:p>
        </w:tc>
        <w:tc>
          <w:tcPr>
            <w:vMerge w:val="continue"/>
          </w:tcPr>
          <w:p/>
        </w:tc>
      </w:tr>
      <w:tr>
        <w:tc>
          <w:tcPr>
            <w:tcW w:w="2154" w:type="dxa"/>
            <w:tcBorders>
              <w:top w:val="nil"/>
            </w:tcBorders>
          </w:tcPr>
          <w:p>
            <w:pPr>
              <w:pStyle w:val="0"/>
            </w:pPr>
            <w:r>
              <w:rPr>
                <w:sz w:val="24"/>
              </w:rPr>
              <w:t xml:space="preserve">Ванная комната с туалетом</w:t>
            </w:r>
          </w:p>
        </w:tc>
        <w:tc>
          <w:tcPr>
            <w:vMerge w:val="continue"/>
          </w:tcPr>
          <w:p/>
        </w:tc>
        <w:tc>
          <w:tcPr>
            <w:tcW w:w="2041" w:type="dxa"/>
            <w:tcBorders>
              <w:top w:val="nil"/>
            </w:tcBorders>
          </w:tcPr>
          <w:p>
            <w:pPr>
              <w:pStyle w:val="0"/>
            </w:pPr>
            <w:r>
              <w:rPr>
                <w:sz w:val="24"/>
              </w:rPr>
              <w:t xml:space="preserve">50</w:t>
            </w:r>
          </w:p>
        </w:tc>
        <w:tc>
          <w:tcPr>
            <w:vMerge w:val="continue"/>
          </w:tcPr>
          <w:p/>
        </w:tc>
      </w:tr>
      <w:tr>
        <w:tc>
          <w:tcPr>
            <w:tcW w:w="2154" w:type="dxa"/>
          </w:tcPr>
          <w:p>
            <w:pPr>
              <w:pStyle w:val="0"/>
            </w:pPr>
            <w:r>
              <w:rPr>
                <w:sz w:val="24"/>
              </w:rPr>
              <w:t xml:space="preserve">Постирочная</w:t>
            </w:r>
          </w:p>
        </w:tc>
        <w:tc>
          <w:tcPr>
            <w:tcW w:w="2324" w:type="dxa"/>
          </w:tcPr>
          <w:p>
            <w:pPr>
              <w:pStyle w:val="0"/>
              <w:jc w:val="center"/>
            </w:pPr>
            <w:r>
              <w:rPr>
                <w:sz w:val="24"/>
              </w:rPr>
              <w:t xml:space="preserve">-</w:t>
            </w:r>
          </w:p>
        </w:tc>
        <w:tc>
          <w:tcPr>
            <w:tcW w:w="2041" w:type="dxa"/>
          </w:tcPr>
          <w:p>
            <w:pPr>
              <w:pStyle w:val="0"/>
            </w:pPr>
            <w:r>
              <w:rPr>
                <w:sz w:val="24"/>
              </w:rPr>
              <w:t xml:space="preserve">Пять обменов в час</w:t>
            </w:r>
          </w:p>
        </w:tc>
        <w:tc>
          <w:tcPr>
            <w:tcW w:w="2551" w:type="dxa"/>
          </w:tcPr>
          <w:p>
            <w:pPr>
              <w:pStyle w:val="0"/>
            </w:pPr>
            <w:r>
              <w:rPr>
                <w:sz w:val="24"/>
              </w:rPr>
              <w:t xml:space="preserve">Приточный воздух поступает из жилых помещений</w:t>
            </w:r>
          </w:p>
        </w:tc>
      </w:tr>
      <w:tr>
        <w:tc>
          <w:tcPr>
            <w:tcW w:w="2154" w:type="dxa"/>
          </w:tcPr>
          <w:p>
            <w:pPr>
              <w:pStyle w:val="0"/>
            </w:pPr>
            <w:r>
              <w:rPr>
                <w:sz w:val="24"/>
              </w:rPr>
              <w:t xml:space="preserve">Гардеробная, кладовая</w:t>
            </w:r>
          </w:p>
        </w:tc>
        <w:tc>
          <w:tcPr>
            <w:tcW w:w="2324" w:type="dxa"/>
          </w:tcPr>
          <w:p>
            <w:pPr>
              <w:pStyle w:val="0"/>
              <w:jc w:val="center"/>
            </w:pPr>
            <w:r>
              <w:rPr>
                <w:sz w:val="24"/>
              </w:rPr>
              <w:t xml:space="preserve">-</w:t>
            </w:r>
          </w:p>
        </w:tc>
        <w:tc>
          <w:tcPr>
            <w:tcW w:w="2041" w:type="dxa"/>
          </w:tcPr>
          <w:p>
            <w:pPr>
              <w:pStyle w:val="0"/>
            </w:pPr>
            <w:r>
              <w:rPr>
                <w:sz w:val="24"/>
              </w:rPr>
              <w:t xml:space="preserve">Один обмен в час</w:t>
            </w:r>
          </w:p>
        </w:tc>
        <w:tc>
          <w:tcPr>
            <w:tcW w:w="2551" w:type="dxa"/>
          </w:tcPr>
          <w:p>
            <w:pPr>
              <w:pStyle w:val="0"/>
            </w:pPr>
            <w:r>
              <w:rPr>
                <w:sz w:val="24"/>
              </w:rPr>
              <w:t xml:space="preserve">Приточный воздух поступает из жилых помещений</w:t>
            </w:r>
          </w:p>
        </w:tc>
      </w:tr>
      <w:tr>
        <w:tc>
          <w:tcPr>
            <w:tcW w:w="2154" w:type="dxa"/>
            <w:tcBorders>
              <w:bottom w:val="nil"/>
            </w:tcBorders>
          </w:tcPr>
          <w:p>
            <w:pPr>
              <w:pStyle w:val="0"/>
            </w:pPr>
            <w:r>
              <w:rPr>
                <w:sz w:val="24"/>
              </w:rPr>
              <w:t xml:space="preserve">Гостиница:</w:t>
            </w:r>
          </w:p>
        </w:tc>
        <w:tc>
          <w:tcPr>
            <w:tcW w:w="2324" w:type="dxa"/>
            <w:tcBorders>
              <w:bottom w:val="nil"/>
            </w:tcBorders>
          </w:tcPr>
          <w:p>
            <w:pPr>
              <w:pStyle w:val="0"/>
            </w:pPr>
            <w:r>
              <w:rPr>
                <w:sz w:val="24"/>
              </w:rPr>
            </w:r>
          </w:p>
        </w:tc>
        <w:tc>
          <w:tcPr>
            <w:tcW w:w="2041" w:type="dxa"/>
            <w:tcBorders>
              <w:bottom w:val="nil"/>
            </w:tcBorders>
          </w:tcPr>
          <w:p>
            <w:pPr>
              <w:pStyle w:val="0"/>
            </w:pPr>
            <w:r>
              <w:rPr>
                <w:sz w:val="24"/>
              </w:rPr>
            </w:r>
          </w:p>
        </w:tc>
        <w:tc>
          <w:tcPr>
            <w:tcW w:w="2551" w:type="dxa"/>
            <w:vMerge w:val="restart"/>
          </w:tcPr>
          <w:p>
            <w:pPr>
              <w:pStyle w:val="0"/>
            </w:pPr>
            <w:r>
              <w:rPr>
                <w:sz w:val="24"/>
              </w:rPr>
              <w:t xml:space="preserve">Приточный воздух подается в номера и удаляется через санузлы</w:t>
            </w:r>
          </w:p>
        </w:tc>
      </w:tr>
      <w:tr>
        <w:tblPrEx>
          <w:tblBorders>
            <w:insideH w:val="nil"/>
          </w:tblBorders>
        </w:tblPrEx>
        <w:tc>
          <w:tcPr>
            <w:tcW w:w="2154" w:type="dxa"/>
            <w:tcBorders>
              <w:top w:val="nil"/>
              <w:bottom w:val="nil"/>
            </w:tcBorders>
          </w:tcPr>
          <w:p>
            <w:pPr>
              <w:pStyle w:val="0"/>
            </w:pPr>
            <w:r>
              <w:rPr>
                <w:sz w:val="24"/>
              </w:rPr>
              <w:t xml:space="preserve">номер без курения</w:t>
            </w:r>
          </w:p>
        </w:tc>
        <w:tc>
          <w:tcPr>
            <w:tcW w:w="2324" w:type="dxa"/>
            <w:tcBorders>
              <w:top w:val="nil"/>
              <w:bottom w:val="nil"/>
            </w:tcBorders>
          </w:tcPr>
          <w:p>
            <w:pPr>
              <w:pStyle w:val="0"/>
            </w:pPr>
            <w:r>
              <w:rPr>
                <w:sz w:val="24"/>
              </w:rPr>
              <w:t xml:space="preserve">60</w:t>
            </w:r>
          </w:p>
        </w:tc>
        <w:tc>
          <w:tcPr>
            <w:tcW w:w="2041" w:type="dxa"/>
            <w:tcBorders>
              <w:top w:val="nil"/>
              <w:bottom w:val="nil"/>
            </w:tcBorders>
          </w:tcPr>
          <w:p>
            <w:pPr>
              <w:pStyle w:val="0"/>
            </w:pPr>
            <w:r>
              <w:rPr>
                <w:sz w:val="24"/>
              </w:rPr>
              <w:t xml:space="preserve">-</w:t>
            </w:r>
          </w:p>
        </w:tc>
        <w:tc>
          <w:tcPr>
            <w:vMerge w:val="continue"/>
          </w:tcPr>
          <w:p/>
        </w:tc>
      </w:tr>
      <w:tr>
        <w:tblPrEx>
          <w:tblBorders>
            <w:insideH w:val="nil"/>
          </w:tblBorders>
        </w:tblPrEx>
        <w:tc>
          <w:tcPr>
            <w:tcW w:w="2154" w:type="dxa"/>
            <w:tcBorders>
              <w:top w:val="nil"/>
              <w:bottom w:val="nil"/>
            </w:tcBorders>
          </w:tcPr>
          <w:p>
            <w:pPr>
              <w:pStyle w:val="0"/>
            </w:pPr>
            <w:r>
              <w:rPr>
                <w:sz w:val="24"/>
              </w:rPr>
              <w:t xml:space="preserve">номер с курением</w:t>
            </w:r>
          </w:p>
        </w:tc>
        <w:tc>
          <w:tcPr>
            <w:tcW w:w="2324" w:type="dxa"/>
            <w:tcBorders>
              <w:top w:val="nil"/>
              <w:bottom w:val="nil"/>
            </w:tcBorders>
          </w:tcPr>
          <w:p>
            <w:pPr>
              <w:pStyle w:val="0"/>
            </w:pPr>
            <w:r>
              <w:rPr>
                <w:sz w:val="24"/>
              </w:rPr>
              <w:t xml:space="preserve">100</w:t>
            </w:r>
          </w:p>
        </w:tc>
        <w:tc>
          <w:tcPr>
            <w:tcW w:w="2041" w:type="dxa"/>
            <w:tcBorders>
              <w:top w:val="nil"/>
              <w:bottom w:val="nil"/>
            </w:tcBorders>
          </w:tcPr>
          <w:p>
            <w:pPr>
              <w:pStyle w:val="0"/>
            </w:pPr>
            <w:r>
              <w:rPr>
                <w:sz w:val="24"/>
              </w:rPr>
            </w:r>
          </w:p>
        </w:tc>
        <w:tc>
          <w:tcPr>
            <w:vMerge w:val="continue"/>
          </w:tcPr>
          <w:p/>
        </w:tc>
      </w:tr>
      <w:tr>
        <w:tblPrEx>
          <w:tblBorders>
            <w:insideH w:val="nil"/>
          </w:tblBorders>
        </w:tblPrEx>
        <w:tc>
          <w:tcPr>
            <w:tcW w:w="2154" w:type="dxa"/>
            <w:tcBorders>
              <w:top w:val="nil"/>
            </w:tcBorders>
          </w:tcPr>
          <w:p>
            <w:pPr>
              <w:pStyle w:val="0"/>
            </w:pPr>
            <w:r>
              <w:rPr>
                <w:sz w:val="24"/>
              </w:rPr>
              <w:t xml:space="preserve">санузел, ванная комната</w:t>
            </w:r>
          </w:p>
        </w:tc>
        <w:tc>
          <w:tcPr>
            <w:tcW w:w="2324" w:type="dxa"/>
            <w:tcBorders>
              <w:top w:val="nil"/>
            </w:tcBorders>
          </w:tcPr>
          <w:p>
            <w:pPr>
              <w:pStyle w:val="0"/>
            </w:pPr>
            <w:r>
              <w:rPr>
                <w:sz w:val="24"/>
              </w:rPr>
              <w:t xml:space="preserve">-</w:t>
            </w:r>
          </w:p>
        </w:tc>
        <w:tc>
          <w:tcPr>
            <w:tcW w:w="2041" w:type="dxa"/>
            <w:tcBorders>
              <w:top w:val="nil"/>
            </w:tcBorders>
          </w:tcPr>
          <w:p>
            <w:pPr>
              <w:pStyle w:val="0"/>
            </w:pPr>
            <w:r>
              <w:rPr>
                <w:sz w:val="24"/>
              </w:rPr>
              <w:t xml:space="preserve">60/100 соответственно</w:t>
            </w:r>
          </w:p>
        </w:tc>
        <w:tc>
          <w:tcPr>
            <w:vMerge w:val="continue"/>
          </w:tcP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825" w:name="P1825"/>
    <w:bookmarkEnd w:id="1825"/>
    <w:p>
      <w:pPr>
        <w:pStyle w:val="2"/>
        <w:jc w:val="center"/>
      </w:pPr>
      <w:r>
        <w:rPr>
          <w:sz w:val="24"/>
        </w:rPr>
        <w:t xml:space="preserve">РАСЧЕТНЫЕ РАСХОДЫ ВОДЫ ПОТРЕБИТЕЛЯМИ</w:t>
      </w:r>
    </w:p>
    <w:p>
      <w:pPr>
        <w:pStyle w:val="0"/>
        <w:jc w:val="center"/>
      </w:pPr>
      <w:r>
        <w:rPr>
          <w:sz w:val="24"/>
        </w:rPr>
      </w:r>
    </w:p>
    <w:p>
      <w:pPr>
        <w:pStyle w:val="0"/>
        <w:jc w:val="center"/>
      </w:pPr>
      <w:r>
        <w:rPr>
          <w:sz w:val="24"/>
        </w:rPr>
        <w:t xml:space="preserve">(приложение В в ред. </w:t>
      </w:r>
      <w:hyperlink w:history="0" r:id="rId39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191"/>
        <w:gridCol w:w="850"/>
        <w:gridCol w:w="964"/>
        <w:gridCol w:w="907"/>
        <w:gridCol w:w="1020"/>
        <w:gridCol w:w="1304"/>
        <w:gridCol w:w="1361"/>
        <w:gridCol w:w="567"/>
      </w:tblGrid>
      <w:tr>
        <w:tc>
          <w:tcPr>
            <w:tcW w:w="2494" w:type="dxa"/>
            <w:vAlign w:val="center"/>
            <w:vMerge w:val="restart"/>
          </w:tcPr>
          <w:p>
            <w:pPr>
              <w:pStyle w:val="0"/>
              <w:jc w:val="center"/>
            </w:pPr>
            <w:r>
              <w:rPr>
                <w:sz w:val="24"/>
              </w:rPr>
              <w:t xml:space="preserve">Водопотребители</w:t>
            </w:r>
          </w:p>
        </w:tc>
        <w:tc>
          <w:tcPr>
            <w:tcW w:w="1191" w:type="dxa"/>
            <w:vAlign w:val="center"/>
            <w:vMerge w:val="restart"/>
          </w:tcPr>
          <w:p>
            <w:pPr>
              <w:pStyle w:val="0"/>
              <w:jc w:val="center"/>
            </w:pPr>
            <w:r>
              <w:rPr>
                <w:sz w:val="24"/>
              </w:rPr>
              <w:t xml:space="preserve">Единица измерения</w:t>
            </w:r>
          </w:p>
        </w:tc>
        <w:tc>
          <w:tcPr>
            <w:gridSpan w:val="4"/>
            <w:tcW w:w="3741" w:type="dxa"/>
            <w:vAlign w:val="center"/>
          </w:tcPr>
          <w:p>
            <w:pPr>
              <w:pStyle w:val="0"/>
              <w:jc w:val="center"/>
            </w:pPr>
            <w:r>
              <w:rPr>
                <w:sz w:val="24"/>
              </w:rPr>
              <w:t xml:space="preserve">Расчетные расходы воды, л</w:t>
            </w:r>
          </w:p>
        </w:tc>
        <w:tc>
          <w:tcPr>
            <w:gridSpan w:val="2"/>
            <w:tcW w:w="2665" w:type="dxa"/>
            <w:vAlign w:val="center"/>
          </w:tcPr>
          <w:p>
            <w:pPr>
              <w:pStyle w:val="0"/>
              <w:jc w:val="center"/>
            </w:pPr>
            <w:r>
              <w:rPr>
                <w:sz w:val="24"/>
              </w:rPr>
              <w:t xml:space="preserve">Расход воды прибором, л/с (л/ч)</w:t>
            </w:r>
          </w:p>
        </w:tc>
        <w:tc>
          <w:tcPr>
            <w:tcW w:w="567" w:type="dxa"/>
            <w:vAlign w:val="center"/>
            <w:vMerge w:val="restart"/>
          </w:tcPr>
          <w:p>
            <w:pPr>
              <w:pStyle w:val="0"/>
              <w:jc w:val="center"/>
            </w:pPr>
            <w:r>
              <w:rPr>
                <w:sz w:val="24"/>
                <w:i w:val="on"/>
              </w:rPr>
              <w:t xml:space="preserve">T</w:t>
            </w:r>
            <w:r>
              <w:rPr>
                <w:sz w:val="24"/>
              </w:rPr>
              <w:t xml:space="preserve">, ч</w:t>
            </w:r>
          </w:p>
        </w:tc>
      </w:tr>
      <w:tr>
        <w:tc>
          <w:tcPr>
            <w:vMerge w:val="continue"/>
          </w:tcPr>
          <w:p/>
        </w:tc>
        <w:tc>
          <w:tcPr>
            <w:vMerge w:val="continue"/>
          </w:tcPr>
          <w:p/>
        </w:tc>
        <w:tc>
          <w:tcPr>
            <w:gridSpan w:val="2"/>
            <w:tcW w:w="1814" w:type="dxa"/>
            <w:vAlign w:val="center"/>
          </w:tcPr>
          <w:p>
            <w:pPr>
              <w:pStyle w:val="0"/>
              <w:jc w:val="center"/>
            </w:pPr>
            <w:r>
              <w:rPr>
                <w:sz w:val="24"/>
              </w:rPr>
              <w:t xml:space="preserve">суточные</w:t>
            </w:r>
          </w:p>
        </w:tc>
        <w:tc>
          <w:tcPr>
            <w:gridSpan w:val="2"/>
            <w:tcW w:w="1927" w:type="dxa"/>
            <w:vAlign w:val="center"/>
          </w:tcPr>
          <w:p>
            <w:pPr>
              <w:pStyle w:val="0"/>
              <w:jc w:val="center"/>
            </w:pPr>
            <w:r>
              <w:rPr>
                <w:sz w:val="24"/>
              </w:rPr>
              <w:t xml:space="preserve">в час наибольшего водопотребления</w:t>
            </w:r>
          </w:p>
        </w:tc>
        <w:tc>
          <w:tcPr>
            <w:tcW w:w="1304" w:type="dxa"/>
            <w:vAlign w:val="center"/>
            <w:vMerge w:val="restart"/>
          </w:tcPr>
          <w:p>
            <w:pPr>
              <w:pStyle w:val="0"/>
              <w:jc w:val="center"/>
            </w:pPr>
            <w:r>
              <w:rPr>
                <w:sz w:val="24"/>
              </w:rPr>
              <w:t xml:space="preserve">общий (холодной и горячей) </w:t>
            </w: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r>
              <w:rPr>
                <w:sz w:val="24"/>
              </w:rPr>
              <w:t xml:space="preserve"> </w:t>
            </w:r>
            <w:r>
              <w:rPr>
                <w:position w:val="-11"/>
              </w:rPr>
              <w:drawing>
                <wp:inline distT="0" distB="0" distL="0" distR="0">
                  <wp:extent cx="48006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480060" cy="295910"/>
                          </a:xfrm>
                          <a:prstGeom prst="rect">
                            <a:avLst/>
                          </a:prstGeom>
                          <a:noFill/>
                          <a:ln>
                            <a:noFill/>
                          </a:ln>
                        </pic:spPr>
                      </pic:pic>
                    </a:graphicData>
                  </a:graphic>
                </wp:inline>
              </w:drawing>
            </w:r>
          </w:p>
        </w:tc>
        <w:tc>
          <w:tcPr>
            <w:tcW w:w="1361" w:type="dxa"/>
            <w:vAlign w:val="center"/>
            <w:vMerge w:val="restart"/>
          </w:tcPr>
          <w:p>
            <w:pPr>
              <w:pStyle w:val="0"/>
              <w:jc w:val="center"/>
            </w:pPr>
            <w:r>
              <w:rPr>
                <w:sz w:val="24"/>
              </w:rPr>
              <w:t xml:space="preserve">холодной или горячей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3">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w:t>
            </w:r>
            <w:r>
              <w:rPr>
                <w:position w:val="-9"/>
              </w:rPr>
              <w:drawing>
                <wp:inline distT="0" distB="0" distL="0" distR="0">
                  <wp:extent cx="785495" cy="2673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4">
                            <a:extLst>
                              <a:ext uri="{28A0092B-C50C-407E-A947-70E740481C1C}">
                                <a14:useLocalDpi xmlns:a14="http://schemas.microsoft.com/office/drawing/2010/main" val="0"/>
                              </a:ext>
                            </a:extLst>
                          </a:blip>
                          <a:srcRect/>
                          <a:stretch>
                            <a:fillRect/>
                          </a:stretch>
                        </pic:blipFill>
                        <pic:spPr bwMode="auto">
                          <a:xfrm>
                            <a:off x="0" y="0"/>
                            <a:ext cx="785495" cy="267335"/>
                          </a:xfrm>
                          <a:prstGeom prst="rect">
                            <a:avLst/>
                          </a:prstGeom>
                          <a:noFill/>
                          <a:ln>
                            <a:noFill/>
                          </a:ln>
                        </pic:spPr>
                      </pic:pic>
                    </a:graphicData>
                  </a:graphic>
                </wp:inline>
              </w:drawing>
            </w:r>
          </w:p>
        </w:tc>
        <w:tc>
          <w:tcPr>
            <w:vMerge w:val="continue"/>
          </w:tcPr>
          <w:p/>
        </w:tc>
      </w:tr>
      <w:tr>
        <w:tc>
          <w:tcPr>
            <w:vMerge w:val="continue"/>
          </w:tcPr>
          <w:p/>
        </w:tc>
        <w:tc>
          <w:tcPr>
            <w:vMerge w:val="continue"/>
          </w:tcPr>
          <w:p/>
        </w:tc>
        <w:tc>
          <w:tcPr>
            <w:tcW w:w="850" w:type="dxa"/>
            <w:vAlign w:val="center"/>
          </w:tcPr>
          <w:p>
            <w:pPr>
              <w:pStyle w:val="0"/>
              <w:jc w:val="center"/>
            </w:pPr>
            <w:r>
              <w:rPr>
                <w:sz w:val="24"/>
              </w:rPr>
              <w:t xml:space="preserve">общий </w:t>
            </w:r>
            <w:r>
              <w:rPr>
                <w:position w:val="-11"/>
              </w:rPr>
              <w:drawing>
                <wp:inline distT="0" distB="0" distL="0" distR="0">
                  <wp:extent cx="32004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5">
                            <a:extLst>
                              <a:ext uri="{28A0092B-C50C-407E-A947-70E740481C1C}">
                                <a14:useLocalDpi xmlns:a14="http://schemas.microsoft.com/office/drawing/2010/main" val="0"/>
                              </a:ext>
                            </a:extLst>
                          </a:blip>
                          <a:srcRect/>
                          <a:stretch>
                            <a:fillRect/>
                          </a:stretch>
                        </pic:blipFill>
                        <pic:spPr bwMode="auto">
                          <a:xfrm>
                            <a:off x="0" y="0"/>
                            <a:ext cx="320040" cy="295910"/>
                          </a:xfrm>
                          <a:prstGeom prst="rect">
                            <a:avLst/>
                          </a:prstGeom>
                          <a:noFill/>
                          <a:ln>
                            <a:noFill/>
                          </a:ln>
                        </pic:spPr>
                      </pic:pic>
                    </a:graphicData>
                  </a:graphic>
                </wp:inline>
              </w:drawing>
            </w:r>
          </w:p>
        </w:tc>
        <w:tc>
          <w:tcPr>
            <w:tcW w:w="964" w:type="dxa"/>
            <w:vAlign w:val="center"/>
          </w:tcPr>
          <w:p>
            <w:pPr>
              <w:pStyle w:val="0"/>
              <w:jc w:val="center"/>
            </w:pPr>
            <w:r>
              <w:rPr>
                <w:sz w:val="24"/>
              </w:rPr>
              <w:t xml:space="preserve">горячей </w:t>
            </w:r>
            <w:r>
              <w:rPr>
                <w:position w:val="-11"/>
              </w:rPr>
              <w:drawing>
                <wp:inline distT="0" distB="0" distL="0" distR="0">
                  <wp:extent cx="32004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320040" cy="295910"/>
                          </a:xfrm>
                          <a:prstGeom prst="rect">
                            <a:avLst/>
                          </a:prstGeom>
                          <a:noFill/>
                          <a:ln>
                            <a:noFill/>
                          </a:ln>
                        </pic:spPr>
                      </pic:pic>
                    </a:graphicData>
                  </a:graphic>
                </wp:inline>
              </w:drawing>
            </w:r>
          </w:p>
        </w:tc>
        <w:tc>
          <w:tcPr>
            <w:tcW w:w="907" w:type="dxa"/>
            <w:vAlign w:val="center"/>
          </w:tcPr>
          <w:p>
            <w:pPr>
              <w:pStyle w:val="0"/>
              <w:jc w:val="center"/>
            </w:pPr>
            <w:r>
              <w:rPr>
                <w:sz w:val="24"/>
              </w:rPr>
              <w:t xml:space="preserve">общий </w:t>
            </w: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1020" w:type="dxa"/>
            <w:vAlign w:val="center"/>
          </w:tcPr>
          <w:p>
            <w:pPr>
              <w:pStyle w:val="0"/>
              <w:jc w:val="center"/>
            </w:pPr>
            <w:r>
              <w:rPr>
                <w:sz w:val="24"/>
              </w:rPr>
              <w:t xml:space="preserve">горячей </w:t>
            </w: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vMerge w:val="continue"/>
          </w:tcPr>
          <w:p/>
        </w:tc>
        <w:tc>
          <w:tcPr>
            <w:vMerge w:val="continue"/>
          </w:tcPr>
          <w:p/>
        </w:tc>
        <w:tc>
          <w:tcPr>
            <w:vMerge w:val="continue"/>
          </w:tcPr>
          <w:p/>
        </w:tc>
      </w:tr>
      <w:tr>
        <w:tc>
          <w:tcPr>
            <w:tcW w:w="2494" w:type="dxa"/>
            <w:vAlign w:val="center"/>
          </w:tcPr>
          <w:p>
            <w:pPr>
              <w:pStyle w:val="0"/>
            </w:pPr>
            <w:r>
              <w:rPr>
                <w:sz w:val="24"/>
              </w:rPr>
              <w:t xml:space="preserve">1 Жилые дома квартирного типа с централизованным горячим водоснабжением</w:t>
            </w:r>
          </w:p>
        </w:tc>
        <w:tc>
          <w:tcPr>
            <w:tcW w:w="1191" w:type="dxa"/>
            <w:vAlign w:val="center"/>
          </w:tcPr>
          <w:p>
            <w:pPr>
              <w:pStyle w:val="0"/>
              <w:jc w:val="center"/>
            </w:pPr>
            <w:r>
              <w:rPr>
                <w:sz w:val="24"/>
              </w:rPr>
              <w:t xml:space="preserve">Один житель</w:t>
            </w:r>
          </w:p>
        </w:tc>
        <w:tc>
          <w:tcPr>
            <w:tcW w:w="850" w:type="dxa"/>
            <w:vAlign w:val="bottom"/>
          </w:tcPr>
          <w:p>
            <w:pPr>
              <w:pStyle w:val="0"/>
              <w:jc w:val="center"/>
            </w:pPr>
            <w:r>
              <w:rPr>
                <w:sz w:val="24"/>
              </w:rPr>
              <w:t xml:space="preserve">180</w:t>
            </w:r>
          </w:p>
        </w:tc>
        <w:tc>
          <w:tcPr>
            <w:tcW w:w="964" w:type="dxa"/>
            <w:vAlign w:val="bottom"/>
          </w:tcPr>
          <w:p>
            <w:pPr>
              <w:pStyle w:val="0"/>
              <w:jc w:val="center"/>
            </w:pPr>
            <w:r>
              <w:rPr>
                <w:sz w:val="24"/>
              </w:rPr>
              <w:t xml:space="preserve">70</w:t>
            </w:r>
          </w:p>
        </w:tc>
        <w:tc>
          <w:tcPr>
            <w:tcW w:w="907" w:type="dxa"/>
            <w:vAlign w:val="bottom"/>
          </w:tcPr>
          <w:p>
            <w:pPr>
              <w:pStyle w:val="0"/>
              <w:jc w:val="center"/>
            </w:pPr>
            <w:r>
              <w:rPr>
                <w:sz w:val="24"/>
              </w:rPr>
              <w:t xml:space="preserve">11,6</w:t>
            </w:r>
          </w:p>
        </w:tc>
        <w:tc>
          <w:tcPr>
            <w:tcW w:w="1020" w:type="dxa"/>
            <w:vAlign w:val="bottom"/>
          </w:tcPr>
          <w:p>
            <w:pPr>
              <w:pStyle w:val="0"/>
              <w:jc w:val="center"/>
            </w:pPr>
            <w:r>
              <w:rPr>
                <w:sz w:val="24"/>
              </w:rPr>
              <w:t xml:space="preserve">6,5</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24</w:t>
            </w:r>
          </w:p>
        </w:tc>
      </w:tr>
      <w:tr>
        <w:tc>
          <w:tcPr>
            <w:tcW w:w="2494" w:type="dxa"/>
            <w:vAlign w:val="center"/>
          </w:tcPr>
          <w:p>
            <w:pPr>
              <w:pStyle w:val="0"/>
            </w:pPr>
            <w:r>
              <w:rPr>
                <w:sz w:val="24"/>
              </w:rPr>
              <w:t xml:space="preserve">2 Гостиницы, пансионаты и мотели с душами во всех отдельных номерах</w:t>
            </w:r>
          </w:p>
        </w:tc>
        <w:tc>
          <w:tcPr>
            <w:tcW w:w="1191" w:type="dxa"/>
            <w:vAlign w:val="center"/>
          </w:tcPr>
          <w:p>
            <w:pPr>
              <w:pStyle w:val="0"/>
              <w:jc w:val="center"/>
            </w:pPr>
            <w:r>
              <w:rPr>
                <w:sz w:val="24"/>
              </w:rPr>
              <w:t xml:space="preserve">Один житель</w:t>
            </w:r>
          </w:p>
        </w:tc>
        <w:tc>
          <w:tcPr>
            <w:tcW w:w="850" w:type="dxa"/>
            <w:vAlign w:val="bottom"/>
          </w:tcPr>
          <w:p>
            <w:pPr>
              <w:pStyle w:val="0"/>
              <w:jc w:val="center"/>
            </w:pPr>
            <w:r>
              <w:rPr>
                <w:sz w:val="24"/>
              </w:rPr>
              <w:t xml:space="preserve">230</w:t>
            </w:r>
          </w:p>
        </w:tc>
        <w:tc>
          <w:tcPr>
            <w:tcW w:w="964" w:type="dxa"/>
            <w:vAlign w:val="bottom"/>
          </w:tcPr>
          <w:p>
            <w:pPr>
              <w:pStyle w:val="0"/>
              <w:jc w:val="center"/>
            </w:pPr>
            <w:r>
              <w:rPr>
                <w:sz w:val="24"/>
              </w:rPr>
              <w:t xml:space="preserve">120</w:t>
            </w:r>
          </w:p>
        </w:tc>
        <w:tc>
          <w:tcPr>
            <w:tcW w:w="907" w:type="dxa"/>
            <w:vAlign w:val="bottom"/>
          </w:tcPr>
          <w:p>
            <w:pPr>
              <w:pStyle w:val="0"/>
              <w:jc w:val="center"/>
            </w:pPr>
            <w:r>
              <w:rPr>
                <w:sz w:val="24"/>
              </w:rPr>
              <w:t xml:space="preserve">19</w:t>
            </w:r>
          </w:p>
        </w:tc>
        <w:tc>
          <w:tcPr>
            <w:tcW w:w="1020" w:type="dxa"/>
            <w:vAlign w:val="bottom"/>
          </w:tcPr>
          <w:p>
            <w:pPr>
              <w:pStyle w:val="0"/>
              <w:jc w:val="center"/>
            </w:pPr>
            <w:r>
              <w:rPr>
                <w:sz w:val="24"/>
              </w:rPr>
              <w:t xml:space="preserve">10,2</w:t>
            </w:r>
          </w:p>
        </w:tc>
        <w:tc>
          <w:tcPr>
            <w:tcW w:w="1304" w:type="dxa"/>
            <w:vAlign w:val="bottom"/>
          </w:tcPr>
          <w:p>
            <w:pPr>
              <w:pStyle w:val="0"/>
              <w:jc w:val="center"/>
            </w:pPr>
            <w:r>
              <w:rPr>
                <w:sz w:val="24"/>
              </w:rPr>
              <w:t xml:space="preserve">0,2 (115)</w:t>
            </w:r>
          </w:p>
        </w:tc>
        <w:tc>
          <w:tcPr>
            <w:tcW w:w="1361" w:type="dxa"/>
            <w:vAlign w:val="bottom"/>
          </w:tcPr>
          <w:p>
            <w:pPr>
              <w:pStyle w:val="0"/>
              <w:jc w:val="center"/>
            </w:pPr>
            <w:r>
              <w:rPr>
                <w:sz w:val="24"/>
              </w:rPr>
              <w:t xml:space="preserve">0,14 (80)</w:t>
            </w:r>
          </w:p>
        </w:tc>
        <w:tc>
          <w:tcPr>
            <w:tcW w:w="567" w:type="dxa"/>
            <w:vAlign w:val="bottom"/>
          </w:tcPr>
          <w:p>
            <w:pPr>
              <w:pStyle w:val="0"/>
              <w:jc w:val="center"/>
            </w:pPr>
            <w:r>
              <w:rPr>
                <w:sz w:val="24"/>
              </w:rPr>
              <w:t xml:space="preserve">24</w:t>
            </w:r>
          </w:p>
        </w:tc>
      </w:tr>
      <w:tr>
        <w:tc>
          <w:tcPr>
            <w:tcW w:w="2494" w:type="dxa"/>
            <w:vAlign w:val="center"/>
          </w:tcPr>
          <w:p>
            <w:pPr>
              <w:pStyle w:val="0"/>
            </w:pPr>
            <w:r>
              <w:rPr>
                <w:sz w:val="24"/>
              </w:rPr>
              <w:t xml:space="preserve">3 Административные, банковские и кредитно-финансовые учреждения</w:t>
            </w:r>
          </w:p>
        </w:tc>
        <w:tc>
          <w:tcPr>
            <w:tcW w:w="1191" w:type="dxa"/>
            <w:vAlign w:val="center"/>
          </w:tcPr>
          <w:p>
            <w:pPr>
              <w:pStyle w:val="0"/>
              <w:jc w:val="center"/>
            </w:pPr>
            <w:r>
              <w:rPr>
                <w:sz w:val="24"/>
              </w:rPr>
              <w:t xml:space="preserve">Один работающий</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4,5</w:t>
            </w:r>
          </w:p>
        </w:tc>
        <w:tc>
          <w:tcPr>
            <w:tcW w:w="907" w:type="dxa"/>
            <w:vAlign w:val="bottom"/>
          </w:tcPr>
          <w:p>
            <w:pPr>
              <w:pStyle w:val="0"/>
              <w:jc w:val="center"/>
            </w:pPr>
            <w:r>
              <w:rPr>
                <w:sz w:val="24"/>
              </w:rPr>
              <w:t xml:space="preserve">4</w:t>
            </w:r>
          </w:p>
        </w:tc>
        <w:tc>
          <w:tcPr>
            <w:tcW w:w="1020" w:type="dxa"/>
            <w:vAlign w:val="bottom"/>
          </w:tcPr>
          <w:p>
            <w:pPr>
              <w:pStyle w:val="0"/>
              <w:jc w:val="center"/>
            </w:pPr>
            <w:r>
              <w:rPr>
                <w:sz w:val="24"/>
              </w:rPr>
              <w:t xml:space="preserve">1,7</w:t>
            </w:r>
          </w:p>
        </w:tc>
        <w:tc>
          <w:tcPr>
            <w:tcW w:w="1304" w:type="dxa"/>
            <w:vAlign w:val="bottom"/>
          </w:tcPr>
          <w:p>
            <w:pPr>
              <w:pStyle w:val="0"/>
              <w:jc w:val="center"/>
            </w:pPr>
            <w:r>
              <w:rPr>
                <w:sz w:val="24"/>
              </w:rPr>
              <w:t xml:space="preserve">0,14 (80)</w:t>
            </w:r>
          </w:p>
        </w:tc>
        <w:tc>
          <w:tcPr>
            <w:tcW w:w="1361" w:type="dxa"/>
            <w:vAlign w:val="bottom"/>
          </w:tcPr>
          <w:p>
            <w:pPr>
              <w:pStyle w:val="0"/>
              <w:jc w:val="center"/>
            </w:pPr>
            <w:r>
              <w:rPr>
                <w:sz w:val="24"/>
              </w:rPr>
              <w:t xml:space="preserve">0,1 (60)</w:t>
            </w:r>
          </w:p>
        </w:tc>
        <w:tc>
          <w:tcPr>
            <w:tcW w:w="567" w:type="dxa"/>
            <w:vAlign w:val="bottom"/>
          </w:tcPr>
          <w:p>
            <w:pPr>
              <w:pStyle w:val="0"/>
              <w:jc w:val="center"/>
            </w:pPr>
            <w:r>
              <w:rPr>
                <w:sz w:val="24"/>
              </w:rPr>
              <w:t xml:space="preserve">8</w:t>
            </w:r>
          </w:p>
        </w:tc>
      </w:tr>
      <w:tr>
        <w:tc>
          <w:tcPr>
            <w:tcW w:w="2494" w:type="dxa"/>
            <w:vAlign w:val="center"/>
          </w:tcPr>
          <w:p>
            <w:pPr>
              <w:pStyle w:val="0"/>
            </w:pPr>
            <w:r>
              <w:rPr>
                <w:sz w:val="24"/>
              </w:rPr>
              <w:t xml:space="preserve">4 Предприятия общественного питания для приготовления пищи реализуемой в обеденном зале</w:t>
            </w:r>
          </w:p>
        </w:tc>
        <w:tc>
          <w:tcPr>
            <w:tcW w:w="1191" w:type="dxa"/>
            <w:vAlign w:val="center"/>
          </w:tcPr>
          <w:p>
            <w:pPr>
              <w:pStyle w:val="0"/>
              <w:jc w:val="center"/>
            </w:pPr>
            <w:r>
              <w:rPr>
                <w:sz w:val="24"/>
              </w:rPr>
              <w:t xml:space="preserve">Одно условное блюдо, в т.ч. 2 л на мытье</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3,4</w:t>
            </w:r>
          </w:p>
        </w:tc>
        <w:tc>
          <w:tcPr>
            <w:tcW w:w="907" w:type="dxa"/>
            <w:vAlign w:val="bottom"/>
          </w:tcPr>
          <w:p>
            <w:pPr>
              <w:pStyle w:val="0"/>
              <w:jc w:val="center"/>
            </w:pPr>
            <w:r>
              <w:rPr>
                <w:sz w:val="24"/>
              </w:rPr>
              <w:t xml:space="preserve">12</w:t>
            </w:r>
          </w:p>
        </w:tc>
        <w:tc>
          <w:tcPr>
            <w:tcW w:w="1020" w:type="dxa"/>
            <w:vAlign w:val="bottom"/>
          </w:tcPr>
          <w:p>
            <w:pPr>
              <w:pStyle w:val="0"/>
              <w:jc w:val="center"/>
            </w:pPr>
            <w:r>
              <w:rPr>
                <w:sz w:val="24"/>
              </w:rPr>
              <w:t xml:space="preserve">3,4</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w:t>
            </w:r>
          </w:p>
        </w:tc>
      </w:tr>
      <w:tr>
        <w:tc>
          <w:tcPr>
            <w:tcW w:w="2494" w:type="dxa"/>
            <w:vAlign w:val="center"/>
          </w:tcPr>
          <w:p>
            <w:pPr>
              <w:pStyle w:val="0"/>
            </w:pPr>
            <w:r>
              <w:rPr>
                <w:sz w:val="24"/>
              </w:rPr>
              <w:t xml:space="preserve">5 Магазины:</w:t>
            </w:r>
          </w:p>
        </w:tc>
        <w:tc>
          <w:tcPr>
            <w:tcW w:w="1191" w:type="dxa"/>
            <w:vAlign w:val="center"/>
          </w:tcPr>
          <w:p>
            <w:pPr>
              <w:pStyle w:val="0"/>
            </w:pPr>
            <w:r>
              <w:rPr>
                <w:sz w:val="24"/>
              </w:rPr>
            </w:r>
          </w:p>
        </w:tc>
        <w:tc>
          <w:tcPr>
            <w:tcW w:w="850" w:type="dxa"/>
            <w:vAlign w:val="bottom"/>
          </w:tcPr>
          <w:p>
            <w:pPr>
              <w:pStyle w:val="0"/>
            </w:pPr>
            <w:r>
              <w:rPr>
                <w:sz w:val="24"/>
              </w:rPr>
            </w:r>
          </w:p>
        </w:tc>
        <w:tc>
          <w:tcPr>
            <w:tcW w:w="964" w:type="dxa"/>
            <w:vAlign w:val="bottom"/>
          </w:tcPr>
          <w:p>
            <w:pPr>
              <w:pStyle w:val="0"/>
            </w:pPr>
            <w:r>
              <w:rPr>
                <w:sz w:val="24"/>
              </w:rPr>
            </w:r>
          </w:p>
        </w:tc>
        <w:tc>
          <w:tcPr>
            <w:tcW w:w="907" w:type="dxa"/>
            <w:vAlign w:val="bottom"/>
          </w:tcPr>
          <w:p>
            <w:pPr>
              <w:pStyle w:val="0"/>
            </w:pPr>
            <w:r>
              <w:rPr>
                <w:sz w:val="24"/>
              </w:rPr>
            </w:r>
          </w:p>
        </w:tc>
        <w:tc>
          <w:tcPr>
            <w:tcW w:w="1020" w:type="dxa"/>
            <w:vAlign w:val="bottom"/>
          </w:tcPr>
          <w:p>
            <w:pPr>
              <w:pStyle w:val="0"/>
            </w:pPr>
            <w:r>
              <w:rPr>
                <w:sz w:val="24"/>
              </w:rPr>
            </w:r>
          </w:p>
        </w:tc>
        <w:tc>
          <w:tcPr>
            <w:tcW w:w="1304" w:type="dxa"/>
            <w:vAlign w:val="bottom"/>
          </w:tcPr>
          <w:p>
            <w:pPr>
              <w:pStyle w:val="0"/>
            </w:pPr>
            <w:r>
              <w:rPr>
                <w:sz w:val="24"/>
              </w:rPr>
            </w:r>
          </w:p>
        </w:tc>
        <w:tc>
          <w:tcPr>
            <w:tcW w:w="1361" w:type="dxa"/>
            <w:vAlign w:val="bottom"/>
          </w:tcPr>
          <w:p>
            <w:pPr>
              <w:pStyle w:val="0"/>
            </w:pPr>
            <w:r>
              <w:rPr>
                <w:sz w:val="24"/>
              </w:rPr>
            </w:r>
          </w:p>
        </w:tc>
        <w:tc>
          <w:tcPr>
            <w:tcW w:w="567" w:type="dxa"/>
            <w:vAlign w:val="bottom"/>
          </w:tcPr>
          <w:p>
            <w:pPr>
              <w:pStyle w:val="0"/>
            </w:pPr>
            <w:r>
              <w:rPr>
                <w:sz w:val="24"/>
              </w:rPr>
            </w:r>
          </w:p>
        </w:tc>
      </w:tr>
      <w:tr>
        <w:tc>
          <w:tcPr>
            <w:tcW w:w="2494" w:type="dxa"/>
            <w:vAlign w:val="center"/>
          </w:tcPr>
          <w:p>
            <w:pPr>
              <w:pStyle w:val="0"/>
            </w:pPr>
            <w:r>
              <w:rPr>
                <w:sz w:val="24"/>
              </w:rPr>
              <w:t xml:space="preserve">- продовольственные</w:t>
            </w:r>
          </w:p>
        </w:tc>
        <w:tc>
          <w:tcPr>
            <w:tcW w:w="1191" w:type="dxa"/>
            <w:vAlign w:val="center"/>
          </w:tcPr>
          <w:p>
            <w:pPr>
              <w:pStyle w:val="0"/>
              <w:jc w:val="center"/>
            </w:pPr>
            <w:r>
              <w:rPr>
                <w:sz w:val="24"/>
              </w:rPr>
              <w:t xml:space="preserve">Один работающий в смену (20 м</w:t>
            </w:r>
            <w:r>
              <w:rPr>
                <w:sz w:val="24"/>
                <w:vertAlign w:val="superscript"/>
              </w:rPr>
              <w:t xml:space="preserve">2</w:t>
            </w:r>
            <w:r>
              <w:rPr>
                <w:sz w:val="24"/>
              </w:rPr>
              <w:t xml:space="preserve"> торгового зала)</w:t>
            </w:r>
          </w:p>
        </w:tc>
        <w:tc>
          <w:tcPr>
            <w:tcW w:w="850" w:type="dxa"/>
            <w:vAlign w:val="bottom"/>
          </w:tcPr>
          <w:p>
            <w:pPr>
              <w:pStyle w:val="0"/>
              <w:jc w:val="center"/>
            </w:pPr>
            <w:r>
              <w:rPr>
                <w:sz w:val="24"/>
              </w:rPr>
              <w:t xml:space="preserve">250</w:t>
            </w:r>
          </w:p>
        </w:tc>
        <w:tc>
          <w:tcPr>
            <w:tcW w:w="964" w:type="dxa"/>
            <w:vAlign w:val="bottom"/>
          </w:tcPr>
          <w:p>
            <w:pPr>
              <w:pStyle w:val="0"/>
              <w:jc w:val="center"/>
            </w:pPr>
            <w:r>
              <w:rPr>
                <w:sz w:val="24"/>
              </w:rPr>
              <w:t xml:space="preserve">55</w:t>
            </w:r>
          </w:p>
        </w:tc>
        <w:tc>
          <w:tcPr>
            <w:tcW w:w="907" w:type="dxa"/>
            <w:vAlign w:val="bottom"/>
          </w:tcPr>
          <w:p>
            <w:pPr>
              <w:pStyle w:val="0"/>
              <w:jc w:val="center"/>
            </w:pPr>
            <w:r>
              <w:rPr>
                <w:sz w:val="24"/>
              </w:rPr>
              <w:t xml:space="preserve">37</w:t>
            </w:r>
          </w:p>
        </w:tc>
        <w:tc>
          <w:tcPr>
            <w:tcW w:w="1020" w:type="dxa"/>
            <w:vAlign w:val="bottom"/>
          </w:tcPr>
          <w:p>
            <w:pPr>
              <w:pStyle w:val="0"/>
              <w:jc w:val="center"/>
            </w:pPr>
            <w:r>
              <w:rPr>
                <w:sz w:val="24"/>
              </w:rPr>
              <w:t xml:space="preserve">8,2</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8</w:t>
            </w:r>
          </w:p>
        </w:tc>
      </w:tr>
      <w:tr>
        <w:tc>
          <w:tcPr>
            <w:tcW w:w="2494" w:type="dxa"/>
            <w:vAlign w:val="center"/>
          </w:tcPr>
          <w:p>
            <w:pPr>
              <w:pStyle w:val="0"/>
            </w:pPr>
            <w:r>
              <w:rPr>
                <w:sz w:val="24"/>
              </w:rPr>
              <w:t xml:space="preserve">- промтоварные</w:t>
            </w:r>
          </w:p>
        </w:tc>
        <w:tc>
          <w:tcPr>
            <w:tcW w:w="1191" w:type="dxa"/>
            <w:vAlign w:val="center"/>
          </w:tcPr>
          <w:p>
            <w:pPr>
              <w:pStyle w:val="0"/>
              <w:jc w:val="center"/>
            </w:pPr>
            <w:r>
              <w:rPr>
                <w:sz w:val="24"/>
              </w:rPr>
              <w:t xml:space="preserve">Один работающий в смену</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4</w:t>
            </w:r>
          </w:p>
        </w:tc>
        <w:tc>
          <w:tcPr>
            <w:tcW w:w="907" w:type="dxa"/>
            <w:vAlign w:val="bottom"/>
          </w:tcPr>
          <w:p>
            <w:pPr>
              <w:pStyle w:val="0"/>
              <w:jc w:val="center"/>
            </w:pPr>
            <w:r>
              <w:rPr>
                <w:sz w:val="24"/>
              </w:rPr>
              <w:t xml:space="preserve">4</w:t>
            </w:r>
          </w:p>
        </w:tc>
        <w:tc>
          <w:tcPr>
            <w:tcW w:w="1020" w:type="dxa"/>
            <w:vAlign w:val="bottom"/>
          </w:tcPr>
          <w:p>
            <w:pPr>
              <w:pStyle w:val="0"/>
              <w:jc w:val="center"/>
            </w:pPr>
            <w:r>
              <w:rPr>
                <w:sz w:val="24"/>
              </w:rPr>
              <w:t xml:space="preserve">1,7</w:t>
            </w:r>
          </w:p>
        </w:tc>
        <w:tc>
          <w:tcPr>
            <w:tcW w:w="1304" w:type="dxa"/>
            <w:vAlign w:val="bottom"/>
          </w:tcPr>
          <w:p>
            <w:pPr>
              <w:pStyle w:val="0"/>
              <w:jc w:val="center"/>
            </w:pPr>
            <w:r>
              <w:rPr>
                <w:sz w:val="24"/>
              </w:rPr>
              <w:t xml:space="preserve">0,14 (80)</w:t>
            </w:r>
          </w:p>
        </w:tc>
        <w:tc>
          <w:tcPr>
            <w:tcW w:w="1361" w:type="dxa"/>
            <w:vAlign w:val="bottom"/>
          </w:tcPr>
          <w:p>
            <w:pPr>
              <w:pStyle w:val="0"/>
              <w:jc w:val="center"/>
            </w:pPr>
            <w:r>
              <w:rPr>
                <w:sz w:val="24"/>
              </w:rPr>
              <w:t xml:space="preserve">0,1 (60)</w:t>
            </w:r>
          </w:p>
        </w:tc>
        <w:tc>
          <w:tcPr>
            <w:tcW w:w="567" w:type="dxa"/>
            <w:vAlign w:val="bottom"/>
          </w:tcPr>
          <w:p>
            <w:pPr>
              <w:pStyle w:val="0"/>
              <w:jc w:val="center"/>
            </w:pPr>
            <w:r>
              <w:rPr>
                <w:sz w:val="24"/>
              </w:rPr>
              <w:t xml:space="preserve">8</w:t>
            </w:r>
          </w:p>
        </w:tc>
      </w:tr>
      <w:tr>
        <w:tblPrEx>
          <w:tblBorders>
            <w:insideH w:val="nil"/>
          </w:tblBorders>
        </w:tblPrEx>
        <w:tc>
          <w:tcPr>
            <w:gridSpan w:val="9"/>
            <w:tcW w:w="10658" w:type="dxa"/>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Величина удельного водопотребления, может корректироваться для III и IV районов строительства по </w:t>
            </w:r>
            <w:hyperlink w:history="0" r:id="rId40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Конкретное значение величины удельного хозяйственно-питьевого водопотребления принимается на основании данных по оценке фактического удельного водопотребления по приборам учета и утверждается постановлением органов местной власти.</w:t>
            </w:r>
          </w:p>
          <w:p>
            <w:pPr>
              <w:pStyle w:val="0"/>
              <w:ind w:firstLine="283"/>
              <w:jc w:val="both"/>
            </w:pPr>
            <w:r>
              <w:rPr>
                <w:sz w:val="24"/>
              </w:rPr>
              <w:t xml:space="preserve">2 Потребление воды на приготовление пищи на предприятиях общественного питания надлежит учитывать дополнительно.</w:t>
            </w:r>
          </w:p>
          <w:p>
            <w:pPr>
              <w:pStyle w:val="0"/>
              <w:ind w:firstLine="283"/>
              <w:jc w:val="both"/>
            </w:pPr>
            <w:r>
              <w:rPr>
                <w:sz w:val="24"/>
              </w:rPr>
              <w:t xml:space="preserve">3 Для водопотребителей зданий и помещений, не указанных в настоящей таблице, нормы расхода воды следует принимать по </w:t>
            </w:r>
            <w:hyperlink w:history="0" r:id="rId41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ind w:firstLine="283"/>
              <w:jc w:val="both"/>
            </w:pPr>
            <w:r>
              <w:rPr>
                <w:sz w:val="24"/>
              </w:rPr>
              <w:t xml:space="preserve">4 На предприятиях общественного питания число реализуемых блюд в час </w:t>
            </w:r>
            <w:r>
              <w:rPr>
                <w:sz w:val="24"/>
                <w:i w:val="on"/>
              </w:rPr>
              <w:t xml:space="preserve">U</w:t>
            </w:r>
            <w:r>
              <w:rPr>
                <w:sz w:val="24"/>
                <w:vertAlign w:val="subscript"/>
              </w:rPr>
              <w:t xml:space="preserve">ч</w:t>
            </w:r>
            <w:r>
              <w:rPr>
                <w:sz w:val="24"/>
              </w:rPr>
              <w:t xml:space="preserve"> и в сутки </w:t>
            </w:r>
            <w:r>
              <w:rPr>
                <w:sz w:val="24"/>
                <w:i w:val="on"/>
              </w:rPr>
              <w:t xml:space="preserve">U</w:t>
            </w:r>
            <w:r>
              <w:rPr>
                <w:sz w:val="24"/>
                <w:vertAlign w:val="subscript"/>
              </w:rPr>
              <w:t xml:space="preserve">сут</w:t>
            </w:r>
            <w:r>
              <w:rPr>
                <w:sz w:val="24"/>
              </w:rPr>
              <w:t xml:space="preserve"> следует определить по формулам:</w:t>
            </w:r>
          </w:p>
          <w:p>
            <w:pPr>
              <w:pStyle w:val="0"/>
            </w:pPr>
            <w:r>
              <w:rPr>
                <w:sz w:val="24"/>
              </w:rPr>
            </w:r>
          </w:p>
          <w:p>
            <w:pPr>
              <w:pStyle w:val="0"/>
              <w:jc w:val="center"/>
            </w:pPr>
            <w:r>
              <w:rPr>
                <w:sz w:val="24"/>
                <w:i w:val="on"/>
              </w:rPr>
              <w:t xml:space="preserve">U</w:t>
            </w:r>
            <w:r>
              <w:rPr>
                <w:sz w:val="24"/>
                <w:vertAlign w:val="subscript"/>
              </w:rPr>
              <w:t xml:space="preserve">ч</w:t>
            </w:r>
            <w:r>
              <w:rPr>
                <w:sz w:val="24"/>
              </w:rPr>
              <w:t xml:space="preserve"> = 2,2</w:t>
            </w:r>
            <w:r>
              <w:rPr>
                <w:sz w:val="24"/>
                <w:i w:val="on"/>
              </w:rPr>
              <w:t xml:space="preserve">nm</w:t>
            </w:r>
            <w:r>
              <w:rPr>
                <w:sz w:val="24"/>
              </w:rPr>
              <w:t xml:space="preserve">;</w:t>
            </w:r>
          </w:p>
          <w:p>
            <w:pPr>
              <w:pStyle w:val="0"/>
            </w:pPr>
            <w:r>
              <w:rPr>
                <w:sz w:val="24"/>
              </w:rPr>
            </w:r>
          </w:p>
          <w:p>
            <w:pPr>
              <w:pStyle w:val="0"/>
              <w:jc w:val="center"/>
            </w:pPr>
            <w:r>
              <w:rPr>
                <w:sz w:val="24"/>
                <w:i w:val="on"/>
              </w:rPr>
              <w:t xml:space="preserve">U</w:t>
            </w:r>
            <w:r>
              <w:rPr>
                <w:sz w:val="24"/>
                <w:vertAlign w:val="subscript"/>
              </w:rPr>
              <w:t xml:space="preserve">сут</w:t>
            </w:r>
            <w:r>
              <w:rPr>
                <w:sz w:val="24"/>
              </w:rPr>
              <w:t xml:space="preserve"> = </w:t>
            </w:r>
            <w:r>
              <w:rPr>
                <w:sz w:val="24"/>
                <w:i w:val="on"/>
              </w:rPr>
              <w:t xml:space="preserve">U</w:t>
            </w:r>
            <w:r>
              <w:rPr>
                <w:sz w:val="24"/>
                <w:vertAlign w:val="subscript"/>
              </w:rPr>
              <w:t xml:space="preserve">ч</w:t>
            </w:r>
            <w:r>
              <w:rPr>
                <w:sz w:val="24"/>
                <w:i w:val="on"/>
              </w:rPr>
              <w:t xml:space="preserve">Ty</w:t>
            </w:r>
            <w:r>
              <w:rPr>
                <w:sz w:val="24"/>
              </w:rPr>
              <w:t xml:space="preserve">,</w:t>
            </w:r>
          </w:p>
          <w:p>
            <w:pPr>
              <w:pStyle w:val="0"/>
            </w:pPr>
            <w:r>
              <w:rPr>
                <w:sz w:val="24"/>
              </w:rPr>
            </w:r>
          </w:p>
          <w:p>
            <w:pPr>
              <w:pStyle w:val="0"/>
              <w:ind w:firstLine="283"/>
              <w:jc w:val="both"/>
            </w:pPr>
            <w:r>
              <w:rPr>
                <w:sz w:val="24"/>
              </w:rPr>
              <w:t xml:space="preserve">где </w:t>
            </w:r>
            <w:r>
              <w:rPr>
                <w:sz w:val="24"/>
                <w:i w:val="on"/>
              </w:rPr>
              <w:t xml:space="preserve">n</w:t>
            </w:r>
            <w:r>
              <w:rPr>
                <w:sz w:val="24"/>
              </w:rPr>
              <w:t xml:space="preserve"> - число посадочных мест;</w:t>
            </w:r>
          </w:p>
          <w:p>
            <w:pPr>
              <w:pStyle w:val="0"/>
              <w:ind w:firstLine="283"/>
              <w:jc w:val="both"/>
            </w:pPr>
            <w:r>
              <w:rPr>
                <w:sz w:val="24"/>
                <w:i w:val="on"/>
              </w:rPr>
              <w:t xml:space="preserve">m</w:t>
            </w:r>
            <w:r>
              <w:rPr>
                <w:sz w:val="24"/>
              </w:rPr>
              <w:t xml:space="preserve"> - число посадок, принимаемое для столовых открытого типа и кафе равным 2; для студенческих столовых и при промышленных предприятиях - 3; для ресторанов - 1,5;</w:t>
            </w:r>
          </w:p>
          <w:p>
            <w:pPr>
              <w:pStyle w:val="0"/>
              <w:ind w:firstLine="283"/>
              <w:jc w:val="both"/>
            </w:pPr>
            <w:r>
              <w:rPr>
                <w:sz w:val="24"/>
                <w:i w:val="on"/>
              </w:rPr>
              <w:t xml:space="preserve">T</w:t>
            </w:r>
            <w:r>
              <w:rPr>
                <w:sz w:val="24"/>
              </w:rPr>
              <w:t xml:space="preserve"> - время работы предприятия общественного питания, ч;</w:t>
            </w:r>
          </w:p>
          <w:p>
            <w:pPr>
              <w:pStyle w:val="0"/>
              <w:ind w:firstLine="283"/>
              <w:jc w:val="both"/>
            </w:pPr>
            <w:r>
              <w:rPr>
                <w:sz w:val="24"/>
                <w:i w:val="on"/>
              </w:rPr>
              <w:t xml:space="preserve">y</w:t>
            </w:r>
            <w:r>
              <w:rPr>
                <w:sz w:val="24"/>
              </w:rPr>
              <w:t xml:space="preserve"> - коэффициент неравномерности посадок на протяжении рабочего дня, принимаемый для столовых и кафе - 0,45; для ресторанов - 0,55; для других предприятий общественного питания при обосновании допускается принимать 1,0.</w:t>
            </w:r>
          </w:p>
          <w:p>
            <w:pPr>
              <w:pStyle w:val="0"/>
              <w:ind w:firstLine="283"/>
              <w:jc w:val="both"/>
            </w:pPr>
            <w:r>
              <w:rPr>
                <w:sz w:val="24"/>
              </w:rPr>
              <w:t xml:space="preserve">Расчетные расходы воды включают все дополнительные расходы (обслуживающим персоналом, душевыми для обслуживания персонала, посетителями, на уборку помещения и т.д.).</w:t>
            </w:r>
          </w:p>
          <w:p>
            <w:pPr>
              <w:pStyle w:val="0"/>
              <w:ind w:firstLine="283"/>
              <w:jc w:val="both"/>
            </w:pPr>
            <w:r>
              <w:rPr>
                <w:sz w:val="24"/>
              </w:rPr>
              <w:t xml:space="preserve">Время работы предприятий общественного питания, с учетом приготовления пищи и мытья оборудования, определяется технологической частью проектной документации.</w:t>
            </w:r>
          </w:p>
          <w:p>
            <w:pPr>
              <w:pStyle w:val="0"/>
              <w:ind w:firstLine="283"/>
              <w:jc w:val="both"/>
            </w:pPr>
            <w:r>
              <w:rPr>
                <w:sz w:val="24"/>
              </w:rPr>
              <w:t xml:space="preserve">5 В предприятиях общественного питания, где приготовление пищи не предусмотрено (буфеты, бутербродные и т.п.), расчетные расходы воды следует принимать как разницу между расчетными расходами в предприятиях, приготовляющих и реализующих пищу в обеденном зале и продающих на дом. Расчетный расход воды на 1 т продукции определяется технологической частью проектной документации.</w:t>
            </w:r>
          </w:p>
          <w:p>
            <w:pPr>
              <w:pStyle w:val="0"/>
              <w:ind w:firstLine="283"/>
              <w:jc w:val="both"/>
            </w:pPr>
            <w:r>
              <w:rPr>
                <w:sz w:val="24"/>
              </w:rPr>
              <w:t xml:space="preserve">6 Число проживающих в жилых многоквартирных домах для проектирования внутренних сетей рекомендуется определять в соответствии с </w:t>
            </w:r>
            <w:hyperlink w:history="0" r:id="rId411"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5.1</w:t>
              </w:r>
            </w:hyperlink>
            <w:r>
              <w:rPr>
                <w:sz w:val="24"/>
              </w:rPr>
              <w:t xml:space="preserve"> СП 42.13330.2016.</w:t>
            </w:r>
          </w:p>
        </w:tc>
      </w:tr>
      <w:tr>
        <w:tblPrEx>
          <w:tblBorders>
            <w:insideH w:val="nil"/>
          </w:tblBorders>
        </w:tblPrEx>
        <w:tc>
          <w:tcPr>
            <w:gridSpan w:val="9"/>
            <w:tcW w:w="10658" w:type="dxa"/>
            <w:tcBorders>
              <w:top w:val="nil"/>
            </w:tcBorders>
          </w:tcPr>
          <w:p>
            <w:pPr>
              <w:pStyle w:val="0"/>
              <w:jc w:val="both"/>
            </w:pPr>
            <w:r>
              <w:rPr>
                <w:sz w:val="24"/>
              </w:rPr>
              <w:t xml:space="preserve">(в ред. </w:t>
            </w:r>
            <w:hyperlink w:history="0" r:id="rId41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tc>
      </w:tr>
    </w:tbl>
    <w:p>
      <w:pPr>
        <w:sectPr>
          <w:headerReference w:type="default" r:id="rId398"/>
          <w:headerReference w:type="first" r:id="rId398"/>
          <w:footerReference w:type="default" r:id="rId399"/>
          <w:footerReference w:type="first" r:id="rId399"/>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933" w:name="P1933"/>
    <w:bookmarkEnd w:id="1933"/>
    <w:p>
      <w:pPr>
        <w:pStyle w:val="2"/>
        <w:jc w:val="center"/>
      </w:pPr>
      <w:r>
        <w:rPr>
          <w:sz w:val="24"/>
        </w:rPr>
        <w:t xml:space="preserve">РАСХОДЫ ВОДЫ И СТОКОВ САНИТАРНЫМИ ПРИБОРАМИ</w:t>
      </w:r>
    </w:p>
    <w:p>
      <w:pPr>
        <w:pStyle w:val="0"/>
        <w:jc w:val="center"/>
      </w:pPr>
      <w:r>
        <w:rPr>
          <w:sz w:val="24"/>
        </w:rPr>
      </w:r>
    </w:p>
    <w:p>
      <w:pPr>
        <w:pStyle w:val="0"/>
        <w:jc w:val="center"/>
      </w:pPr>
      <w:r>
        <w:rPr>
          <w:sz w:val="24"/>
        </w:rPr>
        <w:t xml:space="preserve">(приложение Г в ред. </w:t>
      </w:r>
      <w:hyperlink w:history="0" r:id="rId41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jc w:val="right"/>
      </w:pPr>
      <w:r>
        <w:rPr>
          <w:sz w:val="24"/>
        </w:rPr>
        <w:t xml:space="preserve">Таблица Г.1</w:t>
      </w:r>
    </w:p>
    <w:p>
      <w:pPr>
        <w:pStyle w:val="0"/>
        <w:jc w:val="both"/>
      </w:pPr>
      <w:r>
        <w:rPr>
          <w:sz w:val="24"/>
        </w:rPr>
      </w:r>
    </w:p>
    <w:p>
      <w:pPr>
        <w:pStyle w:val="0"/>
        <w:jc w:val="center"/>
      </w:pPr>
      <w:r>
        <w:rPr>
          <w:sz w:val="24"/>
        </w:rPr>
        <w:t xml:space="preserve">Расходы воды и стоков санитарными приборами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850"/>
        <w:gridCol w:w="737"/>
        <w:gridCol w:w="737"/>
        <w:gridCol w:w="850"/>
        <w:gridCol w:w="737"/>
        <w:gridCol w:w="737"/>
        <w:gridCol w:w="907"/>
        <w:gridCol w:w="850"/>
        <w:gridCol w:w="850"/>
      </w:tblGrid>
      <w:tr>
        <w:tc>
          <w:tcPr>
            <w:tcW w:w="2381" w:type="dxa"/>
            <w:vAlign w:val="center"/>
            <w:vMerge w:val="restart"/>
          </w:tcPr>
          <w:p>
            <w:pPr>
              <w:pStyle w:val="0"/>
              <w:jc w:val="center"/>
            </w:pPr>
            <w:r>
              <w:rPr>
                <w:sz w:val="24"/>
              </w:rPr>
              <w:t xml:space="preserve">Санитарный прибор</w:t>
            </w:r>
          </w:p>
        </w:tc>
        <w:tc>
          <w:tcPr>
            <w:gridSpan w:val="3"/>
            <w:tcW w:w="2324" w:type="dxa"/>
            <w:vAlign w:val="center"/>
          </w:tcPr>
          <w:p>
            <w:pPr>
              <w:pStyle w:val="0"/>
              <w:jc w:val="center"/>
            </w:pPr>
            <w:r>
              <w:rPr>
                <w:sz w:val="24"/>
              </w:rPr>
              <w:t xml:space="preserve">Секундный расход воды, л/с</w:t>
            </w:r>
          </w:p>
        </w:tc>
        <w:tc>
          <w:tcPr>
            <w:gridSpan w:val="3"/>
            <w:tcW w:w="2324" w:type="dxa"/>
            <w:vAlign w:val="center"/>
          </w:tcPr>
          <w:p>
            <w:pPr>
              <w:pStyle w:val="0"/>
              <w:jc w:val="center"/>
            </w:pPr>
            <w:r>
              <w:rPr>
                <w:sz w:val="24"/>
              </w:rPr>
              <w:t xml:space="preserve">Часовой расход воды, л/ч</w:t>
            </w:r>
          </w:p>
        </w:tc>
        <w:tc>
          <w:tcPr>
            <w:tcW w:w="907" w:type="dxa"/>
            <w:vAlign w:val="center"/>
            <w:vMerge w:val="restart"/>
          </w:tcPr>
          <w:p>
            <w:pPr>
              <w:pStyle w:val="0"/>
              <w:jc w:val="center"/>
            </w:pPr>
            <w:r>
              <w:rPr>
                <w:sz w:val="24"/>
              </w:rPr>
              <w:t xml:space="preserve">Расход стоков от прибора, л/с</w:t>
            </w:r>
          </w:p>
          <w:p>
            <w:pPr>
              <w:pStyle w:val="0"/>
            </w:pPr>
            <w:r>
              <w:rPr>
                <w:sz w:val="24"/>
              </w:rPr>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gridSpan w:val="2"/>
            <w:tcW w:w="1700" w:type="dxa"/>
            <w:vAlign w:val="center"/>
          </w:tcPr>
          <w:p>
            <w:pPr>
              <w:pStyle w:val="0"/>
              <w:jc w:val="center"/>
            </w:pPr>
            <w:r>
              <w:rPr>
                <w:sz w:val="24"/>
              </w:rPr>
              <w:t xml:space="preserve">Минимальные диаметры условного прохода, мм</w:t>
            </w:r>
          </w:p>
        </w:tc>
      </w:tr>
      <w:tr>
        <w:tc>
          <w:tcPr>
            <w:vMerge w:val="continue"/>
          </w:tcPr>
          <w:p/>
        </w:tc>
        <w:tc>
          <w:tcPr>
            <w:tcW w:w="850" w:type="dxa"/>
            <w:vAlign w:val="center"/>
          </w:tcPr>
          <w:p>
            <w:pPr>
              <w:pStyle w:val="0"/>
              <w:jc w:val="center"/>
            </w:pPr>
            <w:r>
              <w:rPr>
                <w:sz w:val="24"/>
              </w:rPr>
              <w:t xml:space="preserve">общий</w:t>
            </w:r>
          </w:p>
          <w:p>
            <w:pPr>
              <w:pStyle w:val="0"/>
            </w:pPr>
            <w:r>
              <w:rPr>
                <w:sz w:val="24"/>
              </w:rPr>
            </w:r>
          </w:p>
          <w:p>
            <w:pPr>
              <w:pStyle w:val="0"/>
              <w:jc w:val="center"/>
            </w:pP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p>
        </w:tc>
        <w:tc>
          <w:tcPr>
            <w:tcW w:w="737" w:type="dxa"/>
            <w:vAlign w:val="center"/>
          </w:tcPr>
          <w:p>
            <w:pPr>
              <w:pStyle w:val="0"/>
              <w:jc w:val="center"/>
            </w:pPr>
            <w:r>
              <w:rPr>
                <w:sz w:val="24"/>
              </w:rPr>
              <w:t xml:space="preserve">холодной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tcW w:w="737" w:type="dxa"/>
            <w:vAlign w:val="center"/>
          </w:tcPr>
          <w:p>
            <w:pPr>
              <w:pStyle w:val="0"/>
              <w:jc w:val="center"/>
            </w:pPr>
            <w:r>
              <w:rPr>
                <w:sz w:val="24"/>
              </w:rPr>
              <w:t xml:space="preserve">горячей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3">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tcW w:w="850" w:type="dxa"/>
            <w:vAlign w:val="center"/>
          </w:tcPr>
          <w:p>
            <w:pPr>
              <w:pStyle w:val="0"/>
              <w:jc w:val="center"/>
            </w:pPr>
            <w:r>
              <w:rPr>
                <w:sz w:val="24"/>
              </w:rPr>
              <w:t xml:space="preserve">общий</w:t>
            </w:r>
          </w:p>
          <w:p>
            <w:pPr>
              <w:pStyle w:val="0"/>
            </w:pPr>
            <w:r>
              <w:rPr>
                <w:sz w:val="24"/>
              </w:rPr>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737" w:type="dxa"/>
            <w:vAlign w:val="center"/>
          </w:tcPr>
          <w:p>
            <w:pPr>
              <w:pStyle w:val="0"/>
              <w:jc w:val="center"/>
            </w:pPr>
            <w:r>
              <w:rPr>
                <w:sz w:val="24"/>
              </w:rPr>
              <w:t xml:space="preserve">холодной</w:t>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737" w:type="dxa"/>
            <w:vAlign w:val="center"/>
          </w:tcPr>
          <w:p>
            <w:pPr>
              <w:pStyle w:val="0"/>
              <w:jc w:val="center"/>
            </w:pPr>
            <w:r>
              <w:rPr>
                <w:sz w:val="24"/>
              </w:rPr>
              <w:t xml:space="preserve">горячей</w:t>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vMerge w:val="continue"/>
          </w:tcPr>
          <w:p/>
        </w:tc>
        <w:tc>
          <w:tcPr>
            <w:tcW w:w="850" w:type="dxa"/>
            <w:vAlign w:val="center"/>
          </w:tcPr>
          <w:p>
            <w:pPr>
              <w:pStyle w:val="0"/>
              <w:jc w:val="center"/>
            </w:pPr>
            <w:r>
              <w:rPr>
                <w:sz w:val="24"/>
              </w:rPr>
              <w:t xml:space="preserve">подводки</w:t>
            </w:r>
          </w:p>
        </w:tc>
        <w:tc>
          <w:tcPr>
            <w:tcW w:w="850" w:type="dxa"/>
            <w:vAlign w:val="center"/>
          </w:tcPr>
          <w:p>
            <w:pPr>
              <w:pStyle w:val="0"/>
              <w:jc w:val="center"/>
            </w:pPr>
            <w:r>
              <w:rPr>
                <w:sz w:val="24"/>
              </w:rPr>
              <w:t xml:space="preserve">отвода</w:t>
            </w:r>
          </w:p>
        </w:tc>
      </w:tr>
      <w:tr>
        <w:tblPrEx>
          <w:tblBorders>
            <w:insideH w:val="nil"/>
          </w:tblBorders>
        </w:tblPrEx>
        <w:tc>
          <w:tcPr>
            <w:tcW w:w="2381" w:type="dxa"/>
            <w:tcBorders>
              <w:bottom w:val="nil"/>
            </w:tcBorders>
          </w:tcPr>
          <w:p>
            <w:pPr>
              <w:pStyle w:val="0"/>
            </w:pPr>
            <w:r>
              <w:rPr>
                <w:sz w:val="24"/>
              </w:rPr>
              <w:t xml:space="preserve">Умывальник с водоразборным краном</w:t>
            </w:r>
          </w:p>
        </w:tc>
        <w:tc>
          <w:tcPr>
            <w:tcW w:w="850" w:type="dxa"/>
            <w:vAlign w:val="bottom"/>
            <w:tcBorders>
              <w:bottom w:val="nil"/>
            </w:tcBorders>
          </w:tcPr>
          <w:p>
            <w:pPr>
              <w:pStyle w:val="0"/>
              <w:jc w:val="center"/>
            </w:pPr>
            <w:r>
              <w:rPr>
                <w:sz w:val="24"/>
              </w:rPr>
              <w:t xml:space="preserve">0,1</w:t>
            </w:r>
          </w:p>
        </w:tc>
        <w:tc>
          <w:tcPr>
            <w:tcW w:w="737" w:type="dxa"/>
            <w:vAlign w:val="bottom"/>
            <w:tcBorders>
              <w:bottom w:val="nil"/>
            </w:tcBorders>
          </w:tcPr>
          <w:p>
            <w:pPr>
              <w:pStyle w:val="0"/>
              <w:jc w:val="center"/>
            </w:pPr>
            <w:r>
              <w:rPr>
                <w:sz w:val="24"/>
              </w:rPr>
              <w:t xml:space="preserve">0,1</w:t>
            </w:r>
          </w:p>
        </w:tc>
        <w:tc>
          <w:tcPr>
            <w:tcW w:w="737" w:type="dxa"/>
            <w:vAlign w:val="bottom"/>
            <w:tcBorders>
              <w:bottom w:val="nil"/>
            </w:tcBorders>
          </w:tcPr>
          <w:p>
            <w:pPr>
              <w:pStyle w:val="0"/>
              <w:jc w:val="center"/>
            </w:pPr>
            <w:r>
              <w:rPr>
                <w:sz w:val="24"/>
              </w:rPr>
              <w:t xml:space="preserve">-</w:t>
            </w:r>
          </w:p>
        </w:tc>
        <w:tc>
          <w:tcPr>
            <w:tcW w:w="850" w:type="dxa"/>
            <w:vAlign w:val="bottom"/>
            <w:tcBorders>
              <w:bottom w:val="nil"/>
            </w:tcBorders>
          </w:tcPr>
          <w:p>
            <w:pPr>
              <w:pStyle w:val="0"/>
              <w:jc w:val="center"/>
            </w:pPr>
            <w:r>
              <w:rPr>
                <w:sz w:val="24"/>
              </w:rPr>
              <w:t xml:space="preserve">30</w:t>
            </w:r>
          </w:p>
        </w:tc>
        <w:tc>
          <w:tcPr>
            <w:tcW w:w="737" w:type="dxa"/>
            <w:vAlign w:val="bottom"/>
            <w:tcBorders>
              <w:bottom w:val="nil"/>
            </w:tcBorders>
          </w:tcPr>
          <w:p>
            <w:pPr>
              <w:pStyle w:val="0"/>
              <w:jc w:val="center"/>
            </w:pPr>
            <w:r>
              <w:rPr>
                <w:sz w:val="24"/>
              </w:rPr>
              <w:t xml:space="preserve">30</w:t>
            </w:r>
          </w:p>
        </w:tc>
        <w:tc>
          <w:tcPr>
            <w:tcW w:w="737" w:type="dxa"/>
            <w:vAlign w:val="bottom"/>
            <w:tcBorders>
              <w:bottom w:val="nil"/>
            </w:tcBorders>
          </w:tcPr>
          <w:p>
            <w:pPr>
              <w:pStyle w:val="0"/>
              <w:jc w:val="center"/>
            </w:pPr>
            <w:r>
              <w:rPr>
                <w:sz w:val="24"/>
              </w:rPr>
              <w:t xml:space="preserve">-</w:t>
            </w:r>
          </w:p>
        </w:tc>
        <w:tc>
          <w:tcPr>
            <w:tcW w:w="907" w:type="dxa"/>
            <w:vAlign w:val="bottom"/>
            <w:tcBorders>
              <w:bottom w:val="nil"/>
            </w:tcBorders>
          </w:tcPr>
          <w:p>
            <w:pPr>
              <w:pStyle w:val="0"/>
              <w:jc w:val="center"/>
            </w:pPr>
            <w:r>
              <w:rPr>
                <w:sz w:val="24"/>
              </w:rPr>
              <w:t xml:space="preserve">0,15</w:t>
            </w:r>
          </w:p>
        </w:tc>
        <w:tc>
          <w:tcPr>
            <w:tcW w:w="850" w:type="dxa"/>
            <w:vAlign w:val="bottom"/>
            <w:tcBorders>
              <w:bottom w:val="nil"/>
            </w:tcBorders>
          </w:tcPr>
          <w:p>
            <w:pPr>
              <w:pStyle w:val="0"/>
              <w:jc w:val="center"/>
            </w:pPr>
            <w:r>
              <w:rPr>
                <w:sz w:val="24"/>
              </w:rPr>
              <w:t xml:space="preserve">10</w:t>
            </w:r>
          </w:p>
        </w:tc>
        <w:tc>
          <w:tcPr>
            <w:tcW w:w="850" w:type="dxa"/>
            <w:vAlign w:val="bottom"/>
            <w:tcBorders>
              <w:bottom w:val="nil"/>
            </w:tcBorders>
          </w:tcPr>
          <w:p>
            <w:pPr>
              <w:pStyle w:val="0"/>
              <w:jc w:val="center"/>
            </w:pPr>
            <w:r>
              <w:rPr>
                <w:sz w:val="24"/>
              </w:rPr>
              <w:t xml:space="preserve">32</w:t>
            </w:r>
          </w:p>
        </w:tc>
      </w:tr>
      <w:tr>
        <w:tblPrEx>
          <w:tblBorders>
            <w:insideH w:val="nil"/>
          </w:tblBorders>
        </w:tblPrEx>
        <w:tc>
          <w:tcPr>
            <w:tcW w:w="2381" w:type="dxa"/>
            <w:tcBorders>
              <w:top w:val="nil"/>
            </w:tcBorders>
          </w:tcPr>
          <w:p>
            <w:pPr>
              <w:pStyle w:val="0"/>
            </w:pPr>
            <w:r>
              <w:rPr>
                <w:sz w:val="24"/>
              </w:rPr>
              <w:t xml:space="preserve">То же, со смесителем</w:t>
            </w:r>
          </w:p>
        </w:tc>
        <w:tc>
          <w:tcPr>
            <w:tcW w:w="850" w:type="dxa"/>
            <w:vAlign w:val="bottom"/>
            <w:tcBorders>
              <w:top w:val="nil"/>
            </w:tcBorders>
          </w:tcPr>
          <w:p>
            <w:pPr>
              <w:pStyle w:val="0"/>
              <w:jc w:val="center"/>
            </w:pPr>
            <w:r>
              <w:rPr>
                <w:sz w:val="24"/>
              </w:rPr>
              <w:t xml:space="preserve">0,12</w:t>
            </w:r>
          </w:p>
        </w:tc>
        <w:tc>
          <w:tcPr>
            <w:tcW w:w="737" w:type="dxa"/>
            <w:vAlign w:val="bottom"/>
            <w:tcBorders>
              <w:top w:val="nil"/>
            </w:tcBorders>
          </w:tcPr>
          <w:p>
            <w:pPr>
              <w:pStyle w:val="0"/>
              <w:jc w:val="center"/>
            </w:pPr>
            <w:r>
              <w:rPr>
                <w:sz w:val="24"/>
              </w:rPr>
              <w:t xml:space="preserve">0,09</w:t>
            </w:r>
          </w:p>
        </w:tc>
        <w:tc>
          <w:tcPr>
            <w:tcW w:w="737" w:type="dxa"/>
            <w:vAlign w:val="bottom"/>
            <w:tcBorders>
              <w:top w:val="nil"/>
            </w:tcBorders>
          </w:tcPr>
          <w:p>
            <w:pPr>
              <w:pStyle w:val="0"/>
              <w:jc w:val="center"/>
            </w:pPr>
            <w:r>
              <w:rPr>
                <w:sz w:val="24"/>
              </w:rPr>
              <w:t xml:space="preserve">0,09</w:t>
            </w:r>
          </w:p>
        </w:tc>
        <w:tc>
          <w:tcPr>
            <w:tcW w:w="850" w:type="dxa"/>
            <w:vAlign w:val="bottom"/>
            <w:tcBorders>
              <w:top w:val="nil"/>
            </w:tcBorders>
          </w:tcPr>
          <w:p>
            <w:pPr>
              <w:pStyle w:val="0"/>
              <w:jc w:val="center"/>
            </w:pPr>
            <w:r>
              <w:rPr>
                <w:sz w:val="24"/>
              </w:rPr>
              <w:t xml:space="preserve">60</w:t>
            </w:r>
          </w:p>
        </w:tc>
        <w:tc>
          <w:tcPr>
            <w:tcW w:w="737" w:type="dxa"/>
            <w:vAlign w:val="bottom"/>
            <w:tcBorders>
              <w:top w:val="nil"/>
            </w:tcBorders>
          </w:tcPr>
          <w:p>
            <w:pPr>
              <w:pStyle w:val="0"/>
              <w:jc w:val="center"/>
            </w:pPr>
            <w:r>
              <w:rPr>
                <w:sz w:val="24"/>
              </w:rPr>
              <w:t xml:space="preserve">40</w:t>
            </w:r>
          </w:p>
        </w:tc>
        <w:tc>
          <w:tcPr>
            <w:tcW w:w="737" w:type="dxa"/>
            <w:vAlign w:val="bottom"/>
            <w:tcBorders>
              <w:top w:val="nil"/>
            </w:tcBorders>
          </w:tcPr>
          <w:p>
            <w:pPr>
              <w:pStyle w:val="0"/>
              <w:jc w:val="center"/>
            </w:pPr>
            <w:r>
              <w:rPr>
                <w:sz w:val="24"/>
              </w:rPr>
              <w:t xml:space="preserve">40</w:t>
            </w:r>
          </w:p>
        </w:tc>
        <w:tc>
          <w:tcPr>
            <w:tcW w:w="907" w:type="dxa"/>
            <w:vAlign w:val="bottom"/>
            <w:tcBorders>
              <w:top w:val="nil"/>
            </w:tcBorders>
          </w:tcPr>
          <w:p>
            <w:pPr>
              <w:pStyle w:val="0"/>
              <w:jc w:val="center"/>
            </w:pPr>
            <w:r>
              <w:rPr>
                <w:sz w:val="24"/>
              </w:rPr>
              <w:t xml:space="preserve">0,15</w:t>
            </w:r>
          </w:p>
        </w:tc>
        <w:tc>
          <w:tcPr>
            <w:tcW w:w="850" w:type="dxa"/>
            <w:vAlign w:val="bottom"/>
            <w:tcBorders>
              <w:top w:val="nil"/>
            </w:tcBorders>
          </w:tcPr>
          <w:p>
            <w:pPr>
              <w:pStyle w:val="0"/>
              <w:jc w:val="center"/>
            </w:pPr>
            <w:r>
              <w:rPr>
                <w:sz w:val="24"/>
              </w:rPr>
              <w:t xml:space="preserve">10</w:t>
            </w:r>
          </w:p>
        </w:tc>
        <w:tc>
          <w:tcPr>
            <w:tcW w:w="850" w:type="dxa"/>
            <w:vAlign w:val="bottom"/>
            <w:tcBorders>
              <w:top w:val="nil"/>
            </w:tcBorders>
          </w:tcPr>
          <w:p>
            <w:pPr>
              <w:pStyle w:val="0"/>
              <w:jc w:val="center"/>
            </w:pPr>
            <w:r>
              <w:rPr>
                <w:sz w:val="24"/>
              </w:rPr>
              <w:t xml:space="preserve">32</w:t>
            </w:r>
          </w:p>
        </w:tc>
      </w:tr>
      <w:tr>
        <w:tc>
          <w:tcPr>
            <w:tcW w:w="2381" w:type="dxa"/>
          </w:tcPr>
          <w:p>
            <w:pPr>
              <w:pStyle w:val="0"/>
            </w:pPr>
            <w:r>
              <w:rPr>
                <w:sz w:val="24"/>
              </w:rPr>
              <w:t xml:space="preserve">Раковина, мойка инвентарная с водоразборным краном</w:t>
            </w:r>
          </w:p>
        </w:tc>
        <w:tc>
          <w:tcPr>
            <w:tcW w:w="850" w:type="dxa"/>
            <w:vAlign w:val="bottom"/>
          </w:tcPr>
          <w:p>
            <w:pPr>
              <w:pStyle w:val="0"/>
              <w:jc w:val="center"/>
            </w:pPr>
            <w:r>
              <w:rPr>
                <w:sz w:val="24"/>
              </w:rPr>
              <w:t xml:space="preserve">0,15</w:t>
            </w:r>
          </w:p>
        </w:tc>
        <w:tc>
          <w:tcPr>
            <w:tcW w:w="737" w:type="dxa"/>
            <w:vAlign w:val="bottom"/>
          </w:tcPr>
          <w:p>
            <w:pPr>
              <w:pStyle w:val="0"/>
              <w:jc w:val="center"/>
            </w:pPr>
            <w:r>
              <w:rPr>
                <w:sz w:val="24"/>
              </w:rPr>
              <w:t xml:space="preserve">0,15</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50</w:t>
            </w:r>
          </w:p>
        </w:tc>
        <w:tc>
          <w:tcPr>
            <w:tcW w:w="737" w:type="dxa"/>
            <w:vAlign w:val="bottom"/>
          </w:tcPr>
          <w:p>
            <w:pPr>
              <w:pStyle w:val="0"/>
              <w:jc w:val="center"/>
            </w:pPr>
            <w:r>
              <w:rPr>
                <w:sz w:val="24"/>
              </w:rPr>
              <w:t xml:space="preserve">50</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0,3</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Мойка со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80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Мойка (для предприятий общественного питания) со смесителем</w:t>
            </w:r>
          </w:p>
        </w:tc>
        <w:tc>
          <w:tcPr>
            <w:tcW w:w="850" w:type="dxa"/>
            <w:vAlign w:val="bottom"/>
          </w:tcPr>
          <w:p>
            <w:pPr>
              <w:pStyle w:val="0"/>
              <w:jc w:val="center"/>
            </w:pPr>
            <w:r>
              <w:rPr>
                <w:sz w:val="24"/>
              </w:rPr>
              <w:t xml:space="preserve">0,3</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850" w:type="dxa"/>
            <w:vAlign w:val="bottom"/>
          </w:tcPr>
          <w:p>
            <w:pPr>
              <w:pStyle w:val="0"/>
              <w:jc w:val="center"/>
            </w:pPr>
            <w:r>
              <w:rPr>
                <w:sz w:val="24"/>
              </w:rPr>
              <w:t xml:space="preserve">500</w:t>
            </w:r>
          </w:p>
        </w:tc>
        <w:tc>
          <w:tcPr>
            <w:tcW w:w="737" w:type="dxa"/>
            <w:vAlign w:val="bottom"/>
          </w:tcPr>
          <w:p>
            <w:pPr>
              <w:pStyle w:val="0"/>
              <w:jc w:val="center"/>
            </w:pPr>
            <w:r>
              <w:rPr>
                <w:sz w:val="24"/>
              </w:rPr>
              <w:t xml:space="preserve">220</w:t>
            </w:r>
          </w:p>
        </w:tc>
        <w:tc>
          <w:tcPr>
            <w:tcW w:w="737" w:type="dxa"/>
            <w:vAlign w:val="bottom"/>
          </w:tcPr>
          <w:p>
            <w:pPr>
              <w:pStyle w:val="0"/>
              <w:jc w:val="center"/>
            </w:pPr>
            <w:r>
              <w:rPr>
                <w:sz w:val="24"/>
              </w:rPr>
              <w:t xml:space="preserve">280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50</w:t>
            </w:r>
          </w:p>
        </w:tc>
      </w:tr>
      <w:tr>
        <w:tc>
          <w:tcPr>
            <w:tcW w:w="2381" w:type="dxa"/>
          </w:tcPr>
          <w:p>
            <w:pPr>
              <w:pStyle w:val="0"/>
            </w:pPr>
            <w:r>
              <w:rPr>
                <w:sz w:val="24"/>
              </w:rPr>
              <w:t xml:space="preserve">Ванна со смесителем (в том числе общим для ванн и умывальника)</w:t>
            </w:r>
          </w:p>
        </w:tc>
        <w:tc>
          <w:tcPr>
            <w:tcW w:w="850" w:type="dxa"/>
            <w:vAlign w:val="bottom"/>
          </w:tcPr>
          <w:p>
            <w:pPr>
              <w:pStyle w:val="0"/>
              <w:jc w:val="center"/>
            </w:pPr>
            <w:r>
              <w:rPr>
                <w:sz w:val="24"/>
              </w:rPr>
              <w:t xml:space="preserve">0,25</w:t>
            </w:r>
          </w:p>
        </w:tc>
        <w:tc>
          <w:tcPr>
            <w:tcW w:w="737" w:type="dxa"/>
            <w:vAlign w:val="bottom"/>
          </w:tcPr>
          <w:p>
            <w:pPr>
              <w:pStyle w:val="0"/>
              <w:jc w:val="center"/>
            </w:pPr>
            <w:r>
              <w:rPr>
                <w:sz w:val="24"/>
              </w:rPr>
              <w:t xml:space="preserve">0,18</w:t>
            </w:r>
          </w:p>
        </w:tc>
        <w:tc>
          <w:tcPr>
            <w:tcW w:w="737" w:type="dxa"/>
            <w:vAlign w:val="bottom"/>
          </w:tcPr>
          <w:p>
            <w:pPr>
              <w:pStyle w:val="0"/>
              <w:jc w:val="center"/>
            </w:pPr>
            <w:r>
              <w:rPr>
                <w:sz w:val="24"/>
              </w:rPr>
              <w:t xml:space="preserve">0,18</w:t>
            </w:r>
          </w:p>
        </w:tc>
        <w:tc>
          <w:tcPr>
            <w:tcW w:w="850" w:type="dxa"/>
            <w:vAlign w:val="bottom"/>
          </w:tcPr>
          <w:p>
            <w:pPr>
              <w:pStyle w:val="0"/>
              <w:jc w:val="center"/>
            </w:pPr>
            <w:r>
              <w:rPr>
                <w:sz w:val="24"/>
              </w:rPr>
              <w:t xml:space="preserve">300</w:t>
            </w:r>
          </w:p>
        </w:tc>
        <w:tc>
          <w:tcPr>
            <w:tcW w:w="737" w:type="dxa"/>
            <w:vAlign w:val="bottom"/>
          </w:tcPr>
          <w:p>
            <w:pPr>
              <w:pStyle w:val="0"/>
              <w:jc w:val="center"/>
            </w:pPr>
            <w:r>
              <w:rPr>
                <w:sz w:val="24"/>
              </w:rPr>
              <w:t xml:space="preserve">200</w:t>
            </w:r>
          </w:p>
        </w:tc>
        <w:tc>
          <w:tcPr>
            <w:tcW w:w="737" w:type="dxa"/>
            <w:vAlign w:val="bottom"/>
          </w:tcPr>
          <w:p>
            <w:pPr>
              <w:pStyle w:val="0"/>
              <w:jc w:val="center"/>
            </w:pPr>
            <w:r>
              <w:rPr>
                <w:sz w:val="24"/>
              </w:rPr>
              <w:t xml:space="preserve">200</w:t>
            </w:r>
          </w:p>
        </w:tc>
        <w:tc>
          <w:tcPr>
            <w:tcW w:w="907" w:type="dxa"/>
            <w:vAlign w:val="bottom"/>
          </w:tcPr>
          <w:p>
            <w:pPr>
              <w:pStyle w:val="0"/>
              <w:jc w:val="center"/>
            </w:pPr>
            <w:r>
              <w:rPr>
                <w:sz w:val="24"/>
              </w:rPr>
              <w:t xml:space="preserve">0,8</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Душевая кабина с мелким душевым поддоном и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100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Душевая кабина с глубоким душевым поддоном и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115</w:t>
            </w:r>
          </w:p>
        </w:tc>
        <w:tc>
          <w:tcPr>
            <w:tcW w:w="737" w:type="dxa"/>
            <w:vAlign w:val="bottom"/>
          </w:tcPr>
          <w:p>
            <w:pPr>
              <w:pStyle w:val="0"/>
              <w:jc w:val="center"/>
            </w:pPr>
            <w:r>
              <w:rPr>
                <w:sz w:val="24"/>
              </w:rPr>
              <w:t xml:space="preserve">80</w:t>
            </w:r>
          </w:p>
        </w:tc>
        <w:tc>
          <w:tcPr>
            <w:tcW w:w="737" w:type="dxa"/>
            <w:vAlign w:val="bottom"/>
          </w:tcPr>
          <w:p>
            <w:pPr>
              <w:pStyle w:val="0"/>
              <w:jc w:val="center"/>
            </w:pPr>
            <w:r>
              <w:rPr>
                <w:sz w:val="24"/>
              </w:rPr>
              <w:t xml:space="preserve">80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 в групповой установке со смесителем</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0,14</w:t>
            </w:r>
          </w:p>
        </w:tc>
        <w:tc>
          <w:tcPr>
            <w:tcW w:w="737" w:type="dxa"/>
            <w:vAlign w:val="bottom"/>
          </w:tcPr>
          <w:p>
            <w:pPr>
              <w:pStyle w:val="0"/>
              <w:jc w:val="center"/>
            </w:pPr>
            <w:r>
              <w:rPr>
                <w:sz w:val="24"/>
              </w:rPr>
              <w:t xml:space="preserve">0,14</w:t>
            </w:r>
          </w:p>
        </w:tc>
        <w:tc>
          <w:tcPr>
            <w:tcW w:w="850" w:type="dxa"/>
            <w:vAlign w:val="bottom"/>
          </w:tcPr>
          <w:p>
            <w:pPr>
              <w:pStyle w:val="0"/>
              <w:jc w:val="center"/>
            </w:pPr>
            <w:r>
              <w:rPr>
                <w:sz w:val="24"/>
              </w:rPr>
              <w:t xml:space="preserve">500</w:t>
            </w:r>
          </w:p>
        </w:tc>
        <w:tc>
          <w:tcPr>
            <w:tcW w:w="737" w:type="dxa"/>
            <w:vAlign w:val="bottom"/>
          </w:tcPr>
          <w:p>
            <w:pPr>
              <w:pStyle w:val="0"/>
              <w:jc w:val="center"/>
            </w:pPr>
            <w:r>
              <w:rPr>
                <w:sz w:val="24"/>
              </w:rPr>
              <w:t xml:space="preserve">270</w:t>
            </w:r>
          </w:p>
        </w:tc>
        <w:tc>
          <w:tcPr>
            <w:tcW w:w="737" w:type="dxa"/>
            <w:vAlign w:val="bottom"/>
          </w:tcPr>
          <w:p>
            <w:pPr>
              <w:pStyle w:val="0"/>
              <w:jc w:val="center"/>
            </w:pPr>
            <w:r>
              <w:rPr>
                <w:sz w:val="24"/>
              </w:rPr>
              <w:t xml:space="preserve">230</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50</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Унитаз со смывным бачком</w:t>
            </w:r>
          </w:p>
        </w:tc>
        <w:tc>
          <w:tcPr>
            <w:tcW w:w="850" w:type="dxa"/>
            <w:vAlign w:val="bottom"/>
          </w:tcPr>
          <w:p>
            <w:pPr>
              <w:pStyle w:val="0"/>
              <w:jc w:val="center"/>
            </w:pPr>
            <w:r>
              <w:rPr>
                <w:sz w:val="24"/>
              </w:rPr>
              <w:t xml:space="preserve">0,1</w:t>
            </w:r>
          </w:p>
        </w:tc>
        <w:tc>
          <w:tcPr>
            <w:tcW w:w="737" w:type="dxa"/>
            <w:vAlign w:val="bottom"/>
          </w:tcPr>
          <w:p>
            <w:pPr>
              <w:pStyle w:val="0"/>
              <w:jc w:val="center"/>
            </w:pPr>
            <w:r>
              <w:rPr>
                <w:sz w:val="24"/>
              </w:rPr>
              <w:t xml:space="preserve">0,1</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83</w:t>
            </w:r>
          </w:p>
        </w:tc>
        <w:tc>
          <w:tcPr>
            <w:tcW w:w="737" w:type="dxa"/>
            <w:vAlign w:val="bottom"/>
          </w:tcPr>
          <w:p>
            <w:pPr>
              <w:pStyle w:val="0"/>
              <w:jc w:val="center"/>
            </w:pPr>
            <w:r>
              <w:rPr>
                <w:sz w:val="24"/>
              </w:rPr>
              <w:t xml:space="preserve">83</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1,6</w:t>
            </w:r>
          </w:p>
        </w:tc>
        <w:tc>
          <w:tcPr>
            <w:tcW w:w="850" w:type="dxa"/>
            <w:vAlign w:val="bottom"/>
          </w:tcPr>
          <w:p>
            <w:pPr>
              <w:pStyle w:val="0"/>
              <w:jc w:val="center"/>
            </w:pPr>
            <w:r>
              <w:rPr>
                <w:sz w:val="24"/>
              </w:rPr>
              <w:t xml:space="preserve">8</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Унитаз со смывным краном</w:t>
            </w:r>
          </w:p>
        </w:tc>
        <w:tc>
          <w:tcPr>
            <w:tcW w:w="850" w:type="dxa"/>
            <w:vAlign w:val="bottom"/>
          </w:tcPr>
          <w:p>
            <w:pPr>
              <w:pStyle w:val="0"/>
              <w:jc w:val="center"/>
            </w:pPr>
            <w:r>
              <w:rPr>
                <w:sz w:val="24"/>
              </w:rPr>
              <w:t xml:space="preserve">1,4</w:t>
            </w:r>
          </w:p>
        </w:tc>
        <w:tc>
          <w:tcPr>
            <w:tcW w:w="737" w:type="dxa"/>
            <w:vAlign w:val="bottom"/>
          </w:tcPr>
          <w:p>
            <w:pPr>
              <w:pStyle w:val="0"/>
              <w:jc w:val="center"/>
            </w:pPr>
            <w:r>
              <w:rPr>
                <w:sz w:val="24"/>
              </w:rPr>
              <w:t xml:space="preserve">1,4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81</w:t>
            </w:r>
          </w:p>
        </w:tc>
        <w:tc>
          <w:tcPr>
            <w:tcW w:w="737" w:type="dxa"/>
            <w:vAlign w:val="bottom"/>
          </w:tcPr>
          <w:p>
            <w:pPr>
              <w:pStyle w:val="0"/>
              <w:jc w:val="center"/>
            </w:pPr>
            <w:r>
              <w:rPr>
                <w:sz w:val="24"/>
              </w:rPr>
              <w:t xml:space="preserve">81</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1,4</w:t>
            </w:r>
          </w:p>
        </w:tc>
        <w:tc>
          <w:tcPr>
            <w:tcW w:w="850" w:type="dxa"/>
            <w:vAlign w:val="bottom"/>
          </w:tcPr>
          <w:p>
            <w:pPr>
              <w:pStyle w:val="0"/>
              <w:jc w:val="center"/>
            </w:pPr>
            <w:r>
              <w:rPr>
                <w:sz w:val="24"/>
              </w:rPr>
              <w:t xml:space="preserve">-</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Унитаз со смывным бачком</w:t>
            </w:r>
          </w:p>
        </w:tc>
        <w:tc>
          <w:tcPr>
            <w:tcW w:w="850" w:type="dxa"/>
            <w:vAlign w:val="bottom"/>
          </w:tcPr>
          <w:p>
            <w:pPr>
              <w:pStyle w:val="0"/>
              <w:jc w:val="center"/>
            </w:pPr>
            <w:r>
              <w:rPr>
                <w:sz w:val="24"/>
              </w:rPr>
              <w:t xml:space="preserve">0,1</w:t>
            </w:r>
          </w:p>
        </w:tc>
        <w:tc>
          <w:tcPr>
            <w:tcW w:w="737" w:type="dxa"/>
            <w:vAlign w:val="bottom"/>
          </w:tcPr>
          <w:p>
            <w:pPr>
              <w:pStyle w:val="0"/>
              <w:jc w:val="center"/>
            </w:pPr>
            <w:r>
              <w:rPr>
                <w:sz w:val="24"/>
              </w:rPr>
              <w:t xml:space="preserve">0,1</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83</w:t>
            </w:r>
          </w:p>
        </w:tc>
        <w:tc>
          <w:tcPr>
            <w:tcW w:w="737" w:type="dxa"/>
            <w:vAlign w:val="bottom"/>
          </w:tcPr>
          <w:p>
            <w:pPr>
              <w:pStyle w:val="0"/>
              <w:jc w:val="center"/>
            </w:pPr>
            <w:r>
              <w:rPr>
                <w:sz w:val="24"/>
              </w:rPr>
              <w:t xml:space="preserve">83</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1,6</w:t>
            </w:r>
          </w:p>
        </w:tc>
        <w:tc>
          <w:tcPr>
            <w:tcW w:w="850" w:type="dxa"/>
            <w:vAlign w:val="bottom"/>
          </w:tcPr>
          <w:p>
            <w:pPr>
              <w:pStyle w:val="0"/>
              <w:jc w:val="center"/>
            </w:pPr>
            <w:r>
              <w:rPr>
                <w:sz w:val="24"/>
              </w:rPr>
              <w:t xml:space="preserve">8</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Унитаз со смывным краном</w:t>
            </w:r>
          </w:p>
        </w:tc>
        <w:tc>
          <w:tcPr>
            <w:tcW w:w="850" w:type="dxa"/>
            <w:vAlign w:val="bottom"/>
          </w:tcPr>
          <w:p>
            <w:pPr>
              <w:pStyle w:val="0"/>
              <w:jc w:val="center"/>
            </w:pPr>
            <w:r>
              <w:rPr>
                <w:sz w:val="24"/>
              </w:rPr>
              <w:t xml:space="preserve">1,4</w:t>
            </w:r>
          </w:p>
        </w:tc>
        <w:tc>
          <w:tcPr>
            <w:tcW w:w="737" w:type="dxa"/>
            <w:vAlign w:val="bottom"/>
          </w:tcPr>
          <w:p>
            <w:pPr>
              <w:pStyle w:val="0"/>
              <w:jc w:val="center"/>
            </w:pPr>
            <w:r>
              <w:rPr>
                <w:sz w:val="24"/>
              </w:rPr>
              <w:t xml:space="preserve">1,4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81</w:t>
            </w:r>
          </w:p>
        </w:tc>
        <w:tc>
          <w:tcPr>
            <w:tcW w:w="737" w:type="dxa"/>
            <w:vAlign w:val="bottom"/>
          </w:tcPr>
          <w:p>
            <w:pPr>
              <w:pStyle w:val="0"/>
              <w:jc w:val="center"/>
            </w:pPr>
            <w:r>
              <w:rPr>
                <w:sz w:val="24"/>
              </w:rPr>
              <w:t xml:space="preserve">81</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1,4</w:t>
            </w:r>
          </w:p>
        </w:tc>
        <w:tc>
          <w:tcPr>
            <w:tcW w:w="850" w:type="dxa"/>
            <w:vAlign w:val="bottom"/>
          </w:tcPr>
          <w:p>
            <w:pPr>
              <w:pStyle w:val="0"/>
              <w:jc w:val="center"/>
            </w:pPr>
            <w:r>
              <w:rPr>
                <w:sz w:val="24"/>
              </w:rPr>
              <w:t xml:space="preserve">-</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Писсуар</w:t>
            </w:r>
          </w:p>
        </w:tc>
        <w:tc>
          <w:tcPr>
            <w:tcW w:w="850" w:type="dxa"/>
            <w:vAlign w:val="bottom"/>
          </w:tcPr>
          <w:p>
            <w:pPr>
              <w:pStyle w:val="0"/>
              <w:jc w:val="center"/>
            </w:pPr>
            <w:r>
              <w:rPr>
                <w:sz w:val="24"/>
              </w:rPr>
              <w:t xml:space="preserve">0,035</w:t>
            </w:r>
          </w:p>
        </w:tc>
        <w:tc>
          <w:tcPr>
            <w:tcW w:w="737" w:type="dxa"/>
            <w:vAlign w:val="bottom"/>
          </w:tcPr>
          <w:p>
            <w:pPr>
              <w:pStyle w:val="0"/>
              <w:jc w:val="center"/>
            </w:pPr>
            <w:r>
              <w:rPr>
                <w:sz w:val="24"/>
              </w:rPr>
              <w:t xml:space="preserve">0,035</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36</w:t>
            </w:r>
          </w:p>
        </w:tc>
        <w:tc>
          <w:tcPr>
            <w:tcW w:w="737" w:type="dxa"/>
            <w:vAlign w:val="bottom"/>
          </w:tcPr>
          <w:p>
            <w:pPr>
              <w:pStyle w:val="0"/>
              <w:jc w:val="center"/>
            </w:pPr>
            <w:r>
              <w:rPr>
                <w:sz w:val="24"/>
              </w:rPr>
              <w:t xml:space="preserve">36</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0,1</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Писсуар с полуавтоматическим смывным краном</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36</w:t>
            </w:r>
          </w:p>
        </w:tc>
        <w:tc>
          <w:tcPr>
            <w:tcW w:w="737" w:type="dxa"/>
            <w:vAlign w:val="bottom"/>
          </w:tcPr>
          <w:p>
            <w:pPr>
              <w:pStyle w:val="0"/>
              <w:jc w:val="center"/>
            </w:pPr>
            <w:r>
              <w:rPr>
                <w:sz w:val="24"/>
              </w:rPr>
              <w:t xml:space="preserve">36</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Питьевой фонтанчик</w:t>
            </w:r>
          </w:p>
        </w:tc>
        <w:tc>
          <w:tcPr>
            <w:tcW w:w="850" w:type="dxa"/>
            <w:vAlign w:val="bottom"/>
          </w:tcPr>
          <w:p>
            <w:pPr>
              <w:pStyle w:val="0"/>
              <w:jc w:val="center"/>
            </w:pPr>
            <w:r>
              <w:rPr>
                <w:sz w:val="24"/>
              </w:rPr>
              <w:t xml:space="preserve">0,04</w:t>
            </w:r>
          </w:p>
        </w:tc>
        <w:tc>
          <w:tcPr>
            <w:tcW w:w="737" w:type="dxa"/>
            <w:vAlign w:val="bottom"/>
          </w:tcPr>
          <w:p>
            <w:pPr>
              <w:pStyle w:val="0"/>
              <w:jc w:val="center"/>
            </w:pPr>
            <w:r>
              <w:rPr>
                <w:sz w:val="24"/>
              </w:rPr>
              <w:t xml:space="preserve">0,04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72</w:t>
            </w:r>
          </w:p>
        </w:tc>
        <w:tc>
          <w:tcPr>
            <w:tcW w:w="737" w:type="dxa"/>
            <w:vAlign w:val="bottom"/>
          </w:tcPr>
          <w:p>
            <w:pPr>
              <w:pStyle w:val="0"/>
              <w:jc w:val="center"/>
            </w:pPr>
            <w:r>
              <w:rPr>
                <w:sz w:val="24"/>
              </w:rPr>
              <w:t xml:space="preserve">72</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0,05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25</w:t>
            </w:r>
          </w:p>
        </w:tc>
      </w:tr>
      <w:tr>
        <w:tc>
          <w:tcPr>
            <w:tcW w:w="2381" w:type="dxa"/>
          </w:tcPr>
          <w:p>
            <w:pPr>
              <w:pStyle w:val="0"/>
            </w:pPr>
            <w:r>
              <w:rPr>
                <w:sz w:val="24"/>
              </w:rPr>
              <w:t xml:space="preserve">Поливочный кран</w:t>
            </w:r>
          </w:p>
        </w:tc>
        <w:tc>
          <w:tcPr>
            <w:tcW w:w="850" w:type="dxa"/>
            <w:vAlign w:val="bottom"/>
          </w:tcPr>
          <w:p>
            <w:pPr>
              <w:pStyle w:val="0"/>
              <w:jc w:val="center"/>
            </w:pPr>
            <w:r>
              <w:rPr>
                <w:sz w:val="24"/>
              </w:rPr>
              <w:t xml:space="preserve">0,3</w:t>
            </w:r>
          </w:p>
        </w:tc>
        <w:tc>
          <w:tcPr>
            <w:tcW w:w="737" w:type="dxa"/>
            <w:vAlign w:val="bottom"/>
          </w:tcPr>
          <w:p>
            <w:pPr>
              <w:pStyle w:val="0"/>
              <w:jc w:val="center"/>
            </w:pPr>
            <w:r>
              <w:rPr>
                <w:sz w:val="24"/>
              </w:rPr>
              <w:t xml:space="preserve">0,3</w:t>
            </w:r>
          </w:p>
        </w:tc>
        <w:tc>
          <w:tcPr>
            <w:tcW w:w="737" w:type="dxa"/>
            <w:vAlign w:val="bottom"/>
          </w:tcPr>
          <w:p>
            <w:pPr>
              <w:pStyle w:val="0"/>
              <w:jc w:val="center"/>
            </w:pPr>
            <w:r>
              <w:rPr>
                <w:sz w:val="24"/>
              </w:rPr>
              <w:t xml:space="preserve">0,2</w:t>
            </w:r>
          </w:p>
        </w:tc>
        <w:tc>
          <w:tcPr>
            <w:tcW w:w="850" w:type="dxa"/>
            <w:vAlign w:val="bottom"/>
          </w:tcPr>
          <w:p>
            <w:pPr>
              <w:pStyle w:val="0"/>
              <w:jc w:val="center"/>
            </w:pPr>
            <w:r>
              <w:rPr>
                <w:sz w:val="24"/>
              </w:rPr>
              <w:t xml:space="preserve">1080</w:t>
            </w:r>
          </w:p>
        </w:tc>
        <w:tc>
          <w:tcPr>
            <w:tcW w:w="737" w:type="dxa"/>
            <w:vAlign w:val="bottom"/>
          </w:tcPr>
          <w:p>
            <w:pPr>
              <w:pStyle w:val="0"/>
              <w:jc w:val="center"/>
            </w:pPr>
            <w:r>
              <w:rPr>
                <w:sz w:val="24"/>
              </w:rPr>
              <w:t xml:space="preserve">1080</w:t>
            </w:r>
          </w:p>
        </w:tc>
        <w:tc>
          <w:tcPr>
            <w:tcW w:w="737" w:type="dxa"/>
            <w:vAlign w:val="bottom"/>
          </w:tcPr>
          <w:p>
            <w:pPr>
              <w:pStyle w:val="0"/>
              <w:jc w:val="center"/>
            </w:pPr>
            <w:r>
              <w:rPr>
                <w:sz w:val="24"/>
              </w:rPr>
              <w:t xml:space="preserve">720</w:t>
            </w:r>
          </w:p>
        </w:tc>
        <w:tc>
          <w:tcPr>
            <w:tcW w:w="907" w:type="dxa"/>
            <w:vAlign w:val="bottom"/>
          </w:tcPr>
          <w:p>
            <w:pPr>
              <w:pStyle w:val="0"/>
              <w:jc w:val="center"/>
            </w:pPr>
            <w:r>
              <w:rPr>
                <w:sz w:val="24"/>
              </w:rPr>
              <w:t xml:space="preserve">0,3</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w:t>
            </w:r>
          </w:p>
        </w:tc>
      </w:tr>
      <w:tr>
        <w:tblPrEx>
          <w:tblBorders>
            <w:insideH w:val="nil"/>
          </w:tblBorders>
        </w:tblPrEx>
        <w:tc>
          <w:tcPr>
            <w:tcW w:w="2381" w:type="dxa"/>
            <w:tcBorders>
              <w:bottom w:val="nil"/>
            </w:tcBorders>
          </w:tcPr>
          <w:p>
            <w:pPr>
              <w:pStyle w:val="0"/>
            </w:pPr>
            <w:r>
              <w:rPr>
                <w:sz w:val="24"/>
              </w:rPr>
              <w:t xml:space="preserve">Трап условным диаметром, мм:</w:t>
            </w:r>
          </w:p>
        </w:tc>
        <w:tc>
          <w:tcPr>
            <w:tcW w:w="850"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907"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r>
      <w:tr>
        <w:tblPrEx>
          <w:tblBorders>
            <w:insideH w:val="nil"/>
          </w:tblBorders>
        </w:tblPrEx>
        <w:tc>
          <w:tcPr>
            <w:tcW w:w="2381" w:type="dxa"/>
            <w:tcBorders>
              <w:top w:val="nil"/>
              <w:bottom w:val="nil"/>
            </w:tcBorders>
          </w:tcPr>
          <w:p>
            <w:pPr>
              <w:pStyle w:val="0"/>
            </w:pPr>
            <w:r>
              <w:rPr>
                <w:sz w:val="24"/>
              </w:rPr>
              <w:t xml:space="preserve">50</w:t>
            </w:r>
          </w:p>
        </w:tc>
        <w:tc>
          <w:tcPr>
            <w:tcW w:w="850"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850"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907" w:type="dxa"/>
            <w:vAlign w:val="bottom"/>
            <w:tcBorders>
              <w:top w:val="nil"/>
              <w:bottom w:val="nil"/>
            </w:tcBorders>
          </w:tcPr>
          <w:p>
            <w:pPr>
              <w:pStyle w:val="0"/>
              <w:jc w:val="center"/>
            </w:pPr>
            <w:r>
              <w:rPr>
                <w:sz w:val="24"/>
              </w:rPr>
              <w:t xml:space="preserve">0,7</w:t>
            </w:r>
          </w:p>
        </w:tc>
        <w:tc>
          <w:tcPr>
            <w:tcW w:w="850" w:type="dxa"/>
            <w:vAlign w:val="bottom"/>
            <w:tcBorders>
              <w:top w:val="nil"/>
              <w:bottom w:val="nil"/>
            </w:tcBorders>
          </w:tcPr>
          <w:p>
            <w:pPr>
              <w:pStyle w:val="0"/>
              <w:jc w:val="center"/>
            </w:pPr>
            <w:r>
              <w:rPr>
                <w:sz w:val="24"/>
              </w:rPr>
              <w:t xml:space="preserve">-</w:t>
            </w:r>
          </w:p>
        </w:tc>
        <w:tc>
          <w:tcPr>
            <w:tcW w:w="850" w:type="dxa"/>
            <w:vAlign w:val="bottom"/>
            <w:tcBorders>
              <w:top w:val="nil"/>
              <w:bottom w:val="nil"/>
            </w:tcBorders>
          </w:tcPr>
          <w:p>
            <w:pPr>
              <w:pStyle w:val="0"/>
              <w:jc w:val="center"/>
            </w:pPr>
            <w:r>
              <w:rPr>
                <w:sz w:val="24"/>
              </w:rPr>
              <w:t xml:space="preserve">50</w:t>
            </w:r>
          </w:p>
        </w:tc>
      </w:tr>
      <w:tr>
        <w:tblPrEx>
          <w:tblBorders>
            <w:insideH w:val="nil"/>
          </w:tblBorders>
        </w:tblPrEx>
        <w:tc>
          <w:tcPr>
            <w:tcW w:w="2381" w:type="dxa"/>
            <w:tcBorders>
              <w:top w:val="nil"/>
            </w:tcBorders>
          </w:tcPr>
          <w:p>
            <w:pPr>
              <w:pStyle w:val="0"/>
            </w:pPr>
            <w:r>
              <w:rPr>
                <w:sz w:val="24"/>
              </w:rPr>
              <w:t xml:space="preserve">100</w:t>
            </w:r>
          </w:p>
        </w:tc>
        <w:tc>
          <w:tcPr>
            <w:tcW w:w="850"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850"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907" w:type="dxa"/>
            <w:vAlign w:val="bottom"/>
            <w:tcBorders>
              <w:top w:val="nil"/>
            </w:tcBorders>
          </w:tcPr>
          <w:p>
            <w:pPr>
              <w:pStyle w:val="0"/>
              <w:jc w:val="center"/>
            </w:pPr>
            <w:r>
              <w:rPr>
                <w:sz w:val="24"/>
              </w:rPr>
              <w:t xml:space="preserve">1,1</w:t>
            </w:r>
          </w:p>
        </w:tc>
        <w:tc>
          <w:tcPr>
            <w:tcW w:w="850" w:type="dxa"/>
            <w:vAlign w:val="bottom"/>
            <w:tcBorders>
              <w:top w:val="nil"/>
            </w:tcBorders>
          </w:tcPr>
          <w:p>
            <w:pPr>
              <w:pStyle w:val="0"/>
              <w:jc w:val="center"/>
            </w:pPr>
            <w:r>
              <w:rPr>
                <w:sz w:val="24"/>
              </w:rPr>
              <w:t xml:space="preserve">-</w:t>
            </w:r>
          </w:p>
        </w:tc>
        <w:tc>
          <w:tcPr>
            <w:tcW w:w="850" w:type="dxa"/>
            <w:vAlign w:val="bottom"/>
            <w:tcBorders>
              <w:top w:val="nil"/>
            </w:tcBorders>
          </w:tcPr>
          <w:p>
            <w:pPr>
              <w:pStyle w:val="0"/>
              <w:jc w:val="center"/>
            </w:pPr>
            <w:r>
              <w:rPr>
                <w:sz w:val="24"/>
              </w:rPr>
              <w:t xml:space="preserve">100</w:t>
            </w:r>
          </w:p>
        </w:tc>
      </w:tr>
      <w:tr>
        <w:tc>
          <w:tcPr>
            <w:tcW w:w="2381" w:type="dxa"/>
          </w:tcPr>
          <w:p>
            <w:pPr>
              <w:pStyle w:val="0"/>
            </w:pPr>
            <w:r>
              <w:rPr>
                <w:sz w:val="24"/>
              </w:rPr>
              <w:t xml:space="preserve">Посудомоечная машина</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9</w:t>
            </w:r>
          </w:p>
        </w:tc>
        <w:tc>
          <w:tcPr>
            <w:tcW w:w="737" w:type="dxa"/>
            <w:vAlign w:val="bottom"/>
          </w:tcPr>
          <w:p>
            <w:pPr>
              <w:pStyle w:val="0"/>
              <w:jc w:val="center"/>
            </w:pPr>
            <w:r>
              <w:rPr>
                <w:sz w:val="24"/>
              </w:rPr>
              <w:t xml:space="preserve">9</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20</w:t>
            </w:r>
          </w:p>
        </w:tc>
      </w:tr>
      <w:tr>
        <w:tc>
          <w:tcPr>
            <w:tcW w:w="2381" w:type="dxa"/>
          </w:tcPr>
          <w:p>
            <w:pPr>
              <w:pStyle w:val="0"/>
            </w:pPr>
            <w:r>
              <w:rPr>
                <w:sz w:val="24"/>
              </w:rPr>
              <w:t xml:space="preserve">Стиральная машина</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20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right"/>
      </w:pPr>
      <w:r>
        <w:rPr>
          <w:sz w:val="24"/>
          <w:b w:val="on"/>
        </w:rPr>
        <w:t xml:space="preserve">(справочное)</w:t>
      </w:r>
    </w:p>
    <w:p>
      <w:pPr>
        <w:pStyle w:val="0"/>
        <w:jc w:val="both"/>
      </w:pPr>
      <w:r>
        <w:rPr>
          <w:sz w:val="24"/>
        </w:rPr>
      </w:r>
    </w:p>
    <w:bookmarkStart w:id="2223" w:name="P2223"/>
    <w:bookmarkEnd w:id="2223"/>
    <w:p>
      <w:pPr>
        <w:pStyle w:val="2"/>
        <w:jc w:val="center"/>
      </w:pPr>
      <w:r>
        <w:rPr>
          <w:sz w:val="24"/>
        </w:rPr>
        <w:t xml:space="preserve">РАСХОДЫ ВОДЫ НА ВНУТРЕННЕЕ ПОЖАРОТУШЕНИЕ</w:t>
      </w:r>
    </w:p>
    <w:p>
      <w:pPr>
        <w:pStyle w:val="0"/>
        <w:jc w:val="both"/>
      </w:pPr>
      <w:r>
        <w:rPr>
          <w:sz w:val="24"/>
        </w:rPr>
      </w:r>
    </w:p>
    <w:p>
      <w:pPr>
        <w:pStyle w:val="0"/>
        <w:jc w:val="right"/>
      </w:pPr>
      <w:r>
        <w:rPr>
          <w:sz w:val="24"/>
        </w:rPr>
        <w:t xml:space="preserve">Таблица Д.1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61"/>
        <w:gridCol w:w="850"/>
        <w:gridCol w:w="850"/>
        <w:gridCol w:w="850"/>
        <w:gridCol w:w="1361"/>
        <w:gridCol w:w="850"/>
        <w:gridCol w:w="850"/>
        <w:gridCol w:w="850"/>
        <w:gridCol w:w="1361"/>
        <w:gridCol w:w="831"/>
        <w:gridCol w:w="831"/>
        <w:gridCol w:w="832"/>
      </w:tblGrid>
      <w:tr>
        <w:tc>
          <w:tcPr>
            <w:tcW w:w="1361" w:type="dxa"/>
            <w:vAlign w:val="center"/>
            <w:vMerge w:val="restart"/>
          </w:tcPr>
          <w:p>
            <w:pPr>
              <w:pStyle w:val="0"/>
              <w:jc w:val="center"/>
            </w:pPr>
            <w:r>
              <w:rPr>
                <w:sz w:val="24"/>
              </w:rPr>
              <w:t xml:space="preserve">Высота компактной части струи или помещения,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550" w:type="dxa"/>
            <w:vAlign w:val="center"/>
          </w:tcPr>
          <w:p>
            <w:pPr>
              <w:pStyle w:val="0"/>
              <w:jc w:val="center"/>
            </w:pPr>
            <w:r>
              <w:rPr>
                <w:sz w:val="24"/>
              </w:rPr>
              <w:t xml:space="preserve">Давление, МПа, у пожарного крана с рукавами длиной,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550" w:type="dxa"/>
            <w:vAlign w:val="center"/>
          </w:tcPr>
          <w:p>
            <w:pPr>
              <w:pStyle w:val="0"/>
              <w:jc w:val="center"/>
            </w:pPr>
            <w:r>
              <w:rPr>
                <w:sz w:val="24"/>
              </w:rPr>
              <w:t xml:space="preserve">Давление, МПа, у пожарного крана с рукавами длиной,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494" w:type="dxa"/>
            <w:vAlign w:val="center"/>
          </w:tcPr>
          <w:p>
            <w:pPr>
              <w:pStyle w:val="0"/>
              <w:jc w:val="center"/>
            </w:pPr>
            <w:r>
              <w:rPr>
                <w:sz w:val="24"/>
              </w:rPr>
              <w:t xml:space="preserve">Давление, МПа, у пожарного крана с рукавами длиной, м</w:t>
            </w:r>
          </w:p>
        </w:tc>
      </w:tr>
      <w:tr>
        <w:tc>
          <w:tcPr>
            <w:vMerge w:val="continue"/>
          </w:tcPr>
          <w:p/>
        </w:tc>
        <w:tc>
          <w:tcPr>
            <w:vMerge w:val="continue"/>
          </w:tcPr>
          <w:p/>
        </w:tc>
        <w:tc>
          <w:tcPr>
            <w:tcW w:w="850" w:type="dxa"/>
            <w:vAlign w:val="center"/>
          </w:tcPr>
          <w:p>
            <w:pPr>
              <w:pStyle w:val="0"/>
              <w:jc w:val="center"/>
            </w:pPr>
            <w:r>
              <w:rPr>
                <w:sz w:val="24"/>
              </w:rPr>
              <w:t xml:space="preserve">10</w:t>
            </w:r>
          </w:p>
        </w:tc>
        <w:tc>
          <w:tcPr>
            <w:tcW w:w="850" w:type="dxa"/>
            <w:vAlign w:val="center"/>
          </w:tcPr>
          <w:p>
            <w:pPr>
              <w:pStyle w:val="0"/>
              <w:jc w:val="center"/>
            </w:pPr>
            <w:r>
              <w:rPr>
                <w:sz w:val="24"/>
              </w:rPr>
              <w:t xml:space="preserve">15</w:t>
            </w:r>
          </w:p>
        </w:tc>
        <w:tc>
          <w:tcPr>
            <w:tcW w:w="850" w:type="dxa"/>
            <w:vAlign w:val="center"/>
          </w:tcPr>
          <w:p>
            <w:pPr>
              <w:pStyle w:val="0"/>
              <w:jc w:val="center"/>
            </w:pPr>
            <w:r>
              <w:rPr>
                <w:sz w:val="24"/>
              </w:rPr>
              <w:t xml:space="preserve">20</w:t>
            </w:r>
          </w:p>
        </w:tc>
        <w:tc>
          <w:tcPr>
            <w:vMerge w:val="continue"/>
          </w:tcPr>
          <w:p/>
        </w:tc>
        <w:tc>
          <w:tcPr>
            <w:tcW w:w="850" w:type="dxa"/>
            <w:vAlign w:val="center"/>
          </w:tcPr>
          <w:p>
            <w:pPr>
              <w:pStyle w:val="0"/>
              <w:jc w:val="center"/>
            </w:pPr>
            <w:r>
              <w:rPr>
                <w:sz w:val="24"/>
              </w:rPr>
              <w:t xml:space="preserve">10</w:t>
            </w:r>
          </w:p>
        </w:tc>
        <w:tc>
          <w:tcPr>
            <w:tcW w:w="850" w:type="dxa"/>
            <w:vAlign w:val="center"/>
          </w:tcPr>
          <w:p>
            <w:pPr>
              <w:pStyle w:val="0"/>
              <w:jc w:val="center"/>
            </w:pPr>
            <w:r>
              <w:rPr>
                <w:sz w:val="24"/>
              </w:rPr>
              <w:t xml:space="preserve">15</w:t>
            </w:r>
          </w:p>
        </w:tc>
        <w:tc>
          <w:tcPr>
            <w:tcW w:w="850" w:type="dxa"/>
            <w:vAlign w:val="center"/>
          </w:tcPr>
          <w:p>
            <w:pPr>
              <w:pStyle w:val="0"/>
              <w:jc w:val="center"/>
            </w:pPr>
            <w:r>
              <w:rPr>
                <w:sz w:val="24"/>
              </w:rPr>
              <w:t xml:space="preserve">20</w:t>
            </w:r>
          </w:p>
        </w:tc>
        <w:tc>
          <w:tcPr>
            <w:vMerge w:val="continue"/>
          </w:tcPr>
          <w:p/>
        </w:tc>
        <w:tc>
          <w:tcPr>
            <w:tcW w:w="831" w:type="dxa"/>
            <w:vAlign w:val="center"/>
          </w:tcPr>
          <w:p>
            <w:pPr>
              <w:pStyle w:val="0"/>
              <w:jc w:val="center"/>
            </w:pPr>
            <w:r>
              <w:rPr>
                <w:sz w:val="24"/>
              </w:rPr>
              <w:t xml:space="preserve">10</w:t>
            </w:r>
          </w:p>
        </w:tc>
        <w:tc>
          <w:tcPr>
            <w:tcW w:w="831" w:type="dxa"/>
            <w:vAlign w:val="center"/>
          </w:tcPr>
          <w:p>
            <w:pPr>
              <w:pStyle w:val="0"/>
              <w:jc w:val="center"/>
            </w:pPr>
            <w:r>
              <w:rPr>
                <w:sz w:val="24"/>
              </w:rPr>
              <w:t xml:space="preserve">15</w:t>
            </w:r>
          </w:p>
        </w:tc>
        <w:tc>
          <w:tcPr>
            <w:tcW w:w="832" w:type="dxa"/>
            <w:vAlign w:val="center"/>
          </w:tcPr>
          <w:p>
            <w:pPr>
              <w:pStyle w:val="0"/>
              <w:jc w:val="center"/>
            </w:pPr>
            <w:r>
              <w:rPr>
                <w:sz w:val="24"/>
              </w:rPr>
              <w:t xml:space="preserve">20</w:t>
            </w:r>
          </w:p>
        </w:tc>
      </w:tr>
      <w:tr>
        <w:tc>
          <w:tcPr>
            <w:vMerge w:val="continue"/>
          </w:tcPr>
          <w:p/>
        </w:tc>
        <w:tc>
          <w:tcPr>
            <w:gridSpan w:val="12"/>
            <w:tcW w:w="11677" w:type="dxa"/>
            <w:vAlign w:val="center"/>
          </w:tcPr>
          <w:p>
            <w:pPr>
              <w:pStyle w:val="0"/>
              <w:jc w:val="center"/>
            </w:pPr>
            <w:r>
              <w:rPr>
                <w:sz w:val="24"/>
              </w:rPr>
              <w:t xml:space="preserve">Диаметр спрыска наконечника пожарного ствола, мм</w:t>
            </w:r>
          </w:p>
        </w:tc>
      </w:tr>
      <w:tr>
        <w:tc>
          <w:tcPr>
            <w:vMerge w:val="continue"/>
          </w:tcPr>
          <w:p/>
        </w:tc>
        <w:tc>
          <w:tcPr>
            <w:gridSpan w:val="4"/>
            <w:tcW w:w="3911" w:type="dxa"/>
            <w:vAlign w:val="center"/>
          </w:tcPr>
          <w:p>
            <w:pPr>
              <w:pStyle w:val="0"/>
              <w:jc w:val="center"/>
            </w:pPr>
            <w:r>
              <w:rPr>
                <w:sz w:val="24"/>
              </w:rPr>
              <w:t xml:space="preserve">13</w:t>
            </w:r>
          </w:p>
        </w:tc>
        <w:tc>
          <w:tcPr>
            <w:gridSpan w:val="4"/>
            <w:tcW w:w="3911" w:type="dxa"/>
            <w:vAlign w:val="center"/>
          </w:tcPr>
          <w:p>
            <w:pPr>
              <w:pStyle w:val="0"/>
              <w:jc w:val="center"/>
            </w:pPr>
            <w:r>
              <w:rPr>
                <w:sz w:val="24"/>
              </w:rPr>
              <w:t xml:space="preserve">16</w:t>
            </w:r>
          </w:p>
        </w:tc>
        <w:tc>
          <w:tcPr>
            <w:gridSpan w:val="4"/>
            <w:tcW w:w="3855" w:type="dxa"/>
            <w:vAlign w:val="center"/>
          </w:tcPr>
          <w:p>
            <w:pPr>
              <w:pStyle w:val="0"/>
              <w:jc w:val="center"/>
            </w:pPr>
            <w:r>
              <w:rPr>
                <w:sz w:val="24"/>
              </w:rPr>
              <w:t xml:space="preserve">19</w:t>
            </w:r>
          </w:p>
        </w:tc>
      </w:tr>
      <w:tr>
        <w:tc>
          <w:tcPr>
            <w:gridSpan w:val="13"/>
            <w:tcW w:w="13038" w:type="dxa"/>
          </w:tcPr>
          <w:p>
            <w:pPr>
              <w:pStyle w:val="0"/>
              <w:jc w:val="center"/>
            </w:pPr>
            <w:r>
              <w:rPr>
                <w:sz w:val="24"/>
                <w:i w:val="on"/>
              </w:rPr>
              <w:t xml:space="preserve">Пожарные краны d = 50 мм</w:t>
            </w:r>
          </w:p>
        </w:tc>
      </w:tr>
      <w:tr>
        <w:tc>
          <w:tcPr>
            <w:tcW w:w="1361" w:type="dxa"/>
          </w:tcPr>
          <w:p>
            <w:pPr>
              <w:pStyle w:val="0"/>
              <w:jc w:val="center"/>
            </w:pPr>
            <w:r>
              <w:rPr>
                <w:sz w:val="24"/>
              </w:rPr>
              <w:t xml:space="preserve">6</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2,6</w:t>
            </w:r>
          </w:p>
        </w:tc>
        <w:tc>
          <w:tcPr>
            <w:tcW w:w="850" w:type="dxa"/>
          </w:tcPr>
          <w:p>
            <w:pPr>
              <w:pStyle w:val="0"/>
              <w:jc w:val="center"/>
            </w:pPr>
            <w:r>
              <w:rPr>
                <w:sz w:val="24"/>
              </w:rPr>
              <w:t xml:space="preserve">0,092</w:t>
            </w:r>
          </w:p>
        </w:tc>
        <w:tc>
          <w:tcPr>
            <w:tcW w:w="850" w:type="dxa"/>
          </w:tcPr>
          <w:p>
            <w:pPr>
              <w:pStyle w:val="0"/>
              <w:jc w:val="center"/>
            </w:pPr>
            <w:r>
              <w:rPr>
                <w:sz w:val="24"/>
              </w:rPr>
              <w:t xml:space="preserve">0,096</w:t>
            </w:r>
          </w:p>
        </w:tc>
        <w:tc>
          <w:tcPr>
            <w:tcW w:w="850" w:type="dxa"/>
          </w:tcPr>
          <w:p>
            <w:pPr>
              <w:pStyle w:val="0"/>
              <w:jc w:val="center"/>
            </w:pPr>
            <w:r>
              <w:rPr>
                <w:sz w:val="24"/>
              </w:rPr>
              <w:t xml:space="preserve">0,100</w:t>
            </w:r>
          </w:p>
        </w:tc>
        <w:tc>
          <w:tcPr>
            <w:tcW w:w="1361" w:type="dxa"/>
          </w:tcPr>
          <w:p>
            <w:pPr>
              <w:pStyle w:val="0"/>
              <w:jc w:val="center"/>
            </w:pPr>
            <w:r>
              <w:rPr>
                <w:sz w:val="24"/>
              </w:rPr>
              <w:t xml:space="preserve">3,4</w:t>
            </w:r>
          </w:p>
        </w:tc>
        <w:tc>
          <w:tcPr>
            <w:tcW w:w="831" w:type="dxa"/>
          </w:tcPr>
          <w:p>
            <w:pPr>
              <w:pStyle w:val="0"/>
              <w:jc w:val="center"/>
            </w:pPr>
            <w:r>
              <w:rPr>
                <w:sz w:val="24"/>
              </w:rPr>
              <w:t xml:space="preserve">0,088</w:t>
            </w:r>
          </w:p>
        </w:tc>
        <w:tc>
          <w:tcPr>
            <w:tcW w:w="831" w:type="dxa"/>
          </w:tcPr>
          <w:p>
            <w:pPr>
              <w:pStyle w:val="0"/>
              <w:jc w:val="center"/>
            </w:pPr>
            <w:r>
              <w:rPr>
                <w:sz w:val="24"/>
              </w:rPr>
              <w:t xml:space="preserve">0,096</w:t>
            </w:r>
          </w:p>
        </w:tc>
        <w:tc>
          <w:tcPr>
            <w:tcW w:w="832" w:type="dxa"/>
          </w:tcPr>
          <w:p>
            <w:pPr>
              <w:pStyle w:val="0"/>
              <w:jc w:val="center"/>
            </w:pPr>
            <w:r>
              <w:rPr>
                <w:sz w:val="24"/>
              </w:rPr>
              <w:t xml:space="preserve">0,104</w:t>
            </w:r>
          </w:p>
        </w:tc>
      </w:tr>
      <w:tr>
        <w:tc>
          <w:tcPr>
            <w:tcW w:w="1361" w:type="dxa"/>
          </w:tcPr>
          <w:p>
            <w:pPr>
              <w:pStyle w:val="0"/>
              <w:jc w:val="center"/>
            </w:pPr>
            <w:r>
              <w:rPr>
                <w:sz w:val="24"/>
              </w:rPr>
              <w:t xml:space="preserve">8</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2,9</w:t>
            </w:r>
          </w:p>
        </w:tc>
        <w:tc>
          <w:tcPr>
            <w:tcW w:w="850" w:type="dxa"/>
          </w:tcPr>
          <w:p>
            <w:pPr>
              <w:pStyle w:val="0"/>
              <w:jc w:val="center"/>
            </w:pPr>
            <w:r>
              <w:rPr>
                <w:sz w:val="24"/>
              </w:rPr>
              <w:t xml:space="preserve">0,120</w:t>
            </w:r>
          </w:p>
        </w:tc>
        <w:tc>
          <w:tcPr>
            <w:tcW w:w="850" w:type="dxa"/>
          </w:tcPr>
          <w:p>
            <w:pPr>
              <w:pStyle w:val="0"/>
              <w:jc w:val="center"/>
            </w:pPr>
            <w:r>
              <w:rPr>
                <w:sz w:val="24"/>
              </w:rPr>
              <w:t xml:space="preserve">0,125</w:t>
            </w:r>
          </w:p>
        </w:tc>
        <w:tc>
          <w:tcPr>
            <w:tcW w:w="850" w:type="dxa"/>
          </w:tcPr>
          <w:p>
            <w:pPr>
              <w:pStyle w:val="0"/>
              <w:jc w:val="center"/>
            </w:pPr>
            <w:r>
              <w:rPr>
                <w:sz w:val="24"/>
              </w:rPr>
              <w:t xml:space="preserve">0,130</w:t>
            </w:r>
          </w:p>
        </w:tc>
        <w:tc>
          <w:tcPr>
            <w:tcW w:w="1361" w:type="dxa"/>
          </w:tcPr>
          <w:p>
            <w:pPr>
              <w:pStyle w:val="0"/>
              <w:jc w:val="center"/>
            </w:pPr>
            <w:r>
              <w:rPr>
                <w:sz w:val="24"/>
              </w:rPr>
              <w:t xml:space="preserve">4,1</w:t>
            </w:r>
          </w:p>
        </w:tc>
        <w:tc>
          <w:tcPr>
            <w:tcW w:w="831" w:type="dxa"/>
          </w:tcPr>
          <w:p>
            <w:pPr>
              <w:pStyle w:val="0"/>
              <w:jc w:val="center"/>
            </w:pPr>
            <w:r>
              <w:rPr>
                <w:sz w:val="24"/>
              </w:rPr>
              <w:t xml:space="preserve">0,129</w:t>
            </w:r>
          </w:p>
        </w:tc>
        <w:tc>
          <w:tcPr>
            <w:tcW w:w="831" w:type="dxa"/>
          </w:tcPr>
          <w:p>
            <w:pPr>
              <w:pStyle w:val="0"/>
              <w:jc w:val="center"/>
            </w:pPr>
            <w:r>
              <w:rPr>
                <w:sz w:val="24"/>
              </w:rPr>
              <w:t xml:space="preserve">0,138</w:t>
            </w:r>
          </w:p>
        </w:tc>
        <w:tc>
          <w:tcPr>
            <w:tcW w:w="832" w:type="dxa"/>
          </w:tcPr>
          <w:p>
            <w:pPr>
              <w:pStyle w:val="0"/>
              <w:jc w:val="center"/>
            </w:pPr>
            <w:r>
              <w:rPr>
                <w:sz w:val="24"/>
              </w:rPr>
              <w:t xml:space="preserve">0,148</w:t>
            </w:r>
          </w:p>
        </w:tc>
      </w:tr>
      <w:tr>
        <w:tc>
          <w:tcPr>
            <w:tcW w:w="1361" w:type="dxa"/>
          </w:tcPr>
          <w:p>
            <w:pPr>
              <w:pStyle w:val="0"/>
              <w:jc w:val="center"/>
            </w:pPr>
            <w:r>
              <w:rPr>
                <w:sz w:val="24"/>
              </w:rPr>
              <w:t xml:space="preserve">10</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3,3</w:t>
            </w:r>
          </w:p>
        </w:tc>
        <w:tc>
          <w:tcPr>
            <w:tcW w:w="850" w:type="dxa"/>
          </w:tcPr>
          <w:p>
            <w:pPr>
              <w:pStyle w:val="0"/>
              <w:jc w:val="center"/>
            </w:pPr>
            <w:r>
              <w:rPr>
                <w:sz w:val="24"/>
              </w:rPr>
              <w:t xml:space="preserve">0,151</w:t>
            </w:r>
          </w:p>
        </w:tc>
        <w:tc>
          <w:tcPr>
            <w:tcW w:w="850" w:type="dxa"/>
          </w:tcPr>
          <w:p>
            <w:pPr>
              <w:pStyle w:val="0"/>
              <w:jc w:val="center"/>
            </w:pPr>
            <w:r>
              <w:rPr>
                <w:sz w:val="24"/>
              </w:rPr>
              <w:t xml:space="preserve">0,157</w:t>
            </w:r>
          </w:p>
        </w:tc>
        <w:tc>
          <w:tcPr>
            <w:tcW w:w="850" w:type="dxa"/>
          </w:tcPr>
          <w:p>
            <w:pPr>
              <w:pStyle w:val="0"/>
              <w:jc w:val="center"/>
            </w:pPr>
            <w:r>
              <w:rPr>
                <w:sz w:val="24"/>
              </w:rPr>
              <w:t xml:space="preserve">0,164</w:t>
            </w:r>
          </w:p>
        </w:tc>
        <w:tc>
          <w:tcPr>
            <w:tcW w:w="1361" w:type="dxa"/>
          </w:tcPr>
          <w:p>
            <w:pPr>
              <w:pStyle w:val="0"/>
              <w:jc w:val="center"/>
            </w:pPr>
            <w:r>
              <w:rPr>
                <w:sz w:val="24"/>
              </w:rPr>
              <w:t xml:space="preserve">4,6</w:t>
            </w:r>
          </w:p>
        </w:tc>
        <w:tc>
          <w:tcPr>
            <w:tcW w:w="831" w:type="dxa"/>
          </w:tcPr>
          <w:p>
            <w:pPr>
              <w:pStyle w:val="0"/>
              <w:jc w:val="center"/>
            </w:pPr>
            <w:r>
              <w:rPr>
                <w:sz w:val="24"/>
              </w:rPr>
              <w:t xml:space="preserve">0,160</w:t>
            </w:r>
          </w:p>
        </w:tc>
        <w:tc>
          <w:tcPr>
            <w:tcW w:w="831" w:type="dxa"/>
          </w:tcPr>
          <w:p>
            <w:pPr>
              <w:pStyle w:val="0"/>
              <w:jc w:val="center"/>
            </w:pPr>
            <w:r>
              <w:rPr>
                <w:sz w:val="24"/>
              </w:rPr>
              <w:t xml:space="preserve">0,173</w:t>
            </w:r>
          </w:p>
        </w:tc>
        <w:tc>
          <w:tcPr>
            <w:tcW w:w="832" w:type="dxa"/>
          </w:tcPr>
          <w:p>
            <w:pPr>
              <w:pStyle w:val="0"/>
              <w:jc w:val="center"/>
            </w:pPr>
            <w:r>
              <w:rPr>
                <w:sz w:val="24"/>
              </w:rPr>
              <w:t xml:space="preserve">0,185</w:t>
            </w:r>
          </w:p>
        </w:tc>
      </w:tr>
      <w:tr>
        <w:tc>
          <w:tcPr>
            <w:tcW w:w="1361" w:type="dxa"/>
          </w:tcPr>
          <w:p>
            <w:pPr>
              <w:pStyle w:val="0"/>
              <w:jc w:val="center"/>
            </w:pPr>
            <w:r>
              <w:rPr>
                <w:sz w:val="24"/>
              </w:rPr>
              <w:t xml:space="preserve">12</w:t>
            </w:r>
          </w:p>
        </w:tc>
        <w:tc>
          <w:tcPr>
            <w:tcW w:w="1361" w:type="dxa"/>
          </w:tcPr>
          <w:p>
            <w:pPr>
              <w:pStyle w:val="0"/>
              <w:jc w:val="center"/>
            </w:pPr>
            <w:r>
              <w:rPr>
                <w:sz w:val="24"/>
              </w:rPr>
              <w:t xml:space="preserve">2,6</w:t>
            </w:r>
          </w:p>
        </w:tc>
        <w:tc>
          <w:tcPr>
            <w:tcW w:w="850" w:type="dxa"/>
          </w:tcPr>
          <w:p>
            <w:pPr>
              <w:pStyle w:val="0"/>
              <w:jc w:val="center"/>
            </w:pPr>
            <w:r>
              <w:rPr>
                <w:sz w:val="24"/>
              </w:rPr>
              <w:t xml:space="preserve">0,202</w:t>
            </w:r>
          </w:p>
        </w:tc>
        <w:tc>
          <w:tcPr>
            <w:tcW w:w="850" w:type="dxa"/>
          </w:tcPr>
          <w:p>
            <w:pPr>
              <w:pStyle w:val="0"/>
              <w:jc w:val="center"/>
            </w:pPr>
            <w:r>
              <w:rPr>
                <w:sz w:val="24"/>
              </w:rPr>
              <w:t xml:space="preserve">0,206</w:t>
            </w:r>
          </w:p>
        </w:tc>
        <w:tc>
          <w:tcPr>
            <w:tcW w:w="850" w:type="dxa"/>
          </w:tcPr>
          <w:p>
            <w:pPr>
              <w:pStyle w:val="0"/>
              <w:jc w:val="center"/>
            </w:pPr>
            <w:r>
              <w:rPr>
                <w:sz w:val="24"/>
              </w:rPr>
              <w:t xml:space="preserve">0,210</w:t>
            </w:r>
          </w:p>
        </w:tc>
        <w:tc>
          <w:tcPr>
            <w:tcW w:w="1361" w:type="dxa"/>
          </w:tcPr>
          <w:p>
            <w:pPr>
              <w:pStyle w:val="0"/>
              <w:jc w:val="center"/>
            </w:pPr>
            <w:r>
              <w:rPr>
                <w:sz w:val="24"/>
              </w:rPr>
              <w:t xml:space="preserve">3,7</w:t>
            </w:r>
          </w:p>
        </w:tc>
        <w:tc>
          <w:tcPr>
            <w:tcW w:w="850" w:type="dxa"/>
          </w:tcPr>
          <w:p>
            <w:pPr>
              <w:pStyle w:val="0"/>
              <w:jc w:val="center"/>
            </w:pPr>
            <w:r>
              <w:rPr>
                <w:sz w:val="24"/>
              </w:rPr>
              <w:t xml:space="preserve">0,192</w:t>
            </w:r>
          </w:p>
        </w:tc>
        <w:tc>
          <w:tcPr>
            <w:tcW w:w="850" w:type="dxa"/>
          </w:tcPr>
          <w:p>
            <w:pPr>
              <w:pStyle w:val="0"/>
              <w:jc w:val="center"/>
            </w:pPr>
            <w:r>
              <w:rPr>
                <w:sz w:val="24"/>
              </w:rPr>
              <w:t xml:space="preserve">0,196</w:t>
            </w:r>
          </w:p>
        </w:tc>
        <w:tc>
          <w:tcPr>
            <w:tcW w:w="850" w:type="dxa"/>
          </w:tcPr>
          <w:p>
            <w:pPr>
              <w:pStyle w:val="0"/>
              <w:jc w:val="center"/>
            </w:pPr>
            <w:r>
              <w:rPr>
                <w:sz w:val="24"/>
              </w:rPr>
              <w:t xml:space="preserve">0,210</w:t>
            </w:r>
          </w:p>
        </w:tc>
        <w:tc>
          <w:tcPr>
            <w:tcW w:w="1361" w:type="dxa"/>
          </w:tcPr>
          <w:p>
            <w:pPr>
              <w:pStyle w:val="0"/>
              <w:jc w:val="center"/>
            </w:pPr>
            <w:r>
              <w:rPr>
                <w:sz w:val="24"/>
              </w:rPr>
              <w:t xml:space="preserve">5,2</w:t>
            </w:r>
          </w:p>
        </w:tc>
        <w:tc>
          <w:tcPr>
            <w:tcW w:w="831" w:type="dxa"/>
          </w:tcPr>
          <w:p>
            <w:pPr>
              <w:pStyle w:val="0"/>
              <w:jc w:val="center"/>
            </w:pPr>
            <w:r>
              <w:rPr>
                <w:sz w:val="24"/>
              </w:rPr>
              <w:t xml:space="preserve">0,206</w:t>
            </w:r>
          </w:p>
        </w:tc>
        <w:tc>
          <w:tcPr>
            <w:tcW w:w="831" w:type="dxa"/>
          </w:tcPr>
          <w:p>
            <w:pPr>
              <w:pStyle w:val="0"/>
              <w:jc w:val="center"/>
            </w:pPr>
            <w:r>
              <w:rPr>
                <w:sz w:val="24"/>
              </w:rPr>
              <w:t xml:space="preserve">0,223</w:t>
            </w:r>
          </w:p>
        </w:tc>
        <w:tc>
          <w:tcPr>
            <w:tcW w:w="832" w:type="dxa"/>
          </w:tcPr>
          <w:p>
            <w:pPr>
              <w:pStyle w:val="0"/>
              <w:jc w:val="center"/>
            </w:pPr>
            <w:r>
              <w:rPr>
                <w:sz w:val="24"/>
              </w:rPr>
              <w:t xml:space="preserve">0,240</w:t>
            </w:r>
          </w:p>
        </w:tc>
      </w:tr>
      <w:tr>
        <w:tc>
          <w:tcPr>
            <w:tcW w:w="1361" w:type="dxa"/>
          </w:tcPr>
          <w:p>
            <w:pPr>
              <w:pStyle w:val="0"/>
              <w:jc w:val="center"/>
            </w:pPr>
            <w:r>
              <w:rPr>
                <w:sz w:val="24"/>
              </w:rPr>
              <w:t xml:space="preserve">14</w:t>
            </w:r>
          </w:p>
        </w:tc>
        <w:tc>
          <w:tcPr>
            <w:tcW w:w="1361" w:type="dxa"/>
          </w:tcPr>
          <w:p>
            <w:pPr>
              <w:pStyle w:val="0"/>
              <w:jc w:val="center"/>
            </w:pPr>
            <w:r>
              <w:rPr>
                <w:sz w:val="24"/>
              </w:rPr>
              <w:t xml:space="preserve">2,8</w:t>
            </w:r>
          </w:p>
        </w:tc>
        <w:tc>
          <w:tcPr>
            <w:tcW w:w="850" w:type="dxa"/>
          </w:tcPr>
          <w:p>
            <w:pPr>
              <w:pStyle w:val="0"/>
              <w:jc w:val="center"/>
            </w:pPr>
            <w:r>
              <w:rPr>
                <w:sz w:val="24"/>
              </w:rPr>
              <w:t xml:space="preserve">0,236</w:t>
            </w:r>
          </w:p>
        </w:tc>
        <w:tc>
          <w:tcPr>
            <w:tcW w:w="850" w:type="dxa"/>
          </w:tcPr>
          <w:p>
            <w:pPr>
              <w:pStyle w:val="0"/>
              <w:jc w:val="center"/>
            </w:pPr>
            <w:r>
              <w:rPr>
                <w:sz w:val="24"/>
              </w:rPr>
              <w:t xml:space="preserve">0,241</w:t>
            </w:r>
          </w:p>
        </w:tc>
        <w:tc>
          <w:tcPr>
            <w:tcW w:w="850" w:type="dxa"/>
          </w:tcPr>
          <w:p>
            <w:pPr>
              <w:pStyle w:val="0"/>
              <w:jc w:val="center"/>
            </w:pPr>
            <w:r>
              <w:rPr>
                <w:sz w:val="24"/>
              </w:rPr>
              <w:t xml:space="preserve">0,245</w:t>
            </w:r>
          </w:p>
        </w:tc>
        <w:tc>
          <w:tcPr>
            <w:tcW w:w="1361" w:type="dxa"/>
          </w:tcPr>
          <w:p>
            <w:pPr>
              <w:pStyle w:val="0"/>
              <w:jc w:val="center"/>
            </w:pPr>
            <w:r>
              <w:rPr>
                <w:sz w:val="24"/>
              </w:rPr>
              <w:t xml:space="preserve">4,2</w:t>
            </w:r>
          </w:p>
        </w:tc>
        <w:tc>
          <w:tcPr>
            <w:tcW w:w="850" w:type="dxa"/>
          </w:tcPr>
          <w:p>
            <w:pPr>
              <w:pStyle w:val="0"/>
              <w:jc w:val="center"/>
            </w:pPr>
            <w:r>
              <w:rPr>
                <w:sz w:val="24"/>
              </w:rPr>
              <w:t xml:space="preserve">0,248</w:t>
            </w:r>
          </w:p>
        </w:tc>
        <w:tc>
          <w:tcPr>
            <w:tcW w:w="850" w:type="dxa"/>
          </w:tcPr>
          <w:p>
            <w:pPr>
              <w:pStyle w:val="0"/>
              <w:jc w:val="center"/>
            </w:pPr>
            <w:r>
              <w:rPr>
                <w:sz w:val="24"/>
              </w:rPr>
              <w:t xml:space="preserve">0,255</w:t>
            </w:r>
          </w:p>
        </w:tc>
        <w:tc>
          <w:tcPr>
            <w:tcW w:w="850" w:type="dxa"/>
          </w:tcPr>
          <w:p>
            <w:pPr>
              <w:pStyle w:val="0"/>
              <w:jc w:val="center"/>
            </w:pPr>
            <w:r>
              <w:rPr>
                <w:sz w:val="24"/>
              </w:rPr>
              <w:t xml:space="preserve">0,263</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tcW w:w="1361" w:type="dxa"/>
          </w:tcPr>
          <w:p>
            <w:pPr>
              <w:pStyle w:val="0"/>
              <w:jc w:val="center"/>
            </w:pPr>
            <w:r>
              <w:rPr>
                <w:sz w:val="24"/>
              </w:rPr>
              <w:t xml:space="preserve">16</w:t>
            </w:r>
          </w:p>
        </w:tc>
        <w:tc>
          <w:tcPr>
            <w:tcW w:w="1361" w:type="dxa"/>
          </w:tcPr>
          <w:p>
            <w:pPr>
              <w:pStyle w:val="0"/>
              <w:jc w:val="center"/>
            </w:pPr>
            <w:r>
              <w:rPr>
                <w:sz w:val="24"/>
              </w:rPr>
              <w:t xml:space="preserve">3,2</w:t>
            </w:r>
          </w:p>
        </w:tc>
        <w:tc>
          <w:tcPr>
            <w:tcW w:w="850" w:type="dxa"/>
          </w:tcPr>
          <w:p>
            <w:pPr>
              <w:pStyle w:val="0"/>
              <w:jc w:val="center"/>
            </w:pPr>
            <w:r>
              <w:rPr>
                <w:sz w:val="24"/>
              </w:rPr>
              <w:t xml:space="preserve">0,316</w:t>
            </w:r>
          </w:p>
        </w:tc>
        <w:tc>
          <w:tcPr>
            <w:tcW w:w="850" w:type="dxa"/>
          </w:tcPr>
          <w:p>
            <w:pPr>
              <w:pStyle w:val="0"/>
              <w:jc w:val="center"/>
            </w:pPr>
            <w:r>
              <w:rPr>
                <w:sz w:val="24"/>
              </w:rPr>
              <w:t xml:space="preserve">0,322</w:t>
            </w:r>
          </w:p>
        </w:tc>
        <w:tc>
          <w:tcPr>
            <w:tcW w:w="850" w:type="dxa"/>
          </w:tcPr>
          <w:p>
            <w:pPr>
              <w:pStyle w:val="0"/>
              <w:jc w:val="center"/>
            </w:pPr>
            <w:r>
              <w:rPr>
                <w:sz w:val="24"/>
              </w:rPr>
              <w:t xml:space="preserve">0,328</w:t>
            </w:r>
          </w:p>
        </w:tc>
        <w:tc>
          <w:tcPr>
            <w:tcW w:w="1361" w:type="dxa"/>
          </w:tcPr>
          <w:p>
            <w:pPr>
              <w:pStyle w:val="0"/>
              <w:jc w:val="center"/>
            </w:pPr>
            <w:r>
              <w:rPr>
                <w:sz w:val="24"/>
              </w:rPr>
              <w:t xml:space="preserve">4,6</w:t>
            </w:r>
          </w:p>
        </w:tc>
        <w:tc>
          <w:tcPr>
            <w:tcW w:w="850" w:type="dxa"/>
          </w:tcPr>
          <w:p>
            <w:pPr>
              <w:pStyle w:val="0"/>
              <w:jc w:val="center"/>
            </w:pPr>
            <w:r>
              <w:rPr>
                <w:sz w:val="24"/>
              </w:rPr>
              <w:t xml:space="preserve">0,293</w:t>
            </w:r>
          </w:p>
        </w:tc>
        <w:tc>
          <w:tcPr>
            <w:tcW w:w="850" w:type="dxa"/>
          </w:tcPr>
          <w:p>
            <w:pPr>
              <w:pStyle w:val="0"/>
              <w:jc w:val="center"/>
            </w:pPr>
            <w:r>
              <w:rPr>
                <w:sz w:val="24"/>
              </w:rPr>
              <w:t xml:space="preserve">0,300</w:t>
            </w:r>
          </w:p>
        </w:tc>
        <w:tc>
          <w:tcPr>
            <w:tcW w:w="850" w:type="dxa"/>
          </w:tcPr>
          <w:p>
            <w:pPr>
              <w:pStyle w:val="0"/>
              <w:jc w:val="center"/>
            </w:pPr>
            <w:r>
              <w:rPr>
                <w:sz w:val="24"/>
              </w:rPr>
              <w:t xml:space="preserve">0,318</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tcW w:w="1361" w:type="dxa"/>
          </w:tcPr>
          <w:p>
            <w:pPr>
              <w:pStyle w:val="0"/>
              <w:jc w:val="center"/>
            </w:pPr>
            <w:r>
              <w:rPr>
                <w:sz w:val="24"/>
              </w:rPr>
              <w:t xml:space="preserve">18</w:t>
            </w:r>
          </w:p>
        </w:tc>
        <w:tc>
          <w:tcPr>
            <w:tcW w:w="1361" w:type="dxa"/>
          </w:tcPr>
          <w:p>
            <w:pPr>
              <w:pStyle w:val="0"/>
              <w:jc w:val="center"/>
            </w:pPr>
            <w:r>
              <w:rPr>
                <w:sz w:val="24"/>
              </w:rPr>
              <w:t xml:space="preserve">3,6</w:t>
            </w:r>
          </w:p>
        </w:tc>
        <w:tc>
          <w:tcPr>
            <w:tcW w:w="850" w:type="dxa"/>
          </w:tcPr>
          <w:p>
            <w:pPr>
              <w:pStyle w:val="0"/>
              <w:jc w:val="center"/>
            </w:pPr>
            <w:r>
              <w:rPr>
                <w:sz w:val="24"/>
              </w:rPr>
              <w:t xml:space="preserve">0,390</w:t>
            </w:r>
          </w:p>
        </w:tc>
        <w:tc>
          <w:tcPr>
            <w:tcW w:w="850" w:type="dxa"/>
          </w:tcPr>
          <w:p>
            <w:pPr>
              <w:pStyle w:val="0"/>
              <w:jc w:val="center"/>
            </w:pPr>
            <w:r>
              <w:rPr>
                <w:sz w:val="24"/>
              </w:rPr>
              <w:t xml:space="preserve">0,398</w:t>
            </w:r>
          </w:p>
        </w:tc>
        <w:tc>
          <w:tcPr>
            <w:tcW w:w="850" w:type="dxa"/>
          </w:tcPr>
          <w:p>
            <w:pPr>
              <w:pStyle w:val="0"/>
              <w:jc w:val="center"/>
            </w:pPr>
            <w:r>
              <w:rPr>
                <w:sz w:val="24"/>
              </w:rPr>
              <w:t xml:space="preserve">0,406</w:t>
            </w:r>
          </w:p>
        </w:tc>
        <w:tc>
          <w:tcPr>
            <w:tcW w:w="1361" w:type="dxa"/>
          </w:tcPr>
          <w:p>
            <w:pPr>
              <w:pStyle w:val="0"/>
              <w:jc w:val="center"/>
            </w:pPr>
            <w:r>
              <w:rPr>
                <w:sz w:val="24"/>
              </w:rPr>
              <w:t xml:space="preserve">5,1</w:t>
            </w:r>
          </w:p>
        </w:tc>
        <w:tc>
          <w:tcPr>
            <w:tcW w:w="850" w:type="dxa"/>
          </w:tcPr>
          <w:p>
            <w:pPr>
              <w:pStyle w:val="0"/>
              <w:jc w:val="center"/>
            </w:pPr>
            <w:r>
              <w:rPr>
                <w:sz w:val="24"/>
              </w:rPr>
              <w:t xml:space="preserve">0,360</w:t>
            </w:r>
          </w:p>
        </w:tc>
        <w:tc>
          <w:tcPr>
            <w:tcW w:w="850" w:type="dxa"/>
          </w:tcPr>
          <w:p>
            <w:pPr>
              <w:pStyle w:val="0"/>
              <w:jc w:val="center"/>
            </w:pPr>
            <w:r>
              <w:rPr>
                <w:sz w:val="24"/>
              </w:rPr>
              <w:t xml:space="preserve">0,380</w:t>
            </w:r>
          </w:p>
        </w:tc>
        <w:tc>
          <w:tcPr>
            <w:tcW w:w="850" w:type="dxa"/>
          </w:tcPr>
          <w:p>
            <w:pPr>
              <w:pStyle w:val="0"/>
              <w:jc w:val="center"/>
            </w:pPr>
            <w:r>
              <w:rPr>
                <w:sz w:val="24"/>
              </w:rPr>
              <w:t xml:space="preserve">0,400</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gridSpan w:val="13"/>
            <w:tcW w:w="13038" w:type="dxa"/>
          </w:tcPr>
          <w:p>
            <w:pPr>
              <w:pStyle w:val="0"/>
              <w:jc w:val="center"/>
            </w:pPr>
            <w:r>
              <w:rPr>
                <w:sz w:val="24"/>
                <w:i w:val="on"/>
              </w:rPr>
              <w:t xml:space="preserve">Пожарные краны d = 65 мм</w:t>
            </w:r>
          </w:p>
        </w:tc>
      </w:tr>
      <w:tr>
        <w:tc>
          <w:tcPr>
            <w:tcW w:w="1361" w:type="dxa"/>
          </w:tcPr>
          <w:p>
            <w:pPr>
              <w:pStyle w:val="0"/>
              <w:jc w:val="center"/>
            </w:pPr>
            <w:r>
              <w:rPr>
                <w:sz w:val="24"/>
              </w:rPr>
              <w:t xml:space="preserve">6</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2,6</w:t>
            </w:r>
          </w:p>
        </w:tc>
        <w:tc>
          <w:tcPr>
            <w:tcW w:w="850" w:type="dxa"/>
          </w:tcPr>
          <w:p>
            <w:pPr>
              <w:pStyle w:val="0"/>
              <w:jc w:val="center"/>
            </w:pPr>
            <w:r>
              <w:rPr>
                <w:sz w:val="24"/>
              </w:rPr>
              <w:t xml:space="preserve">0,088</w:t>
            </w:r>
          </w:p>
        </w:tc>
        <w:tc>
          <w:tcPr>
            <w:tcW w:w="850" w:type="dxa"/>
          </w:tcPr>
          <w:p>
            <w:pPr>
              <w:pStyle w:val="0"/>
              <w:jc w:val="center"/>
            </w:pPr>
            <w:r>
              <w:rPr>
                <w:sz w:val="24"/>
              </w:rPr>
              <w:t xml:space="preserve">0,089</w:t>
            </w:r>
          </w:p>
        </w:tc>
        <w:tc>
          <w:tcPr>
            <w:tcW w:w="850" w:type="dxa"/>
          </w:tcPr>
          <w:p>
            <w:pPr>
              <w:pStyle w:val="0"/>
              <w:jc w:val="center"/>
            </w:pPr>
            <w:r>
              <w:rPr>
                <w:sz w:val="24"/>
              </w:rPr>
              <w:t xml:space="preserve">0,090</w:t>
            </w:r>
          </w:p>
        </w:tc>
        <w:tc>
          <w:tcPr>
            <w:tcW w:w="1361" w:type="dxa"/>
          </w:tcPr>
          <w:p>
            <w:pPr>
              <w:pStyle w:val="0"/>
              <w:jc w:val="center"/>
            </w:pPr>
            <w:r>
              <w:rPr>
                <w:sz w:val="24"/>
              </w:rPr>
              <w:t xml:space="preserve">3,4</w:t>
            </w:r>
          </w:p>
        </w:tc>
        <w:tc>
          <w:tcPr>
            <w:tcW w:w="831" w:type="dxa"/>
          </w:tcPr>
          <w:p>
            <w:pPr>
              <w:pStyle w:val="0"/>
              <w:jc w:val="center"/>
            </w:pPr>
            <w:r>
              <w:rPr>
                <w:sz w:val="24"/>
              </w:rPr>
              <w:t xml:space="preserve">0,078</w:t>
            </w:r>
          </w:p>
        </w:tc>
        <w:tc>
          <w:tcPr>
            <w:tcW w:w="831" w:type="dxa"/>
          </w:tcPr>
          <w:p>
            <w:pPr>
              <w:pStyle w:val="0"/>
              <w:jc w:val="center"/>
            </w:pPr>
            <w:r>
              <w:rPr>
                <w:sz w:val="24"/>
              </w:rPr>
              <w:t xml:space="preserve">0,080</w:t>
            </w:r>
          </w:p>
        </w:tc>
        <w:tc>
          <w:tcPr>
            <w:tcW w:w="832" w:type="dxa"/>
          </w:tcPr>
          <w:p>
            <w:pPr>
              <w:pStyle w:val="0"/>
              <w:jc w:val="center"/>
            </w:pPr>
            <w:r>
              <w:rPr>
                <w:sz w:val="24"/>
              </w:rPr>
              <w:t xml:space="preserve">0,083</w:t>
            </w:r>
          </w:p>
        </w:tc>
      </w:tr>
      <w:tr>
        <w:tc>
          <w:tcPr>
            <w:tcW w:w="1361" w:type="dxa"/>
          </w:tcPr>
          <w:p>
            <w:pPr>
              <w:pStyle w:val="0"/>
              <w:jc w:val="center"/>
            </w:pPr>
            <w:r>
              <w:rPr>
                <w:sz w:val="24"/>
              </w:rPr>
              <w:t xml:space="preserve">8</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2,9</w:t>
            </w:r>
          </w:p>
        </w:tc>
        <w:tc>
          <w:tcPr>
            <w:tcW w:w="850" w:type="dxa"/>
          </w:tcPr>
          <w:p>
            <w:pPr>
              <w:pStyle w:val="0"/>
              <w:jc w:val="center"/>
            </w:pPr>
            <w:r>
              <w:rPr>
                <w:sz w:val="24"/>
              </w:rPr>
              <w:t xml:space="preserve">0,110</w:t>
            </w:r>
          </w:p>
        </w:tc>
        <w:tc>
          <w:tcPr>
            <w:tcW w:w="850" w:type="dxa"/>
          </w:tcPr>
          <w:p>
            <w:pPr>
              <w:pStyle w:val="0"/>
              <w:jc w:val="center"/>
            </w:pPr>
            <w:r>
              <w:rPr>
                <w:sz w:val="24"/>
              </w:rPr>
              <w:t xml:space="preserve">0,112</w:t>
            </w:r>
          </w:p>
        </w:tc>
        <w:tc>
          <w:tcPr>
            <w:tcW w:w="850" w:type="dxa"/>
          </w:tcPr>
          <w:p>
            <w:pPr>
              <w:pStyle w:val="0"/>
              <w:jc w:val="center"/>
            </w:pPr>
            <w:r>
              <w:rPr>
                <w:sz w:val="24"/>
              </w:rPr>
              <w:t xml:space="preserve">0,114</w:t>
            </w:r>
          </w:p>
        </w:tc>
        <w:tc>
          <w:tcPr>
            <w:tcW w:w="1361" w:type="dxa"/>
          </w:tcPr>
          <w:p>
            <w:pPr>
              <w:pStyle w:val="0"/>
              <w:jc w:val="center"/>
            </w:pPr>
            <w:r>
              <w:rPr>
                <w:sz w:val="24"/>
              </w:rPr>
              <w:t xml:space="preserve">4,1</w:t>
            </w:r>
          </w:p>
        </w:tc>
        <w:tc>
          <w:tcPr>
            <w:tcW w:w="831" w:type="dxa"/>
          </w:tcPr>
          <w:p>
            <w:pPr>
              <w:pStyle w:val="0"/>
              <w:jc w:val="center"/>
            </w:pPr>
            <w:r>
              <w:rPr>
                <w:sz w:val="24"/>
              </w:rPr>
              <w:t xml:space="preserve">0,114</w:t>
            </w:r>
          </w:p>
        </w:tc>
        <w:tc>
          <w:tcPr>
            <w:tcW w:w="831" w:type="dxa"/>
          </w:tcPr>
          <w:p>
            <w:pPr>
              <w:pStyle w:val="0"/>
              <w:jc w:val="center"/>
            </w:pPr>
            <w:r>
              <w:rPr>
                <w:sz w:val="24"/>
              </w:rPr>
              <w:t xml:space="preserve">0,117</w:t>
            </w:r>
          </w:p>
        </w:tc>
        <w:tc>
          <w:tcPr>
            <w:tcW w:w="832" w:type="dxa"/>
          </w:tcPr>
          <w:p>
            <w:pPr>
              <w:pStyle w:val="0"/>
              <w:jc w:val="center"/>
            </w:pPr>
            <w:r>
              <w:rPr>
                <w:sz w:val="24"/>
              </w:rPr>
              <w:t xml:space="preserve">0,121</w:t>
            </w:r>
          </w:p>
        </w:tc>
      </w:tr>
      <w:tr>
        <w:tc>
          <w:tcPr>
            <w:tcW w:w="1361" w:type="dxa"/>
          </w:tcPr>
          <w:p>
            <w:pPr>
              <w:pStyle w:val="0"/>
              <w:jc w:val="center"/>
            </w:pPr>
            <w:r>
              <w:rPr>
                <w:sz w:val="24"/>
              </w:rPr>
              <w:t xml:space="preserve">10</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3,3</w:t>
            </w:r>
          </w:p>
        </w:tc>
        <w:tc>
          <w:tcPr>
            <w:tcW w:w="850" w:type="dxa"/>
          </w:tcPr>
          <w:p>
            <w:pPr>
              <w:pStyle w:val="0"/>
              <w:jc w:val="center"/>
            </w:pPr>
            <w:r>
              <w:rPr>
                <w:sz w:val="24"/>
              </w:rPr>
              <w:t xml:space="preserve">0,140</w:t>
            </w:r>
          </w:p>
        </w:tc>
        <w:tc>
          <w:tcPr>
            <w:tcW w:w="850" w:type="dxa"/>
          </w:tcPr>
          <w:p>
            <w:pPr>
              <w:pStyle w:val="0"/>
              <w:jc w:val="center"/>
            </w:pPr>
            <w:r>
              <w:rPr>
                <w:sz w:val="24"/>
              </w:rPr>
              <w:t xml:space="preserve">0,143</w:t>
            </w:r>
          </w:p>
        </w:tc>
        <w:tc>
          <w:tcPr>
            <w:tcW w:w="850" w:type="dxa"/>
          </w:tcPr>
          <w:p>
            <w:pPr>
              <w:pStyle w:val="0"/>
              <w:jc w:val="center"/>
            </w:pPr>
            <w:r>
              <w:rPr>
                <w:sz w:val="24"/>
              </w:rPr>
              <w:t xml:space="preserve">0,146</w:t>
            </w:r>
          </w:p>
        </w:tc>
        <w:tc>
          <w:tcPr>
            <w:tcW w:w="1361" w:type="dxa"/>
          </w:tcPr>
          <w:p>
            <w:pPr>
              <w:pStyle w:val="0"/>
              <w:jc w:val="center"/>
            </w:pPr>
            <w:r>
              <w:rPr>
                <w:sz w:val="24"/>
              </w:rPr>
              <w:t xml:space="preserve">4,6</w:t>
            </w:r>
          </w:p>
        </w:tc>
        <w:tc>
          <w:tcPr>
            <w:tcW w:w="831" w:type="dxa"/>
          </w:tcPr>
          <w:p>
            <w:pPr>
              <w:pStyle w:val="0"/>
              <w:jc w:val="center"/>
            </w:pPr>
            <w:r>
              <w:rPr>
                <w:sz w:val="24"/>
              </w:rPr>
              <w:t xml:space="preserve">0,143</w:t>
            </w:r>
          </w:p>
        </w:tc>
        <w:tc>
          <w:tcPr>
            <w:tcW w:w="831" w:type="dxa"/>
          </w:tcPr>
          <w:p>
            <w:pPr>
              <w:pStyle w:val="0"/>
              <w:jc w:val="center"/>
            </w:pPr>
            <w:r>
              <w:rPr>
                <w:sz w:val="24"/>
              </w:rPr>
              <w:t xml:space="preserve">0,147</w:t>
            </w:r>
          </w:p>
        </w:tc>
        <w:tc>
          <w:tcPr>
            <w:tcW w:w="832" w:type="dxa"/>
          </w:tcPr>
          <w:p>
            <w:pPr>
              <w:pStyle w:val="0"/>
              <w:jc w:val="center"/>
            </w:pPr>
            <w:r>
              <w:rPr>
                <w:sz w:val="24"/>
              </w:rPr>
              <w:t xml:space="preserve">0,151</w:t>
            </w:r>
          </w:p>
        </w:tc>
      </w:tr>
      <w:tr>
        <w:tc>
          <w:tcPr>
            <w:tcW w:w="1361" w:type="dxa"/>
          </w:tcPr>
          <w:p>
            <w:pPr>
              <w:pStyle w:val="0"/>
              <w:jc w:val="center"/>
            </w:pPr>
            <w:r>
              <w:rPr>
                <w:sz w:val="24"/>
              </w:rPr>
              <w:t xml:space="preserve">12</w:t>
            </w:r>
          </w:p>
        </w:tc>
        <w:tc>
          <w:tcPr>
            <w:tcW w:w="1361" w:type="dxa"/>
          </w:tcPr>
          <w:p>
            <w:pPr>
              <w:pStyle w:val="0"/>
              <w:jc w:val="center"/>
            </w:pPr>
            <w:r>
              <w:rPr>
                <w:sz w:val="24"/>
              </w:rPr>
              <w:t xml:space="preserve">2,6</w:t>
            </w:r>
          </w:p>
        </w:tc>
        <w:tc>
          <w:tcPr>
            <w:tcW w:w="850" w:type="dxa"/>
          </w:tcPr>
          <w:p>
            <w:pPr>
              <w:pStyle w:val="0"/>
              <w:jc w:val="center"/>
            </w:pPr>
            <w:r>
              <w:rPr>
                <w:sz w:val="24"/>
              </w:rPr>
              <w:t xml:space="preserve">0,198</w:t>
            </w:r>
          </w:p>
        </w:tc>
        <w:tc>
          <w:tcPr>
            <w:tcW w:w="850" w:type="dxa"/>
          </w:tcPr>
          <w:p>
            <w:pPr>
              <w:pStyle w:val="0"/>
              <w:jc w:val="center"/>
            </w:pPr>
            <w:r>
              <w:rPr>
                <w:sz w:val="24"/>
              </w:rPr>
              <w:t xml:space="preserve">0,199</w:t>
            </w:r>
          </w:p>
        </w:tc>
        <w:tc>
          <w:tcPr>
            <w:tcW w:w="850" w:type="dxa"/>
          </w:tcPr>
          <w:p>
            <w:pPr>
              <w:pStyle w:val="0"/>
              <w:jc w:val="center"/>
            </w:pPr>
            <w:r>
              <w:rPr>
                <w:sz w:val="24"/>
              </w:rPr>
              <w:t xml:space="preserve">0,201</w:t>
            </w:r>
          </w:p>
        </w:tc>
        <w:tc>
          <w:tcPr>
            <w:tcW w:w="1361" w:type="dxa"/>
          </w:tcPr>
          <w:p>
            <w:pPr>
              <w:pStyle w:val="0"/>
              <w:jc w:val="center"/>
            </w:pPr>
            <w:r>
              <w:rPr>
                <w:sz w:val="24"/>
              </w:rPr>
              <w:t xml:space="preserve">3,7</w:t>
            </w:r>
          </w:p>
        </w:tc>
        <w:tc>
          <w:tcPr>
            <w:tcW w:w="850" w:type="dxa"/>
          </w:tcPr>
          <w:p>
            <w:pPr>
              <w:pStyle w:val="0"/>
              <w:jc w:val="center"/>
            </w:pPr>
            <w:r>
              <w:rPr>
                <w:sz w:val="24"/>
              </w:rPr>
              <w:t xml:space="preserve">0,180</w:t>
            </w:r>
          </w:p>
        </w:tc>
        <w:tc>
          <w:tcPr>
            <w:tcW w:w="850" w:type="dxa"/>
          </w:tcPr>
          <w:p>
            <w:pPr>
              <w:pStyle w:val="0"/>
              <w:jc w:val="center"/>
            </w:pPr>
            <w:r>
              <w:rPr>
                <w:sz w:val="24"/>
              </w:rPr>
              <w:t xml:space="preserve">0,183</w:t>
            </w:r>
          </w:p>
        </w:tc>
        <w:tc>
          <w:tcPr>
            <w:tcW w:w="850" w:type="dxa"/>
          </w:tcPr>
          <w:p>
            <w:pPr>
              <w:pStyle w:val="0"/>
              <w:jc w:val="center"/>
            </w:pPr>
            <w:r>
              <w:rPr>
                <w:sz w:val="24"/>
              </w:rPr>
              <w:t xml:space="preserve">0,186</w:t>
            </w:r>
          </w:p>
        </w:tc>
        <w:tc>
          <w:tcPr>
            <w:tcW w:w="1361" w:type="dxa"/>
          </w:tcPr>
          <w:p>
            <w:pPr>
              <w:pStyle w:val="0"/>
              <w:jc w:val="center"/>
            </w:pPr>
            <w:r>
              <w:rPr>
                <w:sz w:val="24"/>
              </w:rPr>
              <w:t xml:space="preserve">5,2</w:t>
            </w:r>
          </w:p>
        </w:tc>
        <w:tc>
          <w:tcPr>
            <w:tcW w:w="831" w:type="dxa"/>
          </w:tcPr>
          <w:p>
            <w:pPr>
              <w:pStyle w:val="0"/>
              <w:jc w:val="center"/>
            </w:pPr>
            <w:r>
              <w:rPr>
                <w:sz w:val="24"/>
              </w:rPr>
              <w:t xml:space="preserve">0,182</w:t>
            </w:r>
          </w:p>
        </w:tc>
        <w:tc>
          <w:tcPr>
            <w:tcW w:w="831" w:type="dxa"/>
          </w:tcPr>
          <w:p>
            <w:pPr>
              <w:pStyle w:val="0"/>
              <w:jc w:val="center"/>
            </w:pPr>
            <w:r>
              <w:rPr>
                <w:sz w:val="24"/>
              </w:rPr>
              <w:t xml:space="preserve">0,190</w:t>
            </w:r>
          </w:p>
        </w:tc>
        <w:tc>
          <w:tcPr>
            <w:tcW w:w="832" w:type="dxa"/>
          </w:tcPr>
          <w:p>
            <w:pPr>
              <w:pStyle w:val="0"/>
              <w:jc w:val="center"/>
            </w:pPr>
            <w:r>
              <w:rPr>
                <w:sz w:val="24"/>
              </w:rPr>
              <w:t xml:space="preserve">0,199</w:t>
            </w:r>
          </w:p>
        </w:tc>
      </w:tr>
      <w:tr>
        <w:tc>
          <w:tcPr>
            <w:tcW w:w="1361" w:type="dxa"/>
          </w:tcPr>
          <w:p>
            <w:pPr>
              <w:pStyle w:val="0"/>
              <w:jc w:val="center"/>
            </w:pPr>
            <w:r>
              <w:rPr>
                <w:sz w:val="24"/>
              </w:rPr>
              <w:t xml:space="preserve">14</w:t>
            </w:r>
          </w:p>
        </w:tc>
        <w:tc>
          <w:tcPr>
            <w:tcW w:w="1361" w:type="dxa"/>
          </w:tcPr>
          <w:p>
            <w:pPr>
              <w:pStyle w:val="0"/>
              <w:jc w:val="center"/>
            </w:pPr>
            <w:r>
              <w:rPr>
                <w:sz w:val="24"/>
              </w:rPr>
              <w:t xml:space="preserve">2,8</w:t>
            </w:r>
          </w:p>
        </w:tc>
        <w:tc>
          <w:tcPr>
            <w:tcW w:w="850" w:type="dxa"/>
          </w:tcPr>
          <w:p>
            <w:pPr>
              <w:pStyle w:val="0"/>
              <w:jc w:val="center"/>
            </w:pPr>
            <w:r>
              <w:rPr>
                <w:sz w:val="24"/>
              </w:rPr>
              <w:t xml:space="preserve">0,230</w:t>
            </w:r>
          </w:p>
        </w:tc>
        <w:tc>
          <w:tcPr>
            <w:tcW w:w="850" w:type="dxa"/>
          </w:tcPr>
          <w:p>
            <w:pPr>
              <w:pStyle w:val="0"/>
              <w:jc w:val="center"/>
            </w:pPr>
            <w:r>
              <w:rPr>
                <w:sz w:val="24"/>
              </w:rPr>
              <w:t xml:space="preserve">0,231</w:t>
            </w:r>
          </w:p>
        </w:tc>
        <w:tc>
          <w:tcPr>
            <w:tcW w:w="850" w:type="dxa"/>
          </w:tcPr>
          <w:p>
            <w:pPr>
              <w:pStyle w:val="0"/>
              <w:jc w:val="center"/>
            </w:pPr>
            <w:r>
              <w:rPr>
                <w:sz w:val="24"/>
              </w:rPr>
              <w:t xml:space="preserve">0,233</w:t>
            </w:r>
          </w:p>
        </w:tc>
        <w:tc>
          <w:tcPr>
            <w:tcW w:w="1361" w:type="dxa"/>
          </w:tcPr>
          <w:p>
            <w:pPr>
              <w:pStyle w:val="0"/>
              <w:jc w:val="center"/>
            </w:pPr>
            <w:r>
              <w:rPr>
                <w:sz w:val="24"/>
              </w:rPr>
              <w:t xml:space="preserve">4,2</w:t>
            </w:r>
          </w:p>
        </w:tc>
        <w:tc>
          <w:tcPr>
            <w:tcW w:w="850" w:type="dxa"/>
          </w:tcPr>
          <w:p>
            <w:pPr>
              <w:pStyle w:val="0"/>
              <w:jc w:val="center"/>
            </w:pPr>
            <w:r>
              <w:rPr>
                <w:sz w:val="24"/>
              </w:rPr>
              <w:t xml:space="preserve">0,230</w:t>
            </w:r>
          </w:p>
        </w:tc>
        <w:tc>
          <w:tcPr>
            <w:tcW w:w="850" w:type="dxa"/>
          </w:tcPr>
          <w:p>
            <w:pPr>
              <w:pStyle w:val="0"/>
              <w:jc w:val="center"/>
            </w:pPr>
            <w:r>
              <w:rPr>
                <w:sz w:val="24"/>
              </w:rPr>
              <w:t xml:space="preserve">0,233</w:t>
            </w:r>
          </w:p>
        </w:tc>
        <w:tc>
          <w:tcPr>
            <w:tcW w:w="850" w:type="dxa"/>
          </w:tcPr>
          <w:p>
            <w:pPr>
              <w:pStyle w:val="0"/>
              <w:jc w:val="center"/>
            </w:pPr>
            <w:r>
              <w:rPr>
                <w:sz w:val="24"/>
              </w:rPr>
              <w:t xml:space="preserve">0,235</w:t>
            </w:r>
          </w:p>
        </w:tc>
        <w:tc>
          <w:tcPr>
            <w:tcW w:w="1361" w:type="dxa"/>
          </w:tcPr>
          <w:p>
            <w:pPr>
              <w:pStyle w:val="0"/>
              <w:jc w:val="center"/>
            </w:pPr>
            <w:r>
              <w:rPr>
                <w:sz w:val="24"/>
              </w:rPr>
              <w:t xml:space="preserve">5,7</w:t>
            </w:r>
          </w:p>
        </w:tc>
        <w:tc>
          <w:tcPr>
            <w:tcW w:w="831" w:type="dxa"/>
          </w:tcPr>
          <w:p>
            <w:pPr>
              <w:pStyle w:val="0"/>
              <w:jc w:val="center"/>
            </w:pPr>
            <w:r>
              <w:rPr>
                <w:sz w:val="24"/>
              </w:rPr>
              <w:t xml:space="preserve">0,218</w:t>
            </w:r>
          </w:p>
        </w:tc>
        <w:tc>
          <w:tcPr>
            <w:tcW w:w="831" w:type="dxa"/>
          </w:tcPr>
          <w:p>
            <w:pPr>
              <w:pStyle w:val="0"/>
              <w:jc w:val="center"/>
            </w:pPr>
            <w:r>
              <w:rPr>
                <w:sz w:val="24"/>
              </w:rPr>
              <w:t xml:space="preserve">0,224</w:t>
            </w:r>
          </w:p>
        </w:tc>
        <w:tc>
          <w:tcPr>
            <w:tcW w:w="832" w:type="dxa"/>
          </w:tcPr>
          <w:p>
            <w:pPr>
              <w:pStyle w:val="0"/>
              <w:jc w:val="center"/>
            </w:pPr>
            <w:r>
              <w:rPr>
                <w:sz w:val="24"/>
              </w:rPr>
              <w:t xml:space="preserve">0,230</w:t>
            </w:r>
          </w:p>
        </w:tc>
      </w:tr>
      <w:tr>
        <w:tc>
          <w:tcPr>
            <w:tcW w:w="1361" w:type="dxa"/>
          </w:tcPr>
          <w:p>
            <w:pPr>
              <w:pStyle w:val="0"/>
              <w:jc w:val="center"/>
            </w:pPr>
            <w:r>
              <w:rPr>
                <w:sz w:val="24"/>
              </w:rPr>
              <w:t xml:space="preserve">16</w:t>
            </w:r>
          </w:p>
        </w:tc>
        <w:tc>
          <w:tcPr>
            <w:tcW w:w="1361" w:type="dxa"/>
          </w:tcPr>
          <w:p>
            <w:pPr>
              <w:pStyle w:val="0"/>
              <w:jc w:val="center"/>
            </w:pPr>
            <w:r>
              <w:rPr>
                <w:sz w:val="24"/>
              </w:rPr>
              <w:t xml:space="preserve">3,2</w:t>
            </w:r>
          </w:p>
        </w:tc>
        <w:tc>
          <w:tcPr>
            <w:tcW w:w="850" w:type="dxa"/>
          </w:tcPr>
          <w:p>
            <w:pPr>
              <w:pStyle w:val="0"/>
              <w:jc w:val="center"/>
            </w:pPr>
            <w:r>
              <w:rPr>
                <w:sz w:val="24"/>
              </w:rPr>
              <w:t xml:space="preserve">0,310</w:t>
            </w:r>
          </w:p>
        </w:tc>
        <w:tc>
          <w:tcPr>
            <w:tcW w:w="850" w:type="dxa"/>
          </w:tcPr>
          <w:p>
            <w:pPr>
              <w:pStyle w:val="0"/>
              <w:jc w:val="center"/>
            </w:pPr>
            <w:r>
              <w:rPr>
                <w:sz w:val="24"/>
              </w:rPr>
              <w:t xml:space="preserve">0,313</w:t>
            </w:r>
          </w:p>
        </w:tc>
        <w:tc>
          <w:tcPr>
            <w:tcW w:w="850" w:type="dxa"/>
          </w:tcPr>
          <w:p>
            <w:pPr>
              <w:pStyle w:val="0"/>
              <w:jc w:val="center"/>
            </w:pPr>
            <w:r>
              <w:rPr>
                <w:sz w:val="24"/>
              </w:rPr>
              <w:t xml:space="preserve">0,315</w:t>
            </w:r>
          </w:p>
        </w:tc>
        <w:tc>
          <w:tcPr>
            <w:tcW w:w="1361" w:type="dxa"/>
          </w:tcPr>
          <w:p>
            <w:pPr>
              <w:pStyle w:val="0"/>
              <w:jc w:val="center"/>
            </w:pPr>
            <w:r>
              <w:rPr>
                <w:sz w:val="24"/>
              </w:rPr>
              <w:t xml:space="preserve">4,6</w:t>
            </w:r>
          </w:p>
        </w:tc>
        <w:tc>
          <w:tcPr>
            <w:tcW w:w="850" w:type="dxa"/>
          </w:tcPr>
          <w:p>
            <w:pPr>
              <w:pStyle w:val="0"/>
              <w:jc w:val="center"/>
            </w:pPr>
            <w:r>
              <w:rPr>
                <w:sz w:val="24"/>
              </w:rPr>
              <w:t xml:space="preserve">0,276</w:t>
            </w:r>
          </w:p>
        </w:tc>
        <w:tc>
          <w:tcPr>
            <w:tcW w:w="850" w:type="dxa"/>
          </w:tcPr>
          <w:p>
            <w:pPr>
              <w:pStyle w:val="0"/>
              <w:jc w:val="center"/>
            </w:pPr>
            <w:r>
              <w:rPr>
                <w:sz w:val="24"/>
              </w:rPr>
              <w:t xml:space="preserve">0,280</w:t>
            </w:r>
          </w:p>
        </w:tc>
        <w:tc>
          <w:tcPr>
            <w:tcW w:w="850" w:type="dxa"/>
          </w:tcPr>
          <w:p>
            <w:pPr>
              <w:pStyle w:val="0"/>
              <w:jc w:val="center"/>
            </w:pPr>
            <w:r>
              <w:rPr>
                <w:sz w:val="24"/>
              </w:rPr>
              <w:t xml:space="preserve">0,284</w:t>
            </w:r>
          </w:p>
        </w:tc>
        <w:tc>
          <w:tcPr>
            <w:tcW w:w="1361" w:type="dxa"/>
          </w:tcPr>
          <w:p>
            <w:pPr>
              <w:pStyle w:val="0"/>
              <w:jc w:val="center"/>
            </w:pPr>
            <w:r>
              <w:rPr>
                <w:sz w:val="24"/>
              </w:rPr>
              <w:t xml:space="preserve">6,3</w:t>
            </w:r>
          </w:p>
        </w:tc>
        <w:tc>
          <w:tcPr>
            <w:tcW w:w="831" w:type="dxa"/>
          </w:tcPr>
          <w:p>
            <w:pPr>
              <w:pStyle w:val="0"/>
              <w:jc w:val="center"/>
            </w:pPr>
            <w:r>
              <w:rPr>
                <w:sz w:val="24"/>
              </w:rPr>
              <w:t xml:space="preserve">0,266</w:t>
            </w:r>
          </w:p>
        </w:tc>
        <w:tc>
          <w:tcPr>
            <w:tcW w:w="831" w:type="dxa"/>
          </w:tcPr>
          <w:p>
            <w:pPr>
              <w:pStyle w:val="0"/>
              <w:jc w:val="center"/>
            </w:pPr>
            <w:r>
              <w:rPr>
                <w:sz w:val="24"/>
              </w:rPr>
              <w:t xml:space="preserve">0,273</w:t>
            </w:r>
          </w:p>
        </w:tc>
        <w:tc>
          <w:tcPr>
            <w:tcW w:w="832" w:type="dxa"/>
          </w:tcPr>
          <w:p>
            <w:pPr>
              <w:pStyle w:val="0"/>
              <w:jc w:val="center"/>
            </w:pPr>
            <w:r>
              <w:rPr>
                <w:sz w:val="24"/>
              </w:rPr>
              <w:t xml:space="preserve">0,280</w:t>
            </w:r>
          </w:p>
        </w:tc>
      </w:tr>
      <w:tr>
        <w:tc>
          <w:tcPr>
            <w:tcW w:w="1361" w:type="dxa"/>
          </w:tcPr>
          <w:p>
            <w:pPr>
              <w:pStyle w:val="0"/>
              <w:jc w:val="center"/>
            </w:pPr>
            <w:r>
              <w:rPr>
                <w:sz w:val="24"/>
              </w:rPr>
              <w:t xml:space="preserve">18</w:t>
            </w:r>
          </w:p>
        </w:tc>
        <w:tc>
          <w:tcPr>
            <w:tcW w:w="1361" w:type="dxa"/>
          </w:tcPr>
          <w:p>
            <w:pPr>
              <w:pStyle w:val="0"/>
              <w:jc w:val="center"/>
            </w:pPr>
            <w:r>
              <w:rPr>
                <w:sz w:val="24"/>
              </w:rPr>
              <w:t xml:space="preserve">3,6</w:t>
            </w:r>
          </w:p>
        </w:tc>
        <w:tc>
          <w:tcPr>
            <w:tcW w:w="850" w:type="dxa"/>
          </w:tcPr>
          <w:p>
            <w:pPr>
              <w:pStyle w:val="0"/>
              <w:jc w:val="center"/>
            </w:pPr>
            <w:r>
              <w:rPr>
                <w:sz w:val="24"/>
              </w:rPr>
              <w:t xml:space="preserve">0,380</w:t>
            </w:r>
          </w:p>
        </w:tc>
        <w:tc>
          <w:tcPr>
            <w:tcW w:w="850" w:type="dxa"/>
          </w:tcPr>
          <w:p>
            <w:pPr>
              <w:pStyle w:val="0"/>
              <w:jc w:val="center"/>
            </w:pPr>
            <w:r>
              <w:rPr>
                <w:sz w:val="24"/>
              </w:rPr>
              <w:t xml:space="preserve">0,383</w:t>
            </w:r>
          </w:p>
        </w:tc>
        <w:tc>
          <w:tcPr>
            <w:tcW w:w="850" w:type="dxa"/>
          </w:tcPr>
          <w:p>
            <w:pPr>
              <w:pStyle w:val="0"/>
              <w:jc w:val="center"/>
            </w:pPr>
            <w:r>
              <w:rPr>
                <w:sz w:val="24"/>
              </w:rPr>
              <w:t xml:space="preserve">0,385</w:t>
            </w:r>
          </w:p>
        </w:tc>
        <w:tc>
          <w:tcPr>
            <w:tcW w:w="1361" w:type="dxa"/>
          </w:tcPr>
          <w:p>
            <w:pPr>
              <w:pStyle w:val="0"/>
              <w:jc w:val="center"/>
            </w:pPr>
            <w:r>
              <w:rPr>
                <w:sz w:val="24"/>
              </w:rPr>
              <w:t xml:space="preserve">5,1</w:t>
            </w:r>
          </w:p>
        </w:tc>
        <w:tc>
          <w:tcPr>
            <w:tcW w:w="850" w:type="dxa"/>
          </w:tcPr>
          <w:p>
            <w:pPr>
              <w:pStyle w:val="0"/>
              <w:jc w:val="center"/>
            </w:pPr>
            <w:r>
              <w:rPr>
                <w:sz w:val="24"/>
              </w:rPr>
              <w:t xml:space="preserve">0,338</w:t>
            </w:r>
          </w:p>
        </w:tc>
        <w:tc>
          <w:tcPr>
            <w:tcW w:w="850" w:type="dxa"/>
          </w:tcPr>
          <w:p>
            <w:pPr>
              <w:pStyle w:val="0"/>
              <w:jc w:val="center"/>
            </w:pPr>
            <w:r>
              <w:rPr>
                <w:sz w:val="24"/>
              </w:rPr>
              <w:t xml:space="preserve">0,342</w:t>
            </w:r>
          </w:p>
        </w:tc>
        <w:tc>
          <w:tcPr>
            <w:tcW w:w="850" w:type="dxa"/>
          </w:tcPr>
          <w:p>
            <w:pPr>
              <w:pStyle w:val="0"/>
              <w:jc w:val="center"/>
            </w:pPr>
            <w:r>
              <w:rPr>
                <w:sz w:val="24"/>
              </w:rPr>
              <w:t xml:space="preserve">0,346</w:t>
            </w:r>
          </w:p>
        </w:tc>
        <w:tc>
          <w:tcPr>
            <w:tcW w:w="1361" w:type="dxa"/>
          </w:tcPr>
          <w:p>
            <w:pPr>
              <w:pStyle w:val="0"/>
              <w:jc w:val="center"/>
            </w:pPr>
            <w:r>
              <w:rPr>
                <w:sz w:val="24"/>
              </w:rPr>
              <w:t xml:space="preserve">7</w:t>
            </w:r>
          </w:p>
        </w:tc>
        <w:tc>
          <w:tcPr>
            <w:tcW w:w="831" w:type="dxa"/>
          </w:tcPr>
          <w:p>
            <w:pPr>
              <w:pStyle w:val="0"/>
              <w:jc w:val="center"/>
            </w:pPr>
            <w:r>
              <w:rPr>
                <w:sz w:val="24"/>
              </w:rPr>
              <w:t xml:space="preserve">0,329</w:t>
            </w:r>
          </w:p>
        </w:tc>
        <w:tc>
          <w:tcPr>
            <w:tcW w:w="831" w:type="dxa"/>
          </w:tcPr>
          <w:p>
            <w:pPr>
              <w:pStyle w:val="0"/>
              <w:jc w:val="center"/>
            </w:pPr>
            <w:r>
              <w:rPr>
                <w:sz w:val="24"/>
              </w:rPr>
              <w:t xml:space="preserve">0,338</w:t>
            </w:r>
          </w:p>
        </w:tc>
        <w:tc>
          <w:tcPr>
            <w:tcW w:w="832" w:type="dxa"/>
          </w:tcPr>
          <w:p>
            <w:pPr>
              <w:pStyle w:val="0"/>
              <w:jc w:val="center"/>
            </w:pPr>
            <w:r>
              <w:rPr>
                <w:sz w:val="24"/>
              </w:rPr>
              <w:t xml:space="preserve">0,348</w:t>
            </w:r>
          </w:p>
        </w:tc>
      </w:tr>
      <w:tr>
        <w:tc>
          <w:tcPr>
            <w:tcW w:w="1361" w:type="dxa"/>
          </w:tcPr>
          <w:p>
            <w:pPr>
              <w:pStyle w:val="0"/>
              <w:jc w:val="center"/>
            </w:pPr>
            <w:r>
              <w:rPr>
                <w:sz w:val="24"/>
              </w:rPr>
              <w:t xml:space="preserve">20</w:t>
            </w:r>
          </w:p>
        </w:tc>
        <w:tc>
          <w:tcPr>
            <w:tcW w:w="1361" w:type="dxa"/>
          </w:tcPr>
          <w:p>
            <w:pPr>
              <w:pStyle w:val="0"/>
              <w:jc w:val="center"/>
            </w:pPr>
            <w:r>
              <w:rPr>
                <w:sz w:val="24"/>
              </w:rPr>
              <w:t xml:space="preserve">4</w:t>
            </w:r>
          </w:p>
        </w:tc>
        <w:tc>
          <w:tcPr>
            <w:tcW w:w="850" w:type="dxa"/>
          </w:tcPr>
          <w:p>
            <w:pPr>
              <w:pStyle w:val="0"/>
              <w:jc w:val="center"/>
            </w:pPr>
            <w:r>
              <w:rPr>
                <w:sz w:val="24"/>
              </w:rPr>
              <w:t xml:space="preserve">0,464</w:t>
            </w:r>
          </w:p>
        </w:tc>
        <w:tc>
          <w:tcPr>
            <w:tcW w:w="850" w:type="dxa"/>
          </w:tcPr>
          <w:p>
            <w:pPr>
              <w:pStyle w:val="0"/>
              <w:jc w:val="center"/>
            </w:pPr>
            <w:r>
              <w:rPr>
                <w:sz w:val="24"/>
              </w:rPr>
              <w:t xml:space="preserve">0,467</w:t>
            </w:r>
          </w:p>
        </w:tc>
        <w:tc>
          <w:tcPr>
            <w:tcW w:w="850" w:type="dxa"/>
          </w:tcPr>
          <w:p>
            <w:pPr>
              <w:pStyle w:val="0"/>
              <w:jc w:val="center"/>
            </w:pPr>
            <w:r>
              <w:rPr>
                <w:sz w:val="24"/>
              </w:rPr>
              <w:t xml:space="preserve">0,470</w:t>
            </w:r>
          </w:p>
        </w:tc>
        <w:tc>
          <w:tcPr>
            <w:tcW w:w="1361" w:type="dxa"/>
          </w:tcPr>
          <w:p>
            <w:pPr>
              <w:pStyle w:val="0"/>
              <w:jc w:val="center"/>
            </w:pPr>
            <w:r>
              <w:rPr>
                <w:sz w:val="24"/>
              </w:rPr>
              <w:t xml:space="preserve">5,6</w:t>
            </w:r>
          </w:p>
        </w:tc>
        <w:tc>
          <w:tcPr>
            <w:tcW w:w="850" w:type="dxa"/>
          </w:tcPr>
          <w:p>
            <w:pPr>
              <w:pStyle w:val="0"/>
              <w:jc w:val="center"/>
            </w:pPr>
            <w:r>
              <w:rPr>
                <w:sz w:val="24"/>
              </w:rPr>
              <w:t xml:space="preserve">0,412</w:t>
            </w:r>
          </w:p>
        </w:tc>
        <w:tc>
          <w:tcPr>
            <w:tcW w:w="850" w:type="dxa"/>
          </w:tcPr>
          <w:p>
            <w:pPr>
              <w:pStyle w:val="0"/>
              <w:jc w:val="center"/>
            </w:pPr>
            <w:r>
              <w:rPr>
                <w:sz w:val="24"/>
              </w:rPr>
              <w:t xml:space="preserve">0,424</w:t>
            </w:r>
          </w:p>
        </w:tc>
        <w:tc>
          <w:tcPr>
            <w:tcW w:w="850" w:type="dxa"/>
          </w:tcPr>
          <w:p>
            <w:pPr>
              <w:pStyle w:val="0"/>
              <w:jc w:val="center"/>
            </w:pPr>
            <w:r>
              <w:rPr>
                <w:sz w:val="24"/>
              </w:rPr>
              <w:t xml:space="preserve">0,418</w:t>
            </w:r>
          </w:p>
        </w:tc>
        <w:tc>
          <w:tcPr>
            <w:tcW w:w="1361" w:type="dxa"/>
          </w:tcPr>
          <w:p>
            <w:pPr>
              <w:pStyle w:val="0"/>
              <w:jc w:val="center"/>
            </w:pPr>
            <w:r>
              <w:rPr>
                <w:sz w:val="24"/>
              </w:rPr>
              <w:t xml:space="preserve">7,5</w:t>
            </w:r>
          </w:p>
        </w:tc>
        <w:tc>
          <w:tcPr>
            <w:tcW w:w="831" w:type="dxa"/>
          </w:tcPr>
          <w:p>
            <w:pPr>
              <w:pStyle w:val="0"/>
              <w:jc w:val="center"/>
            </w:pPr>
            <w:r>
              <w:rPr>
                <w:sz w:val="24"/>
              </w:rPr>
              <w:t xml:space="preserve">0,372</w:t>
            </w:r>
          </w:p>
        </w:tc>
        <w:tc>
          <w:tcPr>
            <w:tcW w:w="831" w:type="dxa"/>
          </w:tcPr>
          <w:p>
            <w:pPr>
              <w:pStyle w:val="0"/>
              <w:jc w:val="center"/>
            </w:pPr>
            <w:r>
              <w:rPr>
                <w:sz w:val="24"/>
              </w:rPr>
              <w:t xml:space="preserve">0,385</w:t>
            </w:r>
          </w:p>
        </w:tc>
        <w:tc>
          <w:tcPr>
            <w:tcW w:w="832" w:type="dxa"/>
          </w:tcPr>
          <w:p>
            <w:pPr>
              <w:pStyle w:val="0"/>
              <w:jc w:val="center"/>
            </w:pPr>
            <w:r>
              <w:rPr>
                <w:sz w:val="24"/>
              </w:rPr>
              <w:t xml:space="preserve">0,397</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right"/>
      </w:pPr>
      <w:r>
        <w:rPr>
          <w:sz w:val="24"/>
          <w:b w:val="on"/>
        </w:rPr>
        <w:t xml:space="preserve">(справочное)</w:t>
      </w:r>
    </w:p>
    <w:p>
      <w:pPr>
        <w:pStyle w:val="0"/>
        <w:jc w:val="both"/>
      </w:pPr>
      <w:r>
        <w:rPr>
          <w:sz w:val="24"/>
        </w:rPr>
      </w:r>
    </w:p>
    <w:bookmarkStart w:id="2452" w:name="P2452"/>
    <w:bookmarkEnd w:id="2452"/>
    <w:p>
      <w:pPr>
        <w:pStyle w:val="2"/>
        <w:jc w:val="center"/>
      </w:pPr>
      <w:r>
        <w:rPr>
          <w:sz w:val="24"/>
        </w:rPr>
        <w:t xml:space="preserve">НОМЕНКЛАТУРА СИСТЕМ СВЯЗИ, СИГНАЛИЗАЦИИ,</w:t>
      </w:r>
    </w:p>
    <w:p>
      <w:pPr>
        <w:pStyle w:val="2"/>
        <w:jc w:val="center"/>
      </w:pPr>
      <w:r>
        <w:rPr>
          <w:sz w:val="24"/>
        </w:rPr>
        <w:t xml:space="preserve">АВТОМАТИЗАЦИИ И ДИСПЕТЧЕРИЗАЦИИ</w:t>
      </w:r>
    </w:p>
    <w:p>
      <w:pPr>
        <w:pStyle w:val="0"/>
        <w:jc w:val="both"/>
      </w:pPr>
      <w:r>
        <w:rPr>
          <w:sz w:val="24"/>
        </w:rPr>
      </w:r>
    </w:p>
    <w:p>
      <w:pPr>
        <w:pStyle w:val="0"/>
        <w:ind w:firstLine="540"/>
        <w:jc w:val="both"/>
      </w:pPr>
      <w:r>
        <w:rPr>
          <w:sz w:val="24"/>
        </w:rPr>
        <w:t xml:space="preserve">Функциональные группы различного назначения, входящие в состав высотных зданий, оснащаются системами, приведенными в таблице Е.1.</w:t>
      </w:r>
    </w:p>
    <w:p>
      <w:pPr>
        <w:pStyle w:val="0"/>
        <w:jc w:val="both"/>
      </w:pPr>
      <w:r>
        <w:rPr>
          <w:sz w:val="24"/>
        </w:rPr>
      </w:r>
    </w:p>
    <w:p>
      <w:pPr>
        <w:pStyle w:val="0"/>
        <w:jc w:val="right"/>
      </w:pPr>
      <w:r>
        <w:rPr>
          <w:sz w:val="24"/>
        </w:rPr>
        <w:t xml:space="preserve">Таблица Е.1</w:t>
      </w:r>
    </w:p>
    <w:p>
      <w:pPr>
        <w:pStyle w:val="0"/>
        <w:jc w:val="both"/>
      </w:pPr>
      <w:r>
        <w:rPr>
          <w:sz w:val="24"/>
        </w:rPr>
      </w:r>
    </w:p>
    <w:p>
      <w:pPr>
        <w:pStyle w:val="0"/>
        <w:jc w:val="center"/>
      </w:pPr>
      <w:r>
        <w:rPr>
          <w:sz w:val="24"/>
        </w:rPr>
        <w:t xml:space="preserve">Номенклатура систем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780"/>
        <w:gridCol w:w="794"/>
        <w:gridCol w:w="1587"/>
        <w:gridCol w:w="1340"/>
        <w:gridCol w:w="1361"/>
        <w:gridCol w:w="1125"/>
        <w:gridCol w:w="1077"/>
        <w:gridCol w:w="1191"/>
        <w:gridCol w:w="997"/>
        <w:gridCol w:w="907"/>
      </w:tblGrid>
      <w:tr>
        <w:tc>
          <w:tcPr>
            <w:tcW w:w="2438" w:type="dxa"/>
            <w:vAlign w:val="center"/>
            <w:vMerge w:val="restart"/>
          </w:tcPr>
          <w:p>
            <w:pPr>
              <w:pStyle w:val="0"/>
              <w:jc w:val="center"/>
            </w:pPr>
            <w:r>
              <w:rPr>
                <w:sz w:val="24"/>
              </w:rPr>
              <w:t xml:space="preserve">Система</w:t>
            </w:r>
          </w:p>
        </w:tc>
        <w:tc>
          <w:tcPr>
            <w:gridSpan w:val="10"/>
            <w:tcW w:w="11159" w:type="dxa"/>
            <w:vAlign w:val="center"/>
          </w:tcPr>
          <w:p>
            <w:pPr>
              <w:pStyle w:val="0"/>
              <w:jc w:val="center"/>
            </w:pPr>
            <w:r>
              <w:rPr>
                <w:sz w:val="24"/>
              </w:rPr>
              <w:t xml:space="preserve">Функциональная группа высотного здания</w:t>
            </w:r>
          </w:p>
        </w:tc>
      </w:tr>
      <w:tr>
        <w:tc>
          <w:tcPr>
            <w:vMerge w:val="continue"/>
          </w:tcPr>
          <w:p/>
        </w:tc>
        <w:tc>
          <w:tcPr>
            <w:gridSpan w:val="2"/>
            <w:tcW w:w="1574" w:type="dxa"/>
            <w:vAlign w:val="center"/>
          </w:tcPr>
          <w:p>
            <w:pPr>
              <w:pStyle w:val="0"/>
              <w:jc w:val="center"/>
            </w:pPr>
            <w:r>
              <w:rPr>
                <w:sz w:val="24"/>
              </w:rPr>
              <w:t xml:space="preserve">жилого назначения</w:t>
            </w:r>
          </w:p>
        </w:tc>
        <w:tc>
          <w:tcPr>
            <w:gridSpan w:val="8"/>
            <w:tcW w:w="9585" w:type="dxa"/>
            <w:vAlign w:val="center"/>
          </w:tcPr>
          <w:p>
            <w:pPr>
              <w:pStyle w:val="0"/>
              <w:jc w:val="center"/>
            </w:pPr>
            <w:r>
              <w:rPr>
                <w:sz w:val="24"/>
              </w:rPr>
              <w:t xml:space="preserve">общественного назначения</w:t>
            </w:r>
          </w:p>
        </w:tc>
      </w:tr>
      <w:tr>
        <w:tc>
          <w:tcPr>
            <w:vMerge w:val="continue"/>
          </w:tcPr>
          <w:p/>
        </w:tc>
        <w:tc>
          <w:tcPr>
            <w:tcW w:w="780" w:type="dxa"/>
            <w:vAlign w:val="center"/>
            <w:vMerge w:val="restart"/>
          </w:tcPr>
          <w:p>
            <w:pPr>
              <w:pStyle w:val="0"/>
              <w:jc w:val="center"/>
            </w:pPr>
            <w:r>
              <w:rPr>
                <w:sz w:val="24"/>
              </w:rPr>
              <w:t xml:space="preserve">Жилье</w:t>
            </w:r>
          </w:p>
        </w:tc>
        <w:tc>
          <w:tcPr>
            <w:tcW w:w="794" w:type="dxa"/>
            <w:vAlign w:val="center"/>
            <w:vMerge w:val="restart"/>
          </w:tcPr>
          <w:p>
            <w:pPr>
              <w:pStyle w:val="0"/>
              <w:jc w:val="center"/>
            </w:pPr>
            <w:r>
              <w:rPr>
                <w:sz w:val="24"/>
              </w:rPr>
              <w:t xml:space="preserve">Гостиницы</w:t>
            </w:r>
          </w:p>
        </w:tc>
        <w:tc>
          <w:tcPr>
            <w:gridSpan w:val="2"/>
            <w:tcW w:w="2927" w:type="dxa"/>
            <w:vAlign w:val="center"/>
          </w:tcPr>
          <w:p>
            <w:pPr>
              <w:pStyle w:val="0"/>
              <w:jc w:val="center"/>
            </w:pPr>
            <w:r>
              <w:rPr>
                <w:sz w:val="24"/>
              </w:rPr>
              <w:t xml:space="preserve">Административно-деловые</w:t>
            </w:r>
          </w:p>
        </w:tc>
        <w:tc>
          <w:tcPr>
            <w:tcW w:w="1361" w:type="dxa"/>
            <w:vAlign w:val="center"/>
            <w:vMerge w:val="restart"/>
          </w:tcPr>
          <w:p>
            <w:pPr>
              <w:pStyle w:val="0"/>
              <w:jc w:val="center"/>
            </w:pPr>
            <w:r>
              <w:rPr>
                <w:sz w:val="24"/>
              </w:rPr>
              <w:t xml:space="preserve">Культурно-просветительные и зрелищные</w:t>
            </w:r>
          </w:p>
        </w:tc>
        <w:tc>
          <w:tcPr>
            <w:tcW w:w="1125" w:type="dxa"/>
            <w:vAlign w:val="center"/>
            <w:vMerge w:val="restart"/>
          </w:tcPr>
          <w:p>
            <w:pPr>
              <w:pStyle w:val="0"/>
              <w:jc w:val="center"/>
            </w:pPr>
            <w:r>
              <w:rPr>
                <w:sz w:val="24"/>
              </w:rPr>
              <w:t xml:space="preserve">Физкультурно-оздоровительные и спортивные</w:t>
            </w:r>
          </w:p>
        </w:tc>
        <w:tc>
          <w:tcPr>
            <w:tcW w:w="1077" w:type="dxa"/>
            <w:vAlign w:val="center"/>
            <w:vMerge w:val="restart"/>
          </w:tcPr>
          <w:p>
            <w:pPr>
              <w:pStyle w:val="0"/>
              <w:jc w:val="center"/>
            </w:pPr>
            <w:r>
              <w:rPr>
                <w:sz w:val="24"/>
              </w:rPr>
              <w:t xml:space="preserve">Здравоохранения и отдыха</w:t>
            </w:r>
          </w:p>
        </w:tc>
        <w:tc>
          <w:tcPr>
            <w:tcW w:w="1191" w:type="dxa"/>
            <w:vAlign w:val="center"/>
            <w:vMerge w:val="restart"/>
          </w:tcPr>
          <w:p>
            <w:pPr>
              <w:pStyle w:val="0"/>
              <w:jc w:val="center"/>
            </w:pPr>
            <w:r>
              <w:rPr>
                <w:sz w:val="24"/>
              </w:rPr>
              <w:t xml:space="preserve">Торговли, общественного питания и бытового обслуживания</w:t>
            </w:r>
          </w:p>
        </w:tc>
        <w:tc>
          <w:tcPr>
            <w:tcW w:w="997" w:type="dxa"/>
            <w:vAlign w:val="center"/>
            <w:vMerge w:val="restart"/>
          </w:tcPr>
          <w:p>
            <w:pPr>
              <w:pStyle w:val="0"/>
              <w:jc w:val="center"/>
            </w:pPr>
            <w:r>
              <w:rPr>
                <w:sz w:val="24"/>
              </w:rPr>
              <w:t xml:space="preserve">Образования, воспитания и подготовки кадров</w:t>
            </w:r>
          </w:p>
        </w:tc>
        <w:tc>
          <w:tcPr>
            <w:tcW w:w="907" w:type="dxa"/>
            <w:vAlign w:val="center"/>
            <w:vMerge w:val="restart"/>
          </w:tcPr>
          <w:p>
            <w:pPr>
              <w:pStyle w:val="0"/>
              <w:jc w:val="center"/>
            </w:pPr>
            <w:r>
              <w:rPr>
                <w:sz w:val="24"/>
              </w:rPr>
              <w:t xml:space="preserve">Подземные автостоянки</w:t>
            </w:r>
          </w:p>
        </w:tc>
      </w:tr>
      <w:tr>
        <w:tc>
          <w:tcPr>
            <w:vMerge w:val="continue"/>
          </w:tcPr>
          <w:p/>
        </w:tc>
        <w:tc>
          <w:tcPr>
            <w:vMerge w:val="continue"/>
          </w:tcPr>
          <w:p/>
        </w:tc>
        <w:tc>
          <w:tcPr>
            <w:vMerge w:val="continue"/>
          </w:tcPr>
          <w:p/>
        </w:tc>
        <w:tc>
          <w:tcPr>
            <w:tcW w:w="1587" w:type="dxa"/>
            <w:vAlign w:val="center"/>
          </w:tcPr>
          <w:p>
            <w:pPr>
              <w:pStyle w:val="0"/>
              <w:jc w:val="center"/>
            </w:pPr>
            <w:r>
              <w:rPr>
                <w:sz w:val="24"/>
              </w:rPr>
              <w:t xml:space="preserve">Административно-офисные</w:t>
            </w:r>
          </w:p>
        </w:tc>
        <w:tc>
          <w:tcPr>
            <w:tcW w:w="1340" w:type="dxa"/>
            <w:vAlign w:val="center"/>
          </w:tcPr>
          <w:p>
            <w:pPr>
              <w:pStyle w:val="0"/>
              <w:jc w:val="center"/>
            </w:pPr>
            <w:r>
              <w:rPr>
                <w:sz w:val="24"/>
              </w:rPr>
              <w:t xml:space="preserve">Банковские учреждения</w:t>
            </w: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gridSpan w:val="11"/>
            <w:tcW w:w="13597" w:type="dxa"/>
          </w:tcPr>
          <w:p>
            <w:pPr>
              <w:pStyle w:val="0"/>
            </w:pPr>
            <w:r>
              <w:rPr>
                <w:sz w:val="24"/>
                <w:b w:val="on"/>
              </w:rPr>
              <w:t xml:space="preserve">Системы телефонной связи:</w:t>
            </w:r>
          </w:p>
        </w:tc>
      </w:tr>
      <w:tr>
        <w:tc>
          <w:tcPr>
            <w:tcW w:w="2438" w:type="dxa"/>
          </w:tcPr>
          <w:p>
            <w:pPr>
              <w:pStyle w:val="0"/>
            </w:pPr>
            <w:r>
              <w:rPr>
                <w:sz w:val="24"/>
              </w:rPr>
              <w:t xml:space="preserve">- система телефонной связи сети общего пользования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телефонной связи с применением УПАТС</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sz w:val="24"/>
              </w:rPr>
              <w:t xml:space="preserve">+ </w:t>
            </w:r>
            <w:hyperlink w:history="0" w:anchor="P3063" w:tooltip="&lt;1&gt; При применении вместо городской проводной радиотрансляции для передачи сигналов оповещения Управления государственного пожарного надзора о чрезвычайных ситуациях.">
              <w:r>
                <w:rPr>
                  <w:sz w:val="24"/>
                  <w:color w:val="0000ff"/>
                </w:rPr>
                <w:t xml:space="preserve">&lt;1&gt;</w:t>
              </w:r>
            </w:hyperlink>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907" w:type="dxa"/>
          </w:tcPr>
          <w:p>
            <w:pPr>
              <w:pStyle w:val="0"/>
            </w:pPr>
            <w:r>
              <w:rPr>
                <w:sz w:val="24"/>
              </w:rPr>
            </w:r>
          </w:p>
        </w:tc>
      </w:tr>
      <w:tr>
        <w:tc>
          <w:tcPr>
            <w:tcW w:w="2438" w:type="dxa"/>
          </w:tcPr>
          <w:p>
            <w:pPr>
              <w:pStyle w:val="0"/>
            </w:pPr>
            <w:r>
              <w:rPr>
                <w:sz w:val="24"/>
              </w:rPr>
              <w:t xml:space="preserve">- система оперативной, чрезвычайной телефонной связи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диспетчерской (технологической) телефонной связи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t xml:space="preserve">+</w:t>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pPr>
            <w:r>
              <w:rPr>
                <w:sz w:val="24"/>
                <w:b w:val="on"/>
              </w:rPr>
              <w:t xml:space="preserve">Системы радиовещания, радиотрансляции, проводного вещания и оповещения:</w:t>
            </w:r>
          </w:p>
        </w:tc>
      </w:tr>
      <w:tr>
        <w:tc>
          <w:tcPr>
            <w:tcW w:w="2438" w:type="dxa"/>
          </w:tcPr>
          <w:p>
            <w:pPr>
              <w:pStyle w:val="0"/>
            </w:pPr>
            <w:r>
              <w:rPr>
                <w:sz w:val="24"/>
              </w:rPr>
              <w:t xml:space="preserve">- проводное вещание и оповещение</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системы УКВ ЧМ радиовещания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6" w:tooltip="&lt;4&gt; Для служб эксплуатации и безопасности зданий, для других технологических целей по заданию на проектирование.">
              <w:r>
                <w:rPr>
                  <w:sz w:val="24"/>
                  <w:color w:val="0000ff"/>
                </w:rPr>
                <w:t xml:space="preserve">&lt;4&gt;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6" w:tooltip="&lt;4&gt; Для служб эксплуатации и безопасности зданий, для других технологических целей по заданию на проектирование.">
              <w:r>
                <w:rPr>
                  <w:sz w:val="24"/>
                  <w:color w:val="0000ff"/>
                </w:rPr>
                <w:t xml:space="preserve">&lt;4&gt;</w:t>
              </w:r>
            </w:hyperlink>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местного проводного вещания</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6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система оперативной радиосвязи городских служб безопасности и экстренных служб</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Телевизионные системы:</w:t>
            </w:r>
          </w:p>
        </w:tc>
      </w:tr>
      <w:tr>
        <w:tc>
          <w:tcPr>
            <w:tcW w:w="2438" w:type="dxa"/>
          </w:tcPr>
          <w:p>
            <w:pPr>
              <w:pStyle w:val="0"/>
            </w:pPr>
            <w:r>
              <w:rPr>
                <w:sz w:val="24"/>
              </w:rPr>
              <w:t xml:space="preserve">- системы кабельного телевидения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r>
      <w:tr>
        <w:tc>
          <w:tcPr>
            <w:tcW w:w="2438" w:type="dxa"/>
          </w:tcPr>
          <w:p>
            <w:pPr>
              <w:pStyle w:val="0"/>
            </w:pPr>
            <w:r>
              <w:rPr>
                <w:sz w:val="24"/>
              </w:rPr>
              <w:t xml:space="preserve">- системы спутникового приема телевидения</w:t>
            </w:r>
          </w:p>
        </w:tc>
        <w:tc>
          <w:tcPr>
            <w:tcW w:w="78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794" w:type="dxa"/>
          </w:tcPr>
          <w:p>
            <w:pPr>
              <w:pStyle w:val="0"/>
            </w:pPr>
            <w:r>
              <w:rPr>
                <w:sz w:val="24"/>
              </w:rPr>
              <w:t xml:space="preserve">+</w:t>
            </w:r>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6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25"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9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07" w:type="dxa"/>
          </w:tcPr>
          <w:p>
            <w:pPr>
              <w:pStyle w:val="0"/>
            </w:pPr>
            <w:r>
              <w:rPr>
                <w:sz w:val="24"/>
              </w:rPr>
            </w:r>
          </w:p>
        </w:tc>
      </w:tr>
      <w:tr>
        <w:tc>
          <w:tcPr>
            <w:tcW w:w="2438" w:type="dxa"/>
          </w:tcPr>
          <w:p>
            <w:pPr>
              <w:pStyle w:val="0"/>
            </w:pPr>
            <w:r>
              <w:rPr>
                <w:sz w:val="24"/>
              </w:rPr>
              <w:t xml:space="preserve">- местные телевизионные мини-студии</w:t>
            </w:r>
          </w:p>
        </w:tc>
        <w:tc>
          <w:tcPr>
            <w:tcW w:w="780" w:type="dxa"/>
          </w:tcPr>
          <w:p>
            <w:pPr>
              <w:pStyle w:val="0"/>
            </w:pPr>
            <w:r>
              <w:rPr>
                <w:sz w:val="24"/>
              </w:rPr>
            </w:r>
          </w:p>
        </w:tc>
        <w:tc>
          <w:tcPr>
            <w:tcW w:w="794" w:type="dxa"/>
          </w:tcPr>
          <w:p>
            <w:pPr>
              <w:pStyle w:val="0"/>
            </w:pPr>
            <w:r>
              <w:rPr>
                <w:sz w:val="24"/>
              </w:rPr>
              <w:t xml:space="preserve">+ </w:t>
            </w:r>
            <w:hyperlink w:history="0" w:anchor="P3068" w:tooltip="&lt;6&gt; Система, интегрированная в автоматизированный комплекс управления системами активной противопожарной защиты (СП 5.13130).">
              <w:r>
                <w:rPr>
                  <w:sz w:val="24"/>
                  <w:color w:val="0000ff"/>
                </w:rPr>
                <w:t xml:space="preserve">&lt;6&gt;</w:t>
              </w:r>
            </w:hyperlink>
          </w:p>
        </w:tc>
        <w:tc>
          <w:tcPr>
            <w:tcW w:w="1587" w:type="dxa"/>
          </w:tcPr>
          <w:p>
            <w:pPr>
              <w:pStyle w:val="0"/>
            </w:pPr>
            <w:r>
              <w:rPr>
                <w:sz w:val="24"/>
              </w:rPr>
            </w:r>
          </w:p>
        </w:tc>
        <w:tc>
          <w:tcPr>
            <w:tcW w:w="1340" w:type="dxa"/>
          </w:tcPr>
          <w:p>
            <w:pPr>
              <w:pStyle w:val="0"/>
            </w:pPr>
            <w:r>
              <w:rPr>
                <w:sz w:val="24"/>
              </w:rPr>
            </w:r>
          </w:p>
        </w:tc>
        <w:tc>
          <w:tcPr>
            <w:tcW w:w="136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b w:val="on"/>
              </w:rPr>
              <w:t xml:space="preserve">Интернет</w:t>
            </w:r>
          </w:p>
        </w:tc>
        <w:tc>
          <w:tcPr>
            <w:tcW w:w="780" w:type="dxa"/>
          </w:tcPr>
          <w:p>
            <w:pPr>
              <w:pStyle w:val="0"/>
            </w:pPr>
            <w:r>
              <w:rPr>
                <w:sz w:val="24"/>
              </w:rPr>
              <w:t xml:space="preserve">+</w:t>
            </w:r>
          </w:p>
        </w:tc>
        <w:tc>
          <w:tcPr>
            <w:tcW w:w="794" w:type="dxa"/>
          </w:tcPr>
          <w:p>
            <w:pPr>
              <w:pStyle w:val="0"/>
            </w:pPr>
            <w:r>
              <w:rPr>
                <w:sz w:val="24"/>
              </w:rPr>
              <w:t xml:space="preserve">+ </w:t>
            </w:r>
            <w:hyperlink w:history="0" w:anchor="P3068" w:tooltip="&lt;6&gt; Система, интегрированная в автоматизированный комплекс управления системами активной противопожарной защиты (СП 5.13130).">
              <w:r>
                <w:rPr>
                  <w:sz w:val="24"/>
                  <w:color w:val="0000ff"/>
                </w:rPr>
                <w:t xml:space="preserve">&lt;6&gt;</w:t>
              </w:r>
            </w:hyperlink>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69" w:tooltip="&lt;7&gt; При залах и сценах.">
              <w:r>
                <w:rPr>
                  <w:sz w:val="24"/>
                  <w:color w:val="0000ff"/>
                </w:rPr>
                <w:t xml:space="preserve">&lt;7&gt;</w:t>
              </w:r>
            </w:hyperlink>
          </w:p>
        </w:tc>
        <w:tc>
          <w:tcPr>
            <w:tcW w:w="907" w:type="dxa"/>
          </w:tcPr>
          <w:p>
            <w:pPr>
              <w:pStyle w:val="0"/>
            </w:pPr>
            <w:r>
              <w:rPr>
                <w:sz w:val="24"/>
              </w:rPr>
            </w:r>
          </w:p>
        </w:tc>
      </w:tr>
      <w:tr>
        <w:tc>
          <w:tcPr>
            <w:tcW w:w="2438" w:type="dxa"/>
          </w:tcPr>
          <w:p>
            <w:pPr>
              <w:pStyle w:val="0"/>
            </w:pPr>
            <w:r>
              <w:rPr>
                <w:sz w:val="24"/>
                <w:b w:val="on"/>
              </w:rPr>
              <w:t xml:space="preserve">Автоматизированная система управления и диспетчеризации инженерного оборудования здания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Системы локальной автоматизации технологического оборудования:</w:t>
            </w:r>
          </w:p>
        </w:tc>
      </w:tr>
      <w:tr>
        <w:tc>
          <w:tcPr>
            <w:tcW w:w="2438" w:type="dxa"/>
          </w:tcPr>
          <w:p>
            <w:pPr>
              <w:pStyle w:val="0"/>
            </w:pPr>
            <w:r>
              <w:rPr>
                <w:sz w:val="24"/>
              </w:rPr>
              <w:t xml:space="preserve">- система автоматизации приточно-вытяжной вентиляции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теплоснабжения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отопления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водоснабжения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водоотведения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электроосвещения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электроснабжения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вертикального транспорта</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кондиционирования</w:t>
            </w:r>
          </w:p>
        </w:tc>
        <w:tc>
          <w:tcPr>
            <w:tcW w:w="780" w:type="dxa"/>
          </w:tcPr>
          <w:p>
            <w:pPr>
              <w:pStyle w:val="0"/>
            </w:pPr>
            <w:r>
              <w:rPr>
                <w:sz w:val="24"/>
              </w:rPr>
              <w:t xml:space="preserve">+</w:t>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автоматизации холодоснабжения</w:t>
            </w:r>
          </w:p>
        </w:tc>
        <w:tc>
          <w:tcPr>
            <w:tcW w:w="780" w:type="dxa"/>
          </w:tcPr>
          <w:p>
            <w:pPr>
              <w:pStyle w:val="0"/>
            </w:pPr>
            <w:r>
              <w:rPr>
                <w:sz w:val="24"/>
              </w:rPr>
              <w:t xml:space="preserve">+</w:t>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контроля окиси углерода (СО)</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t xml:space="preserve">+</w:t>
            </w:r>
          </w:p>
        </w:tc>
      </w:tr>
      <w:tr>
        <w:tc>
          <w:tcPr>
            <w:tcW w:w="2438" w:type="dxa"/>
          </w:tcPr>
          <w:p>
            <w:pPr>
              <w:pStyle w:val="0"/>
            </w:pPr>
            <w:r>
              <w:rPr>
                <w:sz w:val="24"/>
              </w:rPr>
              <w:t xml:space="preserve">- система контроля загазованности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0" w:tooltip="&lt;8&gt; В электротехнических помещениях, библиотеках с фондами 500 тыс. ед. хранения и более и т.п. (СП 5.13130).">
              <w:r>
                <w:rPr>
                  <w:sz w:val="24"/>
                  <w:color w:val="0000ff"/>
                </w:rPr>
                <w:t xml:space="preserve">&lt;8&gt;</w:t>
              </w:r>
            </w:hyperlink>
          </w:p>
        </w:tc>
      </w:tr>
      <w:tr>
        <w:tc>
          <w:tcPr>
            <w:tcW w:w="2438" w:type="dxa"/>
          </w:tcPr>
          <w:p>
            <w:pPr>
              <w:pStyle w:val="0"/>
            </w:pPr>
            <w:r>
              <w:rPr>
                <w:sz w:val="24"/>
              </w:rPr>
              <w:t xml:space="preserve">- автоматизированная система коммерческого учета потребления энергоресурсов</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Системы противопожарной защиты:</w:t>
            </w:r>
          </w:p>
        </w:tc>
      </w:tr>
      <w:tr>
        <w:tc>
          <w:tcPr>
            <w:tcW w:w="2438" w:type="dxa"/>
          </w:tcPr>
          <w:p>
            <w:pPr>
              <w:pStyle w:val="0"/>
            </w:pPr>
            <w:r>
              <w:rPr>
                <w:sz w:val="24"/>
              </w:rPr>
              <w:t xml:space="preserve">- автоматизированная система управления активной пожарной защитой</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автоматической пожарной сигнализации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автоматического водяного пожаротушения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противопожарного водоснабжения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противодымной защиты</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газового пожаротушения</w:t>
            </w:r>
          </w:p>
        </w:tc>
        <w:tc>
          <w:tcPr>
            <w:tcW w:w="780" w:type="dxa"/>
          </w:tcPr>
          <w:p>
            <w:pPr>
              <w:pStyle w:val="0"/>
            </w:pPr>
            <w:r>
              <w:rPr>
                <w:sz w:val="24"/>
              </w:rPr>
            </w:r>
          </w:p>
        </w:tc>
        <w:tc>
          <w:tcPr>
            <w:tcW w:w="794" w:type="dxa"/>
          </w:tcPr>
          <w:p>
            <w:pPr>
              <w:pStyle w:val="0"/>
            </w:pPr>
            <w:r>
              <w:rPr>
                <w:sz w:val="24"/>
              </w:rPr>
              <w:t xml:space="preserve">+ </w:t>
            </w:r>
            <w:hyperlink w:history="0" w:anchor="P3071" w:tooltip="&lt;9&gt; В четырех- и пятизвездочных гостиницах.">
              <w:r>
                <w:rPr>
                  <w:sz w:val="24"/>
                  <w:color w:val="0000ff"/>
                </w:rPr>
                <w:t xml:space="preserve">&lt;9&gt;</w:t>
              </w:r>
            </w:hyperlink>
          </w:p>
        </w:tc>
        <w:tc>
          <w:tcPr>
            <w:tcW w:w="1587" w:type="dxa"/>
          </w:tcPr>
          <w:p>
            <w:pPr>
              <w:pStyle w:val="0"/>
            </w:pPr>
            <w:r>
              <w:rPr>
                <w:sz w:val="24"/>
              </w:rPr>
              <w:t xml:space="preserve">+ </w:t>
            </w:r>
            <w:hyperlink w:history="0" w:anchor="P3071" w:tooltip="&lt;9&gt; В четырех- и пятизвездочных гостиницах.">
              <w:r>
                <w:rPr>
                  <w:sz w:val="24"/>
                  <w:color w:val="0000ff"/>
                </w:rPr>
                <w:t xml:space="preserve">&lt;9&gt;</w:t>
              </w:r>
            </w:hyperlink>
          </w:p>
        </w:tc>
        <w:tc>
          <w:tcPr>
            <w:tcW w:w="1340" w:type="dxa"/>
          </w:tcPr>
          <w:p>
            <w:pPr>
              <w:pStyle w:val="0"/>
            </w:pPr>
            <w:r>
              <w:rPr>
                <w:sz w:val="24"/>
              </w:rPr>
              <w:t xml:space="preserve">+ </w:t>
            </w:r>
            <w:hyperlink w:history="0" w:anchor="P3071" w:tooltip="&lt;9&gt; В четырех- и пятизвездочных гостиницах.">
              <w:r>
                <w:rPr>
                  <w:sz w:val="24"/>
                  <w:color w:val="0000ff"/>
                </w:rPr>
                <w:t xml:space="preserve">&lt;9&gt;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оповещения и управления эвакуацией</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двухсторонней громкоговорящей связи с диспетчером объекта</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b w:val="on"/>
              </w:rPr>
              <w:t xml:space="preserve">Структурированная кабельная система (сеть передачи данных)</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2" w:tooltip="&lt;10&gt; В школах и библиотеках.">
              <w:r>
                <w:rPr>
                  <w:sz w:val="24"/>
                  <w:color w:val="0000ff"/>
                </w:rPr>
                <w:t xml:space="preserve">&lt;10&gt;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2" w:tooltip="&lt;10&gt; В школах и библиотеках.">
              <w:r>
                <w:rPr>
                  <w:sz w:val="24"/>
                  <w:color w:val="0000ff"/>
                </w:rPr>
                <w:t xml:space="preserve">&lt;10&gt;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2" w:tooltip="&lt;10&gt; В школах и библиотеках.">
              <w:r>
                <w:rPr>
                  <w:sz w:val="24"/>
                  <w:color w:val="0000ff"/>
                </w:rPr>
                <w:t xml:space="preserve">&lt;10&gt;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72" w:tooltip="&lt;10&gt; В школах и библиотеках.">
              <w:r>
                <w:rPr>
                  <w:sz w:val="24"/>
                  <w:color w:val="0000ff"/>
                </w:rPr>
                <w:t xml:space="preserve">&lt;10&gt;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6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b w:val="on"/>
              </w:rPr>
              <w:t xml:space="preserve">Локальные вычислительные сети</w:t>
            </w:r>
          </w:p>
        </w:tc>
        <w:tc>
          <w:tcPr>
            <w:tcW w:w="780" w:type="dxa"/>
          </w:tcPr>
          <w:p>
            <w:pPr>
              <w:pStyle w:val="0"/>
            </w:pPr>
            <w:r>
              <w:rPr>
                <w:sz w:val="24"/>
              </w:rPr>
              <w:t xml:space="preserve">+ </w:t>
            </w:r>
            <w:hyperlink w:history="0" w:anchor="P3072" w:tooltip="&lt;10&gt; В школах и библиотеках.">
              <w:r>
                <w:rPr>
                  <w:sz w:val="24"/>
                  <w:color w:val="0000ff"/>
                </w:rPr>
                <w:t xml:space="preserve">&lt;10&gt;</w:t>
              </w:r>
            </w:hyperlink>
          </w:p>
        </w:tc>
        <w:tc>
          <w:tcPr>
            <w:tcW w:w="794" w:type="dxa"/>
          </w:tcPr>
          <w:p>
            <w:pPr>
              <w:pStyle w:val="0"/>
            </w:pPr>
            <w:r>
              <w:rPr>
                <w:sz w:val="24"/>
              </w:rPr>
              <w:t xml:space="preserve">+ </w:t>
            </w:r>
            <w:hyperlink w:history="0" w:anchor="P3072" w:tooltip="&lt;10&gt; В школах и библиотеках.">
              <w:r>
                <w:rPr>
                  <w:sz w:val="24"/>
                  <w:color w:val="0000ff"/>
                </w:rPr>
                <w:t xml:space="preserve">&lt;10&gt;</w:t>
              </w:r>
            </w:hyperlink>
          </w:p>
        </w:tc>
        <w:tc>
          <w:tcPr>
            <w:tcW w:w="1587" w:type="dxa"/>
          </w:tcPr>
          <w:p>
            <w:pPr>
              <w:pStyle w:val="0"/>
            </w:pPr>
            <w:r>
              <w:rPr>
                <w:sz w:val="24"/>
              </w:rPr>
              <w:t xml:space="preserve">+ </w:t>
            </w:r>
            <w:hyperlink w:history="0" w:anchor="P3072" w:tooltip="&lt;10&gt; В школах и библиотеках.">
              <w:r>
                <w:rPr>
                  <w:sz w:val="24"/>
                  <w:color w:val="0000ff"/>
                </w:rPr>
                <w:t xml:space="preserve">&lt;10&gt;</w:t>
              </w:r>
            </w:hyperlink>
          </w:p>
        </w:tc>
        <w:tc>
          <w:tcPr>
            <w:tcW w:w="1340" w:type="dxa"/>
          </w:tcPr>
          <w:p>
            <w:pPr>
              <w:pStyle w:val="0"/>
            </w:pPr>
            <w:r>
              <w:rPr>
                <w:sz w:val="24"/>
              </w:rPr>
              <w:t xml:space="preserve">+ </w:t>
            </w:r>
            <w:hyperlink w:history="0" w:anchor="P3072" w:tooltip="&lt;10&gt; В школах и библиотеках.">
              <w:r>
                <w:rPr>
                  <w:sz w:val="24"/>
                  <w:color w:val="0000ff"/>
                </w:rPr>
                <w:t xml:space="preserve">&lt;10&gt;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9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73" w:tooltip="&lt;11&gt; В библиотеках и Интернет-кафе.">
              <w:r>
                <w:rPr>
                  <w:sz w:val="24"/>
                  <w:color w:val="0000ff"/>
                </w:rPr>
                <w:t xml:space="preserve">&lt;11&gt;</w:t>
              </w:r>
            </w:hyperlink>
          </w:p>
          <w:p>
            <w:pPr>
              <w:pStyle w:val="0"/>
            </w:pPr>
            <w:r>
              <w:rPr>
                <w:sz w:val="24"/>
              </w:rPr>
              <w:t xml:space="preserve">+ </w:t>
            </w:r>
            <w:hyperlink w:history="0" w:anchor="P306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gridSpan w:val="11"/>
            <w:tcW w:w="13597" w:type="dxa"/>
          </w:tcPr>
          <w:p>
            <w:pPr>
              <w:pStyle w:val="0"/>
            </w:pPr>
            <w:r>
              <w:rPr>
                <w:sz w:val="24"/>
                <w:b w:val="on"/>
              </w:rPr>
              <w:t xml:space="preserve">Охранные системы:</w:t>
            </w:r>
          </w:p>
        </w:tc>
      </w:tr>
      <w:tr>
        <w:tc>
          <w:tcPr>
            <w:tcW w:w="2438" w:type="dxa"/>
          </w:tcPr>
          <w:p>
            <w:pPr>
              <w:pStyle w:val="0"/>
            </w:pPr>
            <w:r>
              <w:rPr>
                <w:sz w:val="24"/>
              </w:rPr>
              <w:t xml:space="preserve">- система охранной сигнализации, система тревожно-вызывной сигнализации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видеонаблюдения (охранного телевидения)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контроля и управления доступом</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досмотровая техника</w:t>
            </w:r>
          </w:p>
        </w:tc>
        <w:tc>
          <w:tcPr>
            <w:tcW w:w="780" w:type="dxa"/>
          </w:tcPr>
          <w:p>
            <w:pPr>
              <w:pStyle w:val="0"/>
            </w:pPr>
            <w:r>
              <w:rPr>
                <w:sz w:val="24"/>
              </w:rPr>
            </w:r>
          </w:p>
        </w:tc>
        <w:tc>
          <w:tcPr>
            <w:tcW w:w="794" w:type="dxa"/>
          </w:tcPr>
          <w:p>
            <w:pPr>
              <w:pStyle w:val="0"/>
            </w:pPr>
            <w:r>
              <w:rPr>
                <w:sz w:val="24"/>
              </w:rPr>
              <w:t xml:space="preserve">+ </w:t>
            </w:r>
            <w:hyperlink w:history="0" w:anchor="P3065" w:tooltip="&lt;3&gt; В общеобразовательных учреждениях.">
              <w:r>
                <w:rPr>
                  <w:sz w:val="24"/>
                  <w:color w:val="0000ff"/>
                </w:rPr>
                <w:t xml:space="preserve">&lt;3&gt;</w:t>
              </w:r>
            </w:hyperlink>
          </w:p>
        </w:tc>
        <w:tc>
          <w:tcPr>
            <w:tcW w:w="1587" w:type="dxa"/>
          </w:tcPr>
          <w:p>
            <w:pPr>
              <w:pStyle w:val="0"/>
            </w:pPr>
            <w:r>
              <w:rPr>
                <w:sz w:val="24"/>
              </w:rPr>
              <w:t xml:space="preserve">+ </w:t>
            </w:r>
            <w:hyperlink w:history="0" w:anchor="P3065" w:tooltip="&lt;3&gt; В общеобразовательных учреждениях.">
              <w:r>
                <w:rPr>
                  <w:sz w:val="24"/>
                  <w:color w:val="0000ff"/>
                </w:rPr>
                <w:t xml:space="preserve">&lt;3&gt;</w:t>
              </w:r>
            </w:hyperlink>
          </w:p>
        </w:tc>
        <w:tc>
          <w:tcPr>
            <w:tcW w:w="1340" w:type="dxa"/>
          </w:tcPr>
          <w:p>
            <w:pPr>
              <w:pStyle w:val="0"/>
            </w:pPr>
            <w:r>
              <w:rPr>
                <w:sz w:val="24"/>
              </w:rPr>
              <w:t xml:space="preserve">+ </w:t>
            </w:r>
            <w:hyperlink w:history="0" w:anchor="P3065" w:tooltip="&lt;3&gt; В общеобразовательных учреждениях.">
              <w:r>
                <w:rPr>
                  <w:sz w:val="24"/>
                  <w:color w:val="0000ff"/>
                </w:rPr>
                <w:t xml:space="preserve">&lt;3&gt;</w:t>
              </w:r>
            </w:hyperlink>
          </w:p>
        </w:tc>
        <w:tc>
          <w:tcPr>
            <w:tcW w:w="1361" w:type="dxa"/>
          </w:tcPr>
          <w:p>
            <w:pPr>
              <w:pStyle w:val="0"/>
            </w:pPr>
            <w:r>
              <w:rPr>
                <w:sz w:val="24"/>
              </w:rPr>
              <w:t xml:space="preserve">+ </w:t>
            </w:r>
            <w:hyperlink w:history="0" w:anchor="P3065" w:tooltip="&lt;3&gt; В общеобразовательных учреждениях.">
              <w:r>
                <w:rPr>
                  <w:sz w:val="24"/>
                  <w:color w:val="0000ff"/>
                </w:rPr>
                <w:t xml:space="preserve">&lt;3&gt;</w:t>
              </w:r>
            </w:hyperlink>
          </w:p>
        </w:tc>
        <w:tc>
          <w:tcPr>
            <w:tcW w:w="1125" w:type="dxa"/>
          </w:tcPr>
          <w:p>
            <w:pPr>
              <w:pStyle w:val="0"/>
            </w:pPr>
            <w:r>
              <w:rPr>
                <w:sz w:val="24"/>
              </w:rPr>
              <w:t xml:space="preserve">+ </w:t>
            </w:r>
            <w:hyperlink w:history="0" w:anchor="P3065" w:tooltip="&lt;3&gt; В общеобразовательных учреждениях.">
              <w:r>
                <w:rPr>
                  <w:sz w:val="24"/>
                  <w:color w:val="0000ff"/>
                </w:rPr>
                <w:t xml:space="preserve">&lt;3&gt;</w:t>
              </w:r>
            </w:hyperlink>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охраны входов</w:t>
            </w:r>
          </w:p>
        </w:tc>
        <w:tc>
          <w:tcPr>
            <w:tcW w:w="780" w:type="dxa"/>
          </w:tcPr>
          <w:p>
            <w:pPr>
              <w:pStyle w:val="0"/>
            </w:pPr>
            <w:r>
              <w:rPr>
                <w:sz w:val="24"/>
              </w:rPr>
              <w:t xml:space="preserve">+</w:t>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pPr>
            <w:r>
              <w:rPr>
                <w:sz w:val="24"/>
                <w:b w:val="on"/>
              </w:rPr>
              <w:t xml:space="preserve">Системы мониторинга состояния здания:</w:t>
            </w:r>
          </w:p>
        </w:tc>
      </w:tr>
      <w:tr>
        <w:tc>
          <w:tcPr>
            <w:tcW w:w="2438" w:type="dxa"/>
          </w:tcPr>
          <w:p>
            <w:pPr>
              <w:pStyle w:val="0"/>
            </w:pPr>
            <w:r>
              <w:rPr>
                <w:sz w:val="24"/>
              </w:rPr>
              <w:t xml:space="preserve">- структурированная система мониторинга и управления инженерными системами зданий и сооружений с каналом передачи информации в единую систему оперативно-диспетчерского управления в чрезвычайных ситуациях (СМИС)</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мониторинга основных элементов конструкций здания (СМИК)</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Прочие специализированные системы:</w:t>
            </w:r>
          </w:p>
        </w:tc>
      </w:tr>
      <w:tr>
        <w:tc>
          <w:tcPr>
            <w:tcW w:w="2438" w:type="dxa"/>
          </w:tcPr>
          <w:p>
            <w:pPr>
              <w:pStyle w:val="0"/>
            </w:pPr>
            <w:r>
              <w:rPr>
                <w:sz w:val="24"/>
              </w:rPr>
              <w:t xml:space="preserve">- электрочасофикация</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w:t>
            </w:r>
          </w:p>
        </w:tc>
        <w:tc>
          <w:tcPr>
            <w:tcW w:w="907" w:type="dxa"/>
          </w:tcPr>
          <w:p>
            <w:pPr>
              <w:pStyle w:val="0"/>
            </w:pPr>
            <w:r>
              <w:rPr>
                <w:sz w:val="24"/>
              </w:rPr>
            </w:r>
          </w:p>
        </w:tc>
      </w:tr>
      <w:tr>
        <w:tc>
          <w:tcPr>
            <w:tcW w:w="2438" w:type="dxa"/>
          </w:tcPr>
          <w:p>
            <w:pPr>
              <w:pStyle w:val="0"/>
            </w:pPr>
            <w:r>
              <w:rPr>
                <w:sz w:val="24"/>
              </w:rPr>
              <w:t xml:space="preserve">- система управления гостиницей</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звукоусиление залов и помещений</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t xml:space="preserve">+</w:t>
            </w:r>
          </w:p>
        </w:tc>
        <w:tc>
          <w:tcPr>
            <w:tcW w:w="1077" w:type="dxa"/>
          </w:tcPr>
          <w:p>
            <w:pPr>
              <w:pStyle w:val="0"/>
            </w:pPr>
            <w:r>
              <w:rPr>
                <w:sz w:val="24"/>
              </w:rPr>
              <w:t xml:space="preserve">+</w:t>
            </w:r>
          </w:p>
        </w:tc>
        <w:tc>
          <w:tcPr>
            <w:tcW w:w="1191" w:type="dxa"/>
          </w:tcPr>
          <w:p>
            <w:pPr>
              <w:pStyle w:val="0"/>
            </w:pPr>
            <w:r>
              <w:rPr>
                <w:sz w:val="24"/>
              </w:rPr>
            </w:r>
          </w:p>
        </w:tc>
        <w:tc>
          <w:tcPr>
            <w:tcW w:w="997" w:type="dxa"/>
          </w:tcPr>
          <w:p>
            <w:pPr>
              <w:pStyle w:val="0"/>
            </w:pPr>
            <w:r>
              <w:rPr>
                <w:sz w:val="24"/>
              </w:rPr>
              <w:t xml:space="preserve">+ </w:t>
            </w:r>
            <w:hyperlink w:history="0" w:anchor="P306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системы видеопроекции</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w:t>
            </w:r>
          </w:p>
        </w:tc>
        <w:tc>
          <w:tcPr>
            <w:tcW w:w="907" w:type="dxa"/>
          </w:tcPr>
          <w:p>
            <w:pPr>
              <w:pStyle w:val="0"/>
            </w:pPr>
            <w:r>
              <w:rPr>
                <w:sz w:val="24"/>
              </w:rPr>
            </w:r>
          </w:p>
        </w:tc>
      </w:tr>
      <w:tr>
        <w:tc>
          <w:tcPr>
            <w:tcW w:w="2438" w:type="dxa"/>
          </w:tcPr>
          <w:p>
            <w:pPr>
              <w:pStyle w:val="0"/>
            </w:pPr>
            <w:r>
              <w:rPr>
                <w:sz w:val="24"/>
              </w:rPr>
              <w:t xml:space="preserve">- системы кинофикации</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лингафонные системы</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6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конференц-системы</w:t>
            </w:r>
          </w:p>
        </w:tc>
        <w:tc>
          <w:tcPr>
            <w:tcW w:w="780" w:type="dxa"/>
          </w:tcPr>
          <w:p>
            <w:pPr>
              <w:pStyle w:val="0"/>
            </w:pPr>
            <w:r>
              <w:rPr>
                <w:sz w:val="24"/>
              </w:rPr>
            </w:r>
          </w:p>
        </w:tc>
        <w:tc>
          <w:tcPr>
            <w:tcW w:w="794"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191" w:type="dxa"/>
          </w:tcPr>
          <w:p>
            <w:pPr>
              <w:pStyle w:val="0"/>
            </w:pPr>
            <w:r>
              <w:rPr>
                <w:sz w:val="24"/>
              </w:rPr>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907" w:type="dxa"/>
          </w:tcPr>
          <w:p>
            <w:pPr>
              <w:pStyle w:val="0"/>
            </w:pPr>
            <w:r>
              <w:rPr>
                <w:sz w:val="24"/>
              </w:rPr>
            </w:r>
          </w:p>
        </w:tc>
      </w:tr>
      <w:tr>
        <w:tc>
          <w:tcPr>
            <w:tcW w:w="2438" w:type="dxa"/>
          </w:tcPr>
          <w:p>
            <w:pPr>
              <w:pStyle w:val="0"/>
            </w:pPr>
            <w:r>
              <w:rPr>
                <w:sz w:val="24"/>
              </w:rPr>
              <w:t xml:space="preserve">- система перевода речи</w:t>
            </w:r>
          </w:p>
        </w:tc>
        <w:tc>
          <w:tcPr>
            <w:tcW w:w="780" w:type="dxa"/>
          </w:tcPr>
          <w:p>
            <w:pPr>
              <w:pStyle w:val="0"/>
            </w:pPr>
            <w:r>
              <w:rPr>
                <w:sz w:val="24"/>
              </w:rPr>
            </w:r>
          </w:p>
        </w:tc>
        <w:tc>
          <w:tcPr>
            <w:tcW w:w="794"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5" w:tooltip="&lt;3&gt; В общеобразовательных учреждениях.">
              <w:r>
                <w:rPr>
                  <w:sz w:val="24"/>
                  <w:color w:val="0000ff"/>
                </w:rPr>
                <w:t xml:space="preserve">&lt;3&gt;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местные звуковые мини-студии</w:t>
            </w:r>
          </w:p>
        </w:tc>
        <w:tc>
          <w:tcPr>
            <w:tcW w:w="780" w:type="dxa"/>
          </w:tcPr>
          <w:p>
            <w:pPr>
              <w:pStyle w:val="0"/>
            </w:pPr>
            <w:r>
              <w:rPr>
                <w:sz w:val="24"/>
              </w:rPr>
            </w:r>
          </w:p>
        </w:tc>
        <w:tc>
          <w:tcPr>
            <w:tcW w:w="794" w:type="dxa"/>
          </w:tcPr>
          <w:p>
            <w:pPr>
              <w:pStyle w:val="0"/>
            </w:pPr>
            <w:r>
              <w:rPr>
                <w:sz w:val="24"/>
              </w:rPr>
            </w:r>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40" w:type="dxa"/>
          </w:tcPr>
          <w:p>
            <w:pPr>
              <w:pStyle w:val="0"/>
            </w:pPr>
            <w:r>
              <w:rPr>
                <w:sz w:val="24"/>
              </w:rPr>
            </w:r>
          </w:p>
        </w:tc>
        <w:tc>
          <w:tcPr>
            <w:tcW w:w="1361" w:type="dxa"/>
          </w:tcPr>
          <w:p>
            <w:pPr>
              <w:pStyle w:val="0"/>
            </w:pPr>
            <w:r>
              <w:rPr>
                <w:sz w:val="24"/>
              </w:rPr>
            </w:r>
          </w:p>
        </w:tc>
        <w:tc>
          <w:tcPr>
            <w:tcW w:w="1125"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ind w:firstLine="283"/>
              <w:jc w:val="both"/>
            </w:pPr>
            <w:r>
              <w:rPr>
                <w:sz w:val="24"/>
              </w:rPr>
              <w:t xml:space="preserve">Обозначения:</w:t>
            </w:r>
          </w:p>
          <w:p>
            <w:pPr>
              <w:pStyle w:val="0"/>
              <w:ind w:firstLine="283"/>
              <w:jc w:val="both"/>
            </w:pPr>
            <w:r>
              <w:rPr>
                <w:sz w:val="24"/>
              </w:rPr>
              <w:t xml:space="preserve">"</w:t>
            </w: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 обязательные системы, которыми оснащается здание (комплекс) в целом;</w:t>
            </w:r>
          </w:p>
          <w:p>
            <w:pPr>
              <w:pStyle w:val="0"/>
              <w:ind w:firstLine="283"/>
              <w:jc w:val="both"/>
            </w:pPr>
            <w:r>
              <w:rPr>
                <w:sz w:val="24"/>
              </w:rPr>
              <w:t xml:space="preserve">"+" - обязательные системы для функциональной группы;</w:t>
            </w:r>
          </w:p>
          <w:p>
            <w:pPr>
              <w:pStyle w:val="0"/>
              <w:ind w:firstLine="283"/>
              <w:jc w:val="both"/>
            </w:pPr>
            <w:r>
              <w:rPr>
                <w:sz w:val="24"/>
              </w:rPr>
              <w:t xml:space="preserve">"</w:t>
            </w: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 системы, которыми обычно оснащаются современные функциональные группы для обеспечения их экономической эффективности.</w:t>
            </w:r>
          </w:p>
          <w:p>
            <w:pPr>
              <w:pStyle w:val="0"/>
            </w:pPr>
            <w:r>
              <w:rPr>
                <w:sz w:val="24"/>
              </w:rPr>
            </w:r>
          </w:p>
          <w:p>
            <w:pPr>
              <w:pStyle w:val="0"/>
              <w:ind w:firstLine="283"/>
              <w:jc w:val="both"/>
            </w:pPr>
            <w:r>
              <w:rPr>
                <w:sz w:val="24"/>
              </w:rPr>
              <w:t xml:space="preserve">--------------------------------</w:t>
            </w:r>
          </w:p>
          <w:bookmarkStart w:id="3063" w:name="P3063"/>
          <w:bookmarkEnd w:id="3063"/>
          <w:p>
            <w:pPr>
              <w:pStyle w:val="0"/>
              <w:ind w:firstLine="283"/>
              <w:jc w:val="both"/>
            </w:pPr>
            <w:r>
              <w:rPr>
                <w:sz w:val="24"/>
              </w:rPr>
              <w:t xml:space="preserve">&lt;1&gt; При применении вместо городской проводной радиотрансляции для передачи сигналов оповещения Управления государственного пожарного надзора о чрезвычайных ситуациях.</w:t>
            </w:r>
          </w:p>
          <w:bookmarkStart w:id="3064" w:name="P3064"/>
          <w:bookmarkEnd w:id="3064"/>
          <w:p>
            <w:pPr>
              <w:pStyle w:val="0"/>
              <w:ind w:firstLine="283"/>
              <w:jc w:val="both"/>
            </w:pPr>
            <w:r>
              <w:rPr>
                <w:sz w:val="24"/>
              </w:rPr>
              <w:t xml:space="preserve">&lt;2&gt; Для систем жизнеобеспечения и безопасности зданий, для других технологических целей (по заданию на проектирование).</w:t>
            </w:r>
          </w:p>
          <w:bookmarkStart w:id="3065" w:name="P3065"/>
          <w:bookmarkEnd w:id="3065"/>
          <w:p>
            <w:pPr>
              <w:pStyle w:val="0"/>
              <w:ind w:firstLine="283"/>
              <w:jc w:val="both"/>
            </w:pPr>
            <w:r>
              <w:rPr>
                <w:sz w:val="24"/>
              </w:rPr>
              <w:t xml:space="preserve">&lt;3&gt; В общеобразовательных учреждениях.</w:t>
            </w:r>
          </w:p>
          <w:bookmarkStart w:id="3066" w:name="P3066"/>
          <w:bookmarkEnd w:id="3066"/>
          <w:p>
            <w:pPr>
              <w:pStyle w:val="0"/>
              <w:ind w:firstLine="283"/>
              <w:jc w:val="both"/>
            </w:pPr>
            <w:r>
              <w:rPr>
                <w:sz w:val="24"/>
              </w:rPr>
              <w:t xml:space="preserve">&lt;4&gt; Для служб эксплуатации и безопасности зданий, для других технологических целей по заданию на проектирование.</w:t>
            </w:r>
          </w:p>
          <w:bookmarkStart w:id="3067" w:name="P3067"/>
          <w:bookmarkEnd w:id="3067"/>
          <w:p>
            <w:pPr>
              <w:pStyle w:val="0"/>
              <w:ind w:firstLine="283"/>
              <w:jc w:val="both"/>
            </w:pPr>
            <w:r>
              <w:rPr>
                <w:sz w:val="24"/>
              </w:rPr>
              <w:t xml:space="preserve">&lt;5&gt; При наличии источников опасных газов.</w:t>
            </w:r>
          </w:p>
          <w:bookmarkStart w:id="3068" w:name="P3068"/>
          <w:bookmarkEnd w:id="3068"/>
          <w:p>
            <w:pPr>
              <w:pStyle w:val="0"/>
              <w:ind w:firstLine="283"/>
              <w:jc w:val="both"/>
            </w:pPr>
            <w:r>
              <w:rPr>
                <w:sz w:val="24"/>
              </w:rPr>
              <w:t xml:space="preserve">&lt;6&gt; Система, интегрированная в автоматизированный комплекс управления системами активной противопожарной защиты </w:t>
            </w:r>
            <w:hyperlink w:history="0" r:id="rId422"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w:t>
            </w:r>
          </w:p>
          <w:bookmarkStart w:id="3069" w:name="P3069"/>
          <w:bookmarkEnd w:id="3069"/>
          <w:p>
            <w:pPr>
              <w:pStyle w:val="0"/>
              <w:ind w:firstLine="283"/>
              <w:jc w:val="both"/>
            </w:pPr>
            <w:r>
              <w:rPr>
                <w:sz w:val="24"/>
              </w:rPr>
              <w:t xml:space="preserve">&lt;7&gt; При залах и сценах.</w:t>
            </w:r>
          </w:p>
          <w:bookmarkStart w:id="3070" w:name="P3070"/>
          <w:bookmarkEnd w:id="3070"/>
          <w:p>
            <w:pPr>
              <w:pStyle w:val="0"/>
              <w:ind w:firstLine="283"/>
              <w:jc w:val="both"/>
            </w:pPr>
            <w:r>
              <w:rPr>
                <w:sz w:val="24"/>
              </w:rPr>
              <w:t xml:space="preserve">&lt;8&gt; В электротехнических помещениях, библиотеках с фондами 500 тыс. ед. хранения и более и т.п. </w:t>
            </w:r>
            <w:hyperlink w:history="0" r:id="rId423"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w:t>
            </w:r>
          </w:p>
          <w:bookmarkStart w:id="3071" w:name="P3071"/>
          <w:bookmarkEnd w:id="3071"/>
          <w:p>
            <w:pPr>
              <w:pStyle w:val="0"/>
              <w:ind w:firstLine="283"/>
              <w:jc w:val="both"/>
            </w:pPr>
            <w:r>
              <w:rPr>
                <w:sz w:val="24"/>
              </w:rPr>
              <w:t xml:space="preserve">&lt;9&gt; В четырех- и пятизвездочных гостиницах.</w:t>
            </w:r>
          </w:p>
          <w:bookmarkStart w:id="3072" w:name="P3072"/>
          <w:bookmarkEnd w:id="3072"/>
          <w:p>
            <w:pPr>
              <w:pStyle w:val="0"/>
              <w:ind w:firstLine="283"/>
              <w:jc w:val="both"/>
            </w:pPr>
            <w:r>
              <w:rPr>
                <w:sz w:val="24"/>
              </w:rPr>
              <w:t xml:space="preserve">&lt;10&gt; В школах и библиотеках.</w:t>
            </w:r>
          </w:p>
          <w:bookmarkStart w:id="3073" w:name="P3073"/>
          <w:bookmarkEnd w:id="3073"/>
          <w:p>
            <w:pPr>
              <w:pStyle w:val="0"/>
              <w:ind w:firstLine="283"/>
              <w:jc w:val="both"/>
            </w:pPr>
            <w:r>
              <w:rPr>
                <w:sz w:val="24"/>
              </w:rPr>
              <w:t xml:space="preserve">&lt;11&gt; В библиотеках и Интернет-кафе.</w:t>
            </w:r>
          </w:p>
          <w:p>
            <w:pPr>
              <w:pStyle w:val="0"/>
              <w:ind w:firstLine="283"/>
              <w:jc w:val="both"/>
            </w:pPr>
            <w:r>
              <w:rPr>
                <w:sz w:val="24"/>
              </w:rPr>
              <w:t xml:space="preserve">&lt;12&gt; При наличии залов для проведения конференций.</w:t>
            </w:r>
          </w:p>
          <w:p>
            <w:pPr>
              <w:pStyle w:val="0"/>
              <w:ind w:firstLine="283"/>
              <w:jc w:val="both"/>
            </w:pPr>
            <w:r>
              <w:rPr>
                <w:sz w:val="24"/>
              </w:rPr>
              <w:t xml:space="preserve">&lt;13&gt; При наличии залов международного совещательного уровня.</w:t>
            </w:r>
          </w:p>
        </w:tc>
      </w:tr>
    </w:tbl>
    <w:p>
      <w:pPr>
        <w:sectPr>
          <w:headerReference w:type="default" r:id="rId398"/>
          <w:headerReference w:type="first" r:id="rId398"/>
          <w:footerReference w:type="default" r:id="rId399"/>
          <w:footerReference w:type="first" r:id="rId399"/>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81" w:name="P3081"/>
    <w:bookmarkEnd w:id="3081"/>
    <w:p>
      <w:pPr>
        <w:pStyle w:val="2"/>
        <w:outlineLvl w:val="0"/>
        <w:jc w:val="center"/>
      </w:pPr>
      <w:r>
        <w:rPr>
          <w:sz w:val="24"/>
        </w:rPr>
        <w:t xml:space="preserve">БИБЛИОГРАФИЯ</w:t>
      </w:r>
    </w:p>
    <w:p>
      <w:pPr>
        <w:pStyle w:val="0"/>
        <w:jc w:val="center"/>
      </w:pPr>
      <w:r>
        <w:rPr>
          <w:sz w:val="24"/>
        </w:rPr>
      </w:r>
    </w:p>
    <w:p>
      <w:pPr>
        <w:pStyle w:val="0"/>
        <w:jc w:val="center"/>
      </w:pPr>
      <w:r>
        <w:rPr>
          <w:sz w:val="24"/>
        </w:rPr>
        <w:t xml:space="preserve">(в ред. </w:t>
      </w:r>
      <w:hyperlink w:history="0" r:id="rId42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bookmarkStart w:id="3086" w:name="P3086"/>
    <w:bookmarkEnd w:id="3086"/>
    <w:p>
      <w:pPr>
        <w:pStyle w:val="0"/>
        <w:ind w:firstLine="540"/>
        <w:jc w:val="both"/>
      </w:pPr>
      <w:r>
        <w:rPr>
          <w:sz w:val="24"/>
        </w:rPr>
        <w:t xml:space="preserve">[1] Федеральный </w:t>
      </w:r>
      <w:hyperlink w:history="0" r:id="rId425"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3087" w:name="P3087"/>
    <w:bookmarkEnd w:id="3087"/>
    <w:p>
      <w:pPr>
        <w:pStyle w:val="0"/>
        <w:spacing w:before="240" w:lineRule="auto"/>
        <w:ind w:firstLine="540"/>
        <w:jc w:val="both"/>
      </w:pPr>
      <w:r>
        <w:rPr>
          <w:sz w:val="24"/>
        </w:rPr>
        <w:t xml:space="preserve">[2] Федеральный </w:t>
      </w:r>
      <w:hyperlink w:history="0" r:id="rId42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3088" w:name="P3088"/>
    <w:bookmarkEnd w:id="3088"/>
    <w:p>
      <w:pPr>
        <w:pStyle w:val="0"/>
        <w:spacing w:before="240" w:lineRule="auto"/>
        <w:ind w:firstLine="540"/>
        <w:jc w:val="both"/>
      </w:pPr>
      <w:r>
        <w:rPr>
          <w:sz w:val="24"/>
        </w:rPr>
        <w:t xml:space="preserve">[3] Федеральный </w:t>
      </w:r>
      <w:hyperlink w:history="0" r:id="rId427" w:tooltip="Федеральный закон от 23.11.2009 N 261-ФЗ (ред. от 23.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089" w:name="P3089"/>
    <w:bookmarkEnd w:id="3089"/>
    <w:p>
      <w:pPr>
        <w:pStyle w:val="0"/>
        <w:spacing w:before="240" w:lineRule="auto"/>
        <w:ind w:firstLine="540"/>
        <w:jc w:val="both"/>
      </w:pPr>
      <w:r>
        <w:rPr>
          <w:sz w:val="24"/>
        </w:rPr>
        <w:t xml:space="preserve">[4] Федеральный </w:t>
      </w:r>
      <w:hyperlink w:history="0" r:id="rId428" w:tooltip="Федеральный закон от 30.03.1999 N 52-ФЗ (ред. от 26.12.2024) &quot;О санитарно-эпидемиологическом благополучии населения&quot; (с изм. и доп., вступ. в силу с 01.07.2025) ------------ Недействующая редакция {КонсультантПлюс}">
        <w:r>
          <w:rPr>
            <w:sz w:val="24"/>
            <w:color w:val="0000ff"/>
          </w:rPr>
          <w:t xml:space="preserve">закон</w:t>
        </w:r>
      </w:hyperlink>
      <w:r>
        <w:rPr>
          <w:sz w:val="24"/>
        </w:rPr>
        <w:t xml:space="preserve"> от 30 марта 1999 г. N 52-ФЗ "О санитарно-эпидемиологическом благополучии населения"</w:t>
      </w:r>
    </w:p>
    <w:bookmarkStart w:id="3090" w:name="P3090"/>
    <w:bookmarkEnd w:id="3090"/>
    <w:p>
      <w:pPr>
        <w:pStyle w:val="0"/>
        <w:spacing w:before="240" w:lineRule="auto"/>
        <w:ind w:firstLine="540"/>
        <w:jc w:val="both"/>
      </w:pPr>
      <w:r>
        <w:rPr>
          <w:sz w:val="24"/>
        </w:rPr>
        <w:t xml:space="preserve">[5] Единые санитарно-эпидемиологические и гигиенические </w:t>
      </w:r>
      <w:hyperlink w:history="0" r:id="rId429" w:tooltip="Решение Комиссии Таможенного союза от 28.05.2010 N 299 (ред. от 22.01.2025) &quot;О применении санитарных мер в Евразийском экономическом союзе&quot; (с изм. и доп., вступ. в силу с 26.03.2025)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3091" w:name="P3091"/>
    <w:bookmarkEnd w:id="3091"/>
    <w:p>
      <w:pPr>
        <w:pStyle w:val="0"/>
        <w:spacing w:before="240" w:lineRule="auto"/>
        <w:ind w:firstLine="540"/>
        <w:jc w:val="both"/>
      </w:pPr>
      <w:r>
        <w:rPr>
          <w:sz w:val="24"/>
        </w:rPr>
        <w:t xml:space="preserve">[6] </w:t>
      </w:r>
      <w:r>
        <w:rPr>
          <w:sz w:val="24"/>
        </w:rPr>
        <w:t xml:space="preserve">ПУЭ</w:t>
      </w:r>
      <w:r>
        <w:rPr>
          <w:sz w:val="24"/>
        </w:rPr>
        <w:t xml:space="preserve"> Правила устройства электроустановок (7-е изд.)</w:t>
      </w:r>
    </w:p>
    <w:bookmarkStart w:id="3092" w:name="P3092"/>
    <w:bookmarkEnd w:id="3092"/>
    <w:p>
      <w:pPr>
        <w:pStyle w:val="0"/>
        <w:spacing w:before="240" w:lineRule="auto"/>
        <w:ind w:firstLine="540"/>
        <w:jc w:val="both"/>
      </w:pPr>
      <w:r>
        <w:rPr>
          <w:sz w:val="24"/>
        </w:rPr>
        <w:t xml:space="preserve">[7] </w:t>
      </w:r>
      <w:hyperlink w:history="0" r:id="rId430"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ТР ЕАЭС 043/2017</w:t>
        </w:r>
      </w:hyperlink>
      <w:r>
        <w:rPr>
          <w:sz w:val="24"/>
        </w:rPr>
        <w:t xml:space="preserve"> Технический регламент Евразийского экономического союза "О требованиях к средствам обеспечения пожарной безопасности и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4"/>
        <w:gridCol w:w="4534"/>
      </w:tblGrid>
      <w:tr>
        <w:tc>
          <w:tcPr>
            <w:tcW w:w="4534" w:type="dxa"/>
            <w:tcBorders>
              <w:top w:val="single" w:sz="4"/>
              <w:left w:val="nil"/>
              <w:bottom w:val="nil"/>
              <w:right w:val="nil"/>
            </w:tcBorders>
          </w:tcPr>
          <w:p>
            <w:pPr>
              <w:pStyle w:val="0"/>
              <w:jc w:val="both"/>
            </w:pPr>
            <w:r>
              <w:rPr>
                <w:sz w:val="24"/>
              </w:rPr>
              <w:t xml:space="preserve">УДК 696.1</w:t>
            </w:r>
          </w:p>
        </w:tc>
        <w:tc>
          <w:tcPr>
            <w:tcW w:w="4534" w:type="dxa"/>
            <w:tcBorders>
              <w:top w:val="single" w:sz="4"/>
              <w:left w:val="nil"/>
              <w:bottom w:val="nil"/>
              <w:right w:val="nil"/>
            </w:tcBorders>
          </w:tcPr>
          <w:p>
            <w:pPr>
              <w:pStyle w:val="0"/>
              <w:jc w:val="right"/>
            </w:pPr>
            <w:r>
              <w:rPr>
                <w:sz w:val="24"/>
              </w:rPr>
              <w:t xml:space="preserve">ОКС </w:t>
            </w:r>
            <w:hyperlink w:history="0" r:id="rId431"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w:t>
              </w:r>
            </w:hyperlink>
          </w:p>
        </w:tc>
      </w:tr>
      <w:tr>
        <w:tc>
          <w:tcPr>
            <w:gridSpan w:val="2"/>
            <w:tcW w:w="9068" w:type="dxa"/>
            <w:tcBorders>
              <w:top w:val="nil"/>
              <w:left w:val="nil"/>
              <w:bottom w:val="single" w:sz="4"/>
              <w:right w:val="nil"/>
            </w:tcBorders>
          </w:tcPr>
          <w:p>
            <w:pPr>
              <w:pStyle w:val="0"/>
              <w:jc w:val="both"/>
            </w:pPr>
            <w:r>
              <w:rPr>
                <w:sz w:val="24"/>
              </w:rPr>
              <w:t xml:space="preserve">Ключевые слова: высотные здания, теплоснабжение, отопление, вентиляция, кондиционирование, холодоснабжение, канализация, электроснабжение, электрооборудование, системы связи, сигнализации, автоматизации и диспетчеризации.</w:t>
            </w:r>
          </w:p>
        </w:tc>
      </w:tr>
    </w:tbl>
    <w:p>
      <w:pPr>
        <w:pStyle w:val="0"/>
        <w:jc w:val="both"/>
      </w:pPr>
      <w:r>
        <w:rPr>
          <w:sz w:val="24"/>
        </w:rPr>
      </w:r>
    </w:p>
    <w:p>
      <w:pPr>
        <w:pStyle w:val="0"/>
        <w:jc w:val="right"/>
      </w:pPr>
      <w:r>
        <w:rPr>
          <w:sz w:val="24"/>
        </w:rPr>
        <w:t xml:space="preserve">Руководитель разработки</w:t>
      </w:r>
    </w:p>
    <w:p>
      <w:pPr>
        <w:pStyle w:val="0"/>
        <w:jc w:val="right"/>
      </w:pPr>
      <w:r>
        <w:rPr>
          <w:sz w:val="24"/>
        </w:rPr>
        <w:t xml:space="preserve">Генеральный директор</w:t>
      </w:r>
    </w:p>
    <w:p>
      <w:pPr>
        <w:pStyle w:val="0"/>
        <w:jc w:val="right"/>
      </w:pPr>
      <w:r>
        <w:rPr>
          <w:sz w:val="24"/>
        </w:rPr>
        <w:t xml:space="preserve">ЗАО "ИСЗС-Консалт"</w:t>
      </w:r>
    </w:p>
    <w:p>
      <w:pPr>
        <w:pStyle w:val="0"/>
        <w:jc w:val="right"/>
      </w:pPr>
      <w:r>
        <w:rPr>
          <w:sz w:val="24"/>
        </w:rPr>
        <w:t xml:space="preserve">В.А.КАРЛИКОВ</w:t>
      </w:r>
    </w:p>
    <w:p>
      <w:pPr>
        <w:pStyle w:val="0"/>
        <w:jc w:val="right"/>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253.1325800.2016. Свод правил. Инженерные системы высотных зданий"</w:t>
            <w:br/>
            <w:t>(утв. и введен в действие Приказом Минстроя Росси...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253.1325800.2016. Свод правил. Инженерные системы высотных зданий"</w:t>
            <w:br/>
            <w:t>(утв. и введен в действие Приказом Минстроя Росси...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8&amp;date=03.04.2026" TargetMode = "External"/><Relationship Id="rId9" Type="http://schemas.openxmlformats.org/officeDocument/2006/relationships/hyperlink" Target="https://login.consultant.ru/link/?req=doc&amp;base=STR&amp;n=28623&amp;date=03.04.2026&amp;dst=100009&amp;field=134" TargetMode = "External"/><Relationship Id="rId10" Type="http://schemas.openxmlformats.org/officeDocument/2006/relationships/hyperlink" Target="https://login.consultant.ru/link/?req=doc&amp;base=LAW&amp;n=411356&amp;date=03.04.2026&amp;dst=100005&amp;field=134" TargetMode = "External"/><Relationship Id="rId11" Type="http://schemas.openxmlformats.org/officeDocument/2006/relationships/hyperlink" Target="https://login.consultant.ru/link/?req=doc&amp;base=STR&amp;n=34312&amp;date=03.04.2026&amp;dst=100006&amp;field=134" TargetMode = "External"/><Relationship Id="rId12" Type="http://schemas.openxmlformats.org/officeDocument/2006/relationships/hyperlink" Target="https://login.consultant.ru/link/?req=doc&amp;base=LAW&amp;n=491208&amp;date=03.04.2026&amp;dst=100006&amp;field=134" TargetMode = "External"/><Relationship Id="rId13" Type="http://schemas.openxmlformats.org/officeDocument/2006/relationships/hyperlink" Target="https://login.consultant.ru/link/?req=doc&amp;base=LAW&amp;n=456140&amp;date=03.04.2026&amp;dst=101337&amp;field=134" TargetMode = "External"/><Relationship Id="rId14" Type="http://schemas.openxmlformats.org/officeDocument/2006/relationships/hyperlink" Target="https://login.consultant.ru/link/?req=doc&amp;base=LAW&amp;n=275788&amp;date=03.04.2026&amp;dst=100005&amp;field=134" TargetMode = "External"/><Relationship Id="rId15" Type="http://schemas.openxmlformats.org/officeDocument/2006/relationships/hyperlink" Target="https://login.consultant.ru/link/?req=doc&amp;base=LAW&amp;n=471020&amp;date=03.04.2026&amp;dst=100052&amp;field=134" TargetMode = "External"/><Relationship Id="rId16" Type="http://schemas.openxmlformats.org/officeDocument/2006/relationships/hyperlink" Target="https://login.consultant.ru/link/?req=doc&amp;base=LAW&amp;n=465775&amp;date=03.04.2026" TargetMode = "External"/><Relationship Id="rId17" Type="http://schemas.openxmlformats.org/officeDocument/2006/relationships/hyperlink" Target="https://login.consultant.ru/link/?req=doc&amp;base=STR&amp;n=28623&amp;date=03.04.2026&amp;dst=100009&amp;field=134" TargetMode = "External"/><Relationship Id="rId18" Type="http://schemas.openxmlformats.org/officeDocument/2006/relationships/hyperlink" Target="https://login.consultant.ru/link/?req=doc&amp;base=STR&amp;n=28623&amp;date=03.04.2026&amp;dst=100012&amp;field=134" TargetMode = "External"/><Relationship Id="rId19" Type="http://schemas.openxmlformats.org/officeDocument/2006/relationships/hyperlink" Target="https://login.consultant.ru/link/?req=doc&amp;base=STR&amp;n=28623&amp;date=03.04.2026&amp;dst=100014&amp;field=134" TargetMode = "External"/><Relationship Id="rId20" Type="http://schemas.openxmlformats.org/officeDocument/2006/relationships/hyperlink" Target="https://login.consultant.ru/link/?req=doc&amp;base=STR&amp;n=8128&amp;date=03.04.2026" TargetMode = "External"/><Relationship Id="rId21" Type="http://schemas.openxmlformats.org/officeDocument/2006/relationships/hyperlink" Target="https://login.consultant.ru/link/?req=doc&amp;base=STR&amp;n=34312&amp;date=03.04.2026&amp;dst=100028&amp;field=134" TargetMode = "External"/><Relationship Id="rId22" Type="http://schemas.openxmlformats.org/officeDocument/2006/relationships/hyperlink" Target="https://login.consultant.ru/link/?req=doc&amp;base=OTN&amp;n=26871&amp;date=03.04.2026" TargetMode = "External"/><Relationship Id="rId23" Type="http://schemas.openxmlformats.org/officeDocument/2006/relationships/hyperlink" Target="https://login.consultant.ru/link/?req=doc&amp;base=STR&amp;n=20237&amp;date=03.04.2026" TargetMode = "External"/><Relationship Id="rId24" Type="http://schemas.openxmlformats.org/officeDocument/2006/relationships/hyperlink" Target="https://login.consultant.ru/link/?req=doc&amp;base=STR&amp;n=34312&amp;date=03.04.2026&amp;dst=100006&amp;field=134" TargetMode = "External"/><Relationship Id="rId25" Type="http://schemas.openxmlformats.org/officeDocument/2006/relationships/hyperlink" Target="https://login.consultant.ru/link/?req=doc&amp;base=STR&amp;n=34312&amp;date=03.04.2026&amp;dst=100028&amp;field=134" TargetMode = "External"/><Relationship Id="rId26" Type="http://schemas.openxmlformats.org/officeDocument/2006/relationships/hyperlink" Target="https://login.consultant.ru/link/?req=doc&amp;base=STR&amp;n=7035&amp;date=03.04.2026" TargetMode = "External"/><Relationship Id="rId27" Type="http://schemas.openxmlformats.org/officeDocument/2006/relationships/hyperlink" Target="https://login.consultant.ru/link/?req=doc&amp;base=STR&amp;n=351&amp;date=03.04.2026" TargetMode = "External"/><Relationship Id="rId28" Type="http://schemas.openxmlformats.org/officeDocument/2006/relationships/hyperlink" Target="https://login.consultant.ru/link/?req=doc&amp;base=STR&amp;n=30333&amp;date=03.04.2026" TargetMode = "External"/><Relationship Id="rId29" Type="http://schemas.openxmlformats.org/officeDocument/2006/relationships/hyperlink" Target="https://login.consultant.ru/link/?req=doc&amp;base=STR&amp;n=16850&amp;date=03.04.2026" TargetMode = "External"/><Relationship Id="rId30" Type="http://schemas.openxmlformats.org/officeDocument/2006/relationships/hyperlink" Target="https://login.consultant.ru/link/?req=doc&amp;base=STR&amp;n=20477&amp;date=03.04.2026" TargetMode = "External"/><Relationship Id="rId31" Type="http://schemas.openxmlformats.org/officeDocument/2006/relationships/hyperlink" Target="https://login.consultant.ru/link/?req=doc&amp;base=STR&amp;n=33998&amp;date=03.04.2026" TargetMode = "External"/><Relationship Id="rId32" Type="http://schemas.openxmlformats.org/officeDocument/2006/relationships/hyperlink" Target="https://login.consultant.ru/link/?req=doc&amp;base=STR&amp;n=34312&amp;date=03.04.2026&amp;dst=100006&amp;field=134" TargetMode = "External"/><Relationship Id="rId33" Type="http://schemas.openxmlformats.org/officeDocument/2006/relationships/hyperlink" Target="https://login.consultant.ru/link/?req=doc&amp;base=STR&amp;n=16866&amp;date=03.04.2026" TargetMode = "External"/><Relationship Id="rId34" Type="http://schemas.openxmlformats.org/officeDocument/2006/relationships/hyperlink" Target="https://login.consultant.ru/link/?req=doc&amp;base=STR&amp;n=23397&amp;date=03.04.2026" TargetMode = "External"/><Relationship Id="rId35" Type="http://schemas.openxmlformats.org/officeDocument/2006/relationships/hyperlink" Target="https://login.consultant.ru/link/?req=doc&amp;base=STR&amp;n=14253&amp;date=03.04.2026" TargetMode = "External"/><Relationship Id="rId36" Type="http://schemas.openxmlformats.org/officeDocument/2006/relationships/hyperlink" Target="https://login.consultant.ru/link/?req=doc&amp;base=OTN&amp;n=5646&amp;date=03.04.2026" TargetMode = "External"/><Relationship Id="rId37" Type="http://schemas.openxmlformats.org/officeDocument/2006/relationships/hyperlink" Target="https://login.consultant.ru/link/?req=doc&amp;base=OTN&amp;n=6097&amp;date=03.04.2026" TargetMode = "External"/><Relationship Id="rId38" Type="http://schemas.openxmlformats.org/officeDocument/2006/relationships/hyperlink" Target="https://login.consultant.ru/link/?req=doc&amp;base=STR&amp;n=24747&amp;date=03.04.2026" TargetMode = "External"/><Relationship Id="rId39" Type="http://schemas.openxmlformats.org/officeDocument/2006/relationships/hyperlink" Target="https://login.consultant.ru/link/?req=doc&amp;base=STR&amp;n=12114&amp;date=03.04.2026" TargetMode = "External"/><Relationship Id="rId40" Type="http://schemas.openxmlformats.org/officeDocument/2006/relationships/hyperlink" Target="https://login.consultant.ru/link/?req=doc&amp;base=STR&amp;n=31896&amp;date=03.04.2026" TargetMode = "External"/><Relationship Id="rId41" Type="http://schemas.openxmlformats.org/officeDocument/2006/relationships/hyperlink" Target="https://login.consultant.ru/link/?req=doc&amp;base=STR&amp;n=11617&amp;date=03.04.2026" TargetMode = "External"/><Relationship Id="rId42" Type="http://schemas.openxmlformats.org/officeDocument/2006/relationships/hyperlink" Target="https://login.consultant.ru/link/?req=doc&amp;base=STR&amp;n=33319&amp;date=03.04.2026" TargetMode = "External"/><Relationship Id="rId43" Type="http://schemas.openxmlformats.org/officeDocument/2006/relationships/hyperlink" Target="https://login.consultant.ru/link/?req=doc&amp;base=STR&amp;n=34312&amp;date=03.04.2026&amp;dst=100006&amp;field=134" TargetMode = "External"/><Relationship Id="rId44" Type="http://schemas.openxmlformats.org/officeDocument/2006/relationships/hyperlink" Target="https://login.consultant.ru/link/?req=doc&amp;base=STR&amp;n=28226&amp;date=03.04.2026" TargetMode = "External"/><Relationship Id="rId45" Type="http://schemas.openxmlformats.org/officeDocument/2006/relationships/hyperlink" Target="https://login.consultant.ru/link/?req=doc&amp;base=STR&amp;n=34312&amp;date=03.04.2026&amp;dst=100028&amp;field=134" TargetMode = "External"/><Relationship Id="rId46" Type="http://schemas.openxmlformats.org/officeDocument/2006/relationships/hyperlink" Target="https://login.consultant.ru/link/?req=doc&amp;base=STR&amp;n=12723&amp;date=03.04.2026" TargetMode = "External"/><Relationship Id="rId47" Type="http://schemas.openxmlformats.org/officeDocument/2006/relationships/hyperlink" Target="https://login.consultant.ru/link/?req=doc&amp;base=STR&amp;n=34312&amp;date=03.04.2026&amp;dst=100028&amp;field=134" TargetMode = "External"/><Relationship Id="rId48" Type="http://schemas.openxmlformats.org/officeDocument/2006/relationships/hyperlink" Target="https://login.consultant.ru/link/?req=doc&amp;base=LAW&amp;n=468315&amp;date=03.04.2026&amp;dst=100012&amp;field=134" TargetMode = "External"/><Relationship Id="rId49" Type="http://schemas.openxmlformats.org/officeDocument/2006/relationships/hyperlink" Target="https://login.consultant.ru/link/?req=doc&amp;base=STR&amp;n=34312&amp;date=03.04.2026&amp;dst=100006&amp;field=134" TargetMode = "External"/><Relationship Id="rId50" Type="http://schemas.openxmlformats.org/officeDocument/2006/relationships/hyperlink" Target="https://login.consultant.ru/link/?req=doc&amp;base=STR&amp;n=10670&amp;date=03.04.2026" TargetMode = "External"/><Relationship Id="rId51" Type="http://schemas.openxmlformats.org/officeDocument/2006/relationships/hyperlink" Target="https://login.consultant.ru/link/?req=doc&amp;base=STR&amp;n=33564&amp;date=03.04.2026" TargetMode = "External"/><Relationship Id="rId52" Type="http://schemas.openxmlformats.org/officeDocument/2006/relationships/hyperlink" Target="https://login.consultant.ru/link/?req=doc&amp;base=STR&amp;n=34312&amp;date=03.04.2026&amp;dst=100006&amp;field=134" TargetMode = "External"/><Relationship Id="rId53" Type="http://schemas.openxmlformats.org/officeDocument/2006/relationships/hyperlink" Target="https://login.consultant.ru/link/?req=doc&amp;base=LAW&amp;n=384323&amp;date=03.04.2026&amp;dst=100014&amp;field=134" TargetMode = "External"/><Relationship Id="rId54" Type="http://schemas.openxmlformats.org/officeDocument/2006/relationships/hyperlink" Target="https://login.consultant.ru/link/?req=doc&amp;base=STR&amp;n=35238&amp;date=03.04.2026" TargetMode = "External"/><Relationship Id="rId55" Type="http://schemas.openxmlformats.org/officeDocument/2006/relationships/hyperlink" Target="https://login.consultant.ru/link/?req=doc&amp;base=LAW&amp;n=471819&amp;date=03.04.2026&amp;dst=100013&amp;field=134" TargetMode = "External"/><Relationship Id="rId56" Type="http://schemas.openxmlformats.org/officeDocument/2006/relationships/hyperlink" Target="https://login.consultant.ru/link/?req=doc&amp;base=STR&amp;n=34312&amp;date=03.04.2026&amp;dst=100006&amp;field=134" TargetMode = "External"/><Relationship Id="rId57" Type="http://schemas.openxmlformats.org/officeDocument/2006/relationships/hyperlink" Target="https://login.consultant.ru/link/?req=doc&amp;base=STR&amp;n=34312&amp;date=03.04.2026&amp;dst=100028&amp;field=134" TargetMode = "External"/><Relationship Id="rId58" Type="http://schemas.openxmlformats.org/officeDocument/2006/relationships/hyperlink" Target="https://login.consultant.ru/link/?req=doc&amp;base=LAW&amp;n=365651&amp;date=03.04.2026&amp;dst=100014&amp;field=134" TargetMode = "External"/><Relationship Id="rId59" Type="http://schemas.openxmlformats.org/officeDocument/2006/relationships/hyperlink" Target="https://login.consultant.ru/link/?req=doc&amp;base=STR&amp;n=34931&amp;date=03.04.2026" TargetMode = "External"/><Relationship Id="rId60" Type="http://schemas.openxmlformats.org/officeDocument/2006/relationships/hyperlink" Target="https://login.consultant.ru/link/?req=doc&amp;base=STR&amp;n=34312&amp;date=03.04.2026&amp;dst=100006&amp;field=134" TargetMode = "External"/><Relationship Id="rId61" Type="http://schemas.openxmlformats.org/officeDocument/2006/relationships/hyperlink" Target="https://login.consultant.ru/link/?req=doc&amp;base=STR&amp;n=35060&amp;date=03.04.2026" TargetMode = "External"/><Relationship Id="rId62" Type="http://schemas.openxmlformats.org/officeDocument/2006/relationships/hyperlink" Target="https://login.consultant.ru/link/?req=doc&amp;base=STR&amp;n=34312&amp;date=03.04.2026&amp;dst=100006&amp;field=134" TargetMode = "External"/><Relationship Id="rId63" Type="http://schemas.openxmlformats.org/officeDocument/2006/relationships/hyperlink" Target="https://login.consultant.ru/link/?req=doc&amp;base=STR&amp;n=29176&amp;date=03.04.2026" TargetMode = "External"/><Relationship Id="rId64" Type="http://schemas.openxmlformats.org/officeDocument/2006/relationships/hyperlink" Target="https://login.consultant.ru/link/?req=doc&amp;base=STR&amp;n=34312&amp;date=03.04.2026&amp;dst=100006&amp;field=134" TargetMode = "External"/><Relationship Id="rId65" Type="http://schemas.openxmlformats.org/officeDocument/2006/relationships/hyperlink" Target="https://login.consultant.ru/link/?req=doc&amp;base=STR&amp;n=31817&amp;date=03.04.2026" TargetMode = "External"/><Relationship Id="rId66" Type="http://schemas.openxmlformats.org/officeDocument/2006/relationships/hyperlink" Target="https://login.consultant.ru/link/?req=doc&amp;base=STR&amp;n=34312&amp;date=03.04.2026&amp;dst=100006&amp;field=134" TargetMode = "External"/><Relationship Id="rId67" Type="http://schemas.openxmlformats.org/officeDocument/2006/relationships/hyperlink" Target="https://login.consultant.ru/link/?req=doc&amp;base=STR&amp;n=28577&amp;date=03.04.2026" TargetMode = "External"/><Relationship Id="rId68" Type="http://schemas.openxmlformats.org/officeDocument/2006/relationships/hyperlink" Target="https://login.consultant.ru/link/?req=doc&amp;base=STR&amp;n=34312&amp;date=03.04.2026&amp;dst=100006&amp;field=134" TargetMode = "External"/><Relationship Id="rId69" Type="http://schemas.openxmlformats.org/officeDocument/2006/relationships/hyperlink" Target="https://login.consultant.ru/link/?req=doc&amp;base=STR&amp;n=34874&amp;date=03.04.2026" TargetMode = "External"/><Relationship Id="rId70" Type="http://schemas.openxmlformats.org/officeDocument/2006/relationships/hyperlink" Target="https://login.consultant.ru/link/?req=doc&amp;base=STR&amp;n=34312&amp;date=03.04.2026&amp;dst=100006&amp;field=134" TargetMode = "External"/><Relationship Id="rId71" Type="http://schemas.openxmlformats.org/officeDocument/2006/relationships/hyperlink" Target="https://login.consultant.ru/link/?req=doc&amp;base=STR&amp;n=34820&amp;date=03.04.2026" TargetMode = "External"/><Relationship Id="rId72" Type="http://schemas.openxmlformats.org/officeDocument/2006/relationships/hyperlink" Target="https://login.consultant.ru/link/?req=doc&amp;base=STR&amp;n=34312&amp;date=03.04.2026&amp;dst=100006&amp;field=134" TargetMode = "External"/><Relationship Id="rId73" Type="http://schemas.openxmlformats.org/officeDocument/2006/relationships/hyperlink" Target="https://login.consultant.ru/link/?req=doc&amp;base=STR&amp;n=34995&amp;date=03.04.2026" TargetMode = "External"/><Relationship Id="rId74" Type="http://schemas.openxmlformats.org/officeDocument/2006/relationships/hyperlink" Target="https://login.consultant.ru/link/?req=doc&amp;base=STR&amp;n=34312&amp;date=03.04.2026&amp;dst=100006&amp;field=134" TargetMode = "External"/><Relationship Id="rId75" Type="http://schemas.openxmlformats.org/officeDocument/2006/relationships/hyperlink" Target="https://login.consultant.ru/link/?req=doc&amp;base=STR&amp;n=28578&amp;date=03.04.2026" TargetMode = "External"/><Relationship Id="rId76" Type="http://schemas.openxmlformats.org/officeDocument/2006/relationships/hyperlink" Target="https://login.consultant.ru/link/?req=doc&amp;base=STR&amp;n=34312&amp;date=03.04.2026&amp;dst=100006&amp;field=134" TargetMode = "External"/><Relationship Id="rId77" Type="http://schemas.openxmlformats.org/officeDocument/2006/relationships/hyperlink" Target="https://login.consultant.ru/link/?req=doc&amp;base=STR&amp;n=31816&amp;date=03.04.2026" TargetMode = "External"/><Relationship Id="rId78" Type="http://schemas.openxmlformats.org/officeDocument/2006/relationships/hyperlink" Target="https://login.consultant.ru/link/?req=doc&amp;base=STR&amp;n=34312&amp;date=03.04.2026&amp;dst=100006&amp;field=134" TargetMode = "External"/><Relationship Id="rId79" Type="http://schemas.openxmlformats.org/officeDocument/2006/relationships/hyperlink" Target="https://login.consultant.ru/link/?req=doc&amp;base=STR&amp;n=20660&amp;date=03.04.2026" TargetMode = "External"/><Relationship Id="rId80" Type="http://schemas.openxmlformats.org/officeDocument/2006/relationships/hyperlink" Target="https://login.consultant.ru/link/?req=doc&amp;base=STR&amp;n=34312&amp;date=03.04.2026&amp;dst=100028&amp;field=134" TargetMode = "External"/><Relationship Id="rId81" Type="http://schemas.openxmlformats.org/officeDocument/2006/relationships/hyperlink" Target="https://login.consultant.ru/link/?req=doc&amp;base=STR&amp;n=34427&amp;date=03.04.2026" TargetMode = "External"/><Relationship Id="rId82" Type="http://schemas.openxmlformats.org/officeDocument/2006/relationships/hyperlink" Target="https://login.consultant.ru/link/?req=doc&amp;base=STR&amp;n=34312&amp;date=03.04.2026&amp;dst=100006&amp;field=134" TargetMode = "External"/><Relationship Id="rId83" Type="http://schemas.openxmlformats.org/officeDocument/2006/relationships/hyperlink" Target="https://login.consultant.ru/link/?req=doc&amp;base=STR&amp;n=30822&amp;date=03.04.2026" TargetMode = "External"/><Relationship Id="rId84" Type="http://schemas.openxmlformats.org/officeDocument/2006/relationships/hyperlink" Target="https://login.consultant.ru/link/?req=doc&amp;base=STR&amp;n=34312&amp;date=03.04.2026&amp;dst=100006&amp;field=134" TargetMode = "External"/><Relationship Id="rId85" Type="http://schemas.openxmlformats.org/officeDocument/2006/relationships/hyperlink" Target="https://login.consultant.ru/link/?req=doc&amp;base=STR&amp;n=14067&amp;date=03.04.2026" TargetMode = "External"/><Relationship Id="rId86" Type="http://schemas.openxmlformats.org/officeDocument/2006/relationships/hyperlink" Target="https://login.consultant.ru/link/?req=doc&amp;base=STR&amp;n=35133&amp;date=03.04.2026" TargetMode = "External"/><Relationship Id="rId87" Type="http://schemas.openxmlformats.org/officeDocument/2006/relationships/hyperlink" Target="https://login.consultant.ru/link/?req=doc&amp;base=STR&amp;n=34312&amp;date=03.04.2026&amp;dst=100006&amp;field=134" TargetMode = "External"/><Relationship Id="rId88" Type="http://schemas.openxmlformats.org/officeDocument/2006/relationships/hyperlink" Target="https://login.consultant.ru/link/?req=doc&amp;base=STR&amp;n=34312&amp;date=03.04.2026&amp;dst=100028&amp;field=134" TargetMode = "External"/><Relationship Id="rId89" Type="http://schemas.openxmlformats.org/officeDocument/2006/relationships/hyperlink" Target="https://login.consultant.ru/link/?req=doc&amp;base=STR&amp;n=34997&amp;date=03.04.2026" TargetMode = "External"/><Relationship Id="rId90" Type="http://schemas.openxmlformats.org/officeDocument/2006/relationships/hyperlink" Target="https://login.consultant.ru/link/?req=doc&amp;base=STR&amp;n=34312&amp;date=03.04.2026&amp;dst=100006&amp;field=134" TargetMode = "External"/><Relationship Id="rId91" Type="http://schemas.openxmlformats.org/officeDocument/2006/relationships/hyperlink" Target="https://login.consultant.ru/link/?req=doc&amp;base=STR&amp;n=34980&amp;date=03.04.2026" TargetMode = "External"/><Relationship Id="rId92" Type="http://schemas.openxmlformats.org/officeDocument/2006/relationships/hyperlink" Target="https://login.consultant.ru/link/?req=doc&amp;base=STR&amp;n=34022&amp;date=03.04.2026" TargetMode = "External"/><Relationship Id="rId93" Type="http://schemas.openxmlformats.org/officeDocument/2006/relationships/hyperlink" Target="https://login.consultant.ru/link/?req=doc&amp;base=STR&amp;n=34312&amp;date=03.04.2026&amp;dst=100006&amp;field=134" TargetMode = "External"/><Relationship Id="rId94" Type="http://schemas.openxmlformats.org/officeDocument/2006/relationships/hyperlink" Target="https://login.consultant.ru/link/?req=doc&amp;base=LAW&amp;n=376143&amp;date=03.04.2026&amp;dst=100012&amp;field=134" TargetMode = "External"/><Relationship Id="rId95" Type="http://schemas.openxmlformats.org/officeDocument/2006/relationships/hyperlink" Target="https://login.consultant.ru/link/?req=doc&amp;base=LAW&amp;n=363050&amp;date=03.04.2026&amp;dst=100014&amp;field=134" TargetMode = "External"/><Relationship Id="rId96" Type="http://schemas.openxmlformats.org/officeDocument/2006/relationships/hyperlink" Target="https://login.consultant.ru/link/?req=doc&amp;base=LAW&amp;n=507905&amp;date=03.04.2026&amp;dst=100013&amp;field=134" TargetMode = "External"/><Relationship Id="rId97" Type="http://schemas.openxmlformats.org/officeDocument/2006/relationships/hyperlink" Target="https://login.consultant.ru/link/?req=doc&amp;base=LAW&amp;n=441707&amp;date=03.04.2026&amp;dst=100137&amp;field=134" TargetMode = "External"/><Relationship Id="rId98" Type="http://schemas.openxmlformats.org/officeDocument/2006/relationships/hyperlink" Target="https://login.consultant.ru/link/?req=doc&amp;base=LAW&amp;n=510852&amp;date=03.04.2026&amp;dst=100041&amp;field=134" TargetMode = "External"/><Relationship Id="rId99" Type="http://schemas.openxmlformats.org/officeDocument/2006/relationships/hyperlink" Target="https://login.consultant.ru/link/?req=doc&amp;base=STR&amp;n=34980&amp;date=03.04.2026" TargetMode = "External"/><Relationship Id="rId100" Type="http://schemas.openxmlformats.org/officeDocument/2006/relationships/hyperlink" Target="https://login.consultant.ru/link/?req=doc&amp;base=STR&amp;n=34022&amp;date=03.04.2026" TargetMode = "External"/><Relationship Id="rId101" Type="http://schemas.openxmlformats.org/officeDocument/2006/relationships/hyperlink" Target="https://login.consultant.ru/link/?req=doc&amp;base=LAW&amp;n=365651&amp;date=03.04.2026&amp;dst=100014&amp;field=134" TargetMode = "External"/><Relationship Id="rId102" Type="http://schemas.openxmlformats.org/officeDocument/2006/relationships/hyperlink" Target="https://login.consultant.ru/link/?req=doc&amp;base=STR&amp;n=7035&amp;date=03.04.2026" TargetMode = "External"/><Relationship Id="rId103" Type="http://schemas.openxmlformats.org/officeDocument/2006/relationships/hyperlink" Target="https://login.consultant.ru/link/?req=doc&amp;base=STR&amp;n=12114&amp;date=03.04.2026" TargetMode = "External"/><Relationship Id="rId104" Type="http://schemas.openxmlformats.org/officeDocument/2006/relationships/hyperlink" Target="https://login.consultant.ru/link/?req=doc&amp;base=STR&amp;n=8128&amp;date=03.04.2026" TargetMode = "External"/><Relationship Id="rId105" Type="http://schemas.openxmlformats.org/officeDocument/2006/relationships/hyperlink" Target="https://login.consultant.ru/link/?req=doc&amp;base=STR&amp;n=12723&amp;date=03.04.2026" TargetMode = "External"/><Relationship Id="rId106" Type="http://schemas.openxmlformats.org/officeDocument/2006/relationships/hyperlink" Target="https://login.consultant.ru/link/?req=doc&amp;base=STR&amp;n=28623&amp;date=03.04.2026&amp;dst=100077&amp;field=134" TargetMode = "External"/><Relationship Id="rId107" Type="http://schemas.openxmlformats.org/officeDocument/2006/relationships/hyperlink" Target="https://login.consultant.ru/link/?req=doc&amp;base=STR&amp;n=28623&amp;date=03.04.2026&amp;dst=100079&amp;field=134" TargetMode = "External"/><Relationship Id="rId108" Type="http://schemas.openxmlformats.org/officeDocument/2006/relationships/hyperlink" Target="https://login.consultant.ru/link/?req=doc&amp;base=STR&amp;n=28623&amp;date=03.04.2026&amp;dst=100081&amp;field=134" TargetMode = "External"/><Relationship Id="rId109" Type="http://schemas.openxmlformats.org/officeDocument/2006/relationships/hyperlink" Target="https://login.consultant.ru/link/?req=doc&amp;base=STR&amp;n=13467&amp;date=03.04.2026&amp;dst=100040&amp;field=134" TargetMode = "External"/><Relationship Id="rId110" Type="http://schemas.openxmlformats.org/officeDocument/2006/relationships/hyperlink" Target="https://login.consultant.ru/link/?req=doc&amp;base=STR&amp;n=24654&amp;date=03.04.2026&amp;dst=100032&amp;field=134" TargetMode = "External"/><Relationship Id="rId111" Type="http://schemas.openxmlformats.org/officeDocument/2006/relationships/hyperlink" Target="https://login.consultant.ru/link/?req=doc&amp;base=STR&amp;n=7035&amp;date=03.04.2026&amp;dst=100034&amp;field=134" TargetMode = "External"/><Relationship Id="rId112" Type="http://schemas.openxmlformats.org/officeDocument/2006/relationships/hyperlink" Target="https://login.consultant.ru/link/?req=doc&amp;base=STR&amp;n=12114&amp;date=03.04.2026&amp;dst=100044&amp;field=134" TargetMode = "External"/><Relationship Id="rId113" Type="http://schemas.openxmlformats.org/officeDocument/2006/relationships/hyperlink" Target="https://login.consultant.ru/link/?req=doc&amp;base=STR&amp;n=12114&amp;date=03.04.2026&amp;dst=100042&amp;field=134" TargetMode = "External"/><Relationship Id="rId114" Type="http://schemas.openxmlformats.org/officeDocument/2006/relationships/hyperlink" Target="https://login.consultant.ru/link/?req=doc&amp;base=STR&amp;n=8128&amp;date=03.04.2026&amp;dst=100260&amp;field=134" TargetMode = "External"/><Relationship Id="rId115" Type="http://schemas.openxmlformats.org/officeDocument/2006/relationships/hyperlink" Target="https://login.consultant.ru/link/?req=doc&amp;base=STR&amp;n=28623&amp;date=03.04.2026&amp;dst=100083&amp;field=134" TargetMode = "External"/><Relationship Id="rId116" Type="http://schemas.openxmlformats.org/officeDocument/2006/relationships/hyperlink" Target="https://login.consultant.ru/link/?req=doc&amp;base=STR&amp;n=12723&amp;date=03.04.2026&amp;dst=100272&amp;field=134" TargetMode = "External"/><Relationship Id="rId117" Type="http://schemas.openxmlformats.org/officeDocument/2006/relationships/hyperlink" Target="https://login.consultant.ru/link/?req=doc&amp;base=STR&amp;n=28623&amp;date=03.04.2026&amp;dst=100086&amp;field=134" TargetMode = "External"/><Relationship Id="rId118" Type="http://schemas.openxmlformats.org/officeDocument/2006/relationships/hyperlink" Target="https://login.consultant.ru/link/?req=doc&amp;base=STR&amp;n=28623&amp;date=03.04.2026&amp;dst=100086&amp;field=134" TargetMode = "External"/><Relationship Id="rId119" Type="http://schemas.openxmlformats.org/officeDocument/2006/relationships/hyperlink" Target="https://login.consultant.ru/link/?req=doc&amp;base=STR&amp;n=28623&amp;date=03.04.2026&amp;dst=100086&amp;field=134" TargetMode = "External"/><Relationship Id="rId120" Type="http://schemas.openxmlformats.org/officeDocument/2006/relationships/hyperlink" Target="https://login.consultant.ru/link/?req=doc&amp;base=STR&amp;n=28623&amp;date=03.04.2026&amp;dst=100091&amp;field=134" TargetMode = "External"/><Relationship Id="rId121" Type="http://schemas.openxmlformats.org/officeDocument/2006/relationships/hyperlink" Target="https://login.consultant.ru/link/?req=doc&amp;base=STR&amp;n=28623&amp;date=03.04.2026&amp;dst=100091&amp;field=134" TargetMode = "External"/><Relationship Id="rId122" Type="http://schemas.openxmlformats.org/officeDocument/2006/relationships/hyperlink" Target="https://login.consultant.ru/link/?req=doc&amp;base=STR&amp;n=28623&amp;date=03.04.2026&amp;dst=100091&amp;field=134" TargetMode = "External"/><Relationship Id="rId123" Type="http://schemas.openxmlformats.org/officeDocument/2006/relationships/hyperlink" Target="https://login.consultant.ru/link/?req=doc&amp;base=STR&amp;n=28623&amp;date=03.04.2026&amp;dst=100086&amp;field=134" TargetMode = "External"/><Relationship Id="rId124" Type="http://schemas.openxmlformats.org/officeDocument/2006/relationships/hyperlink" Target="https://login.consultant.ru/link/?req=doc&amp;base=STR&amp;n=28623&amp;date=03.04.2026&amp;dst=100096&amp;field=134" TargetMode = "External"/><Relationship Id="rId125" Type="http://schemas.openxmlformats.org/officeDocument/2006/relationships/hyperlink" Target="https://login.consultant.ru/link/?req=doc&amp;base=STR&amp;n=28623&amp;date=03.04.2026&amp;dst=100098&amp;field=134" TargetMode = "External"/><Relationship Id="rId126" Type="http://schemas.openxmlformats.org/officeDocument/2006/relationships/hyperlink" Target="https://login.consultant.ru/link/?req=doc&amp;base=STR&amp;n=28623&amp;date=03.04.2026&amp;dst=100098&amp;field=134" TargetMode = "External"/><Relationship Id="rId127" Type="http://schemas.openxmlformats.org/officeDocument/2006/relationships/hyperlink" Target="https://login.consultant.ru/link/?req=doc&amp;base=STR&amp;n=34312&amp;date=03.04.2026&amp;dst=100037&amp;field=134" TargetMode = "External"/><Relationship Id="rId128" Type="http://schemas.openxmlformats.org/officeDocument/2006/relationships/hyperlink" Target="https://login.consultant.ru/link/?req=doc&amp;base=STR&amp;n=34427&amp;date=03.04.2026" TargetMode = "External"/><Relationship Id="rId129" Type="http://schemas.openxmlformats.org/officeDocument/2006/relationships/hyperlink" Target="https://login.consultant.ru/link/?req=doc&amp;base=STR&amp;n=28623&amp;date=03.04.2026&amp;dst=100102&amp;field=134" TargetMode = "External"/><Relationship Id="rId130" Type="http://schemas.openxmlformats.org/officeDocument/2006/relationships/hyperlink" Target="https://login.consultant.ru/link/?req=doc&amp;base=STR&amp;n=34312&amp;date=03.04.2026&amp;dst=100042&amp;field=134" TargetMode = "External"/><Relationship Id="rId131" Type="http://schemas.openxmlformats.org/officeDocument/2006/relationships/image" Target="media/image2.png"/><Relationship Id="rId132" Type="http://schemas.openxmlformats.org/officeDocument/2006/relationships/image" Target="media/image3.png"/><Relationship Id="rId133" Type="http://schemas.openxmlformats.org/officeDocument/2006/relationships/hyperlink" Target="https://login.consultant.ru/link/?req=doc&amp;base=STR&amp;n=34427&amp;date=03.04.2026" TargetMode = "External"/><Relationship Id="rId134" Type="http://schemas.openxmlformats.org/officeDocument/2006/relationships/hyperlink" Target="https://login.consultant.ru/link/?req=doc&amp;base=STR&amp;n=34312&amp;date=03.04.2026&amp;dst=100043&amp;field=134" TargetMode = "External"/><Relationship Id="rId135" Type="http://schemas.openxmlformats.org/officeDocument/2006/relationships/hyperlink" Target="https://login.consultant.ru/link/?req=doc&amp;base=STR&amp;n=30333&amp;date=03.04.2026" TargetMode = "External"/><Relationship Id="rId136" Type="http://schemas.openxmlformats.org/officeDocument/2006/relationships/hyperlink" Target="https://login.consultant.ru/link/?req=doc&amp;base=STR&amp;n=34427&amp;date=03.04.2026" TargetMode = "External"/><Relationship Id="rId137" Type="http://schemas.openxmlformats.org/officeDocument/2006/relationships/hyperlink" Target="https://login.consultant.ru/link/?req=doc&amp;base=STR&amp;n=28623&amp;date=03.04.2026&amp;dst=100104&amp;field=134" TargetMode = "External"/><Relationship Id="rId138" Type="http://schemas.openxmlformats.org/officeDocument/2006/relationships/hyperlink" Target="https://login.consultant.ru/link/?req=doc&amp;base=STR&amp;n=28623&amp;date=03.04.2026&amp;dst=100112&amp;field=134" TargetMode = "External"/><Relationship Id="rId139" Type="http://schemas.openxmlformats.org/officeDocument/2006/relationships/hyperlink" Target="https://login.consultant.ru/link/?req=doc&amp;base=STR&amp;n=34312&amp;date=03.04.2026&amp;dst=100044&amp;field=134" TargetMode = "External"/><Relationship Id="rId140" Type="http://schemas.openxmlformats.org/officeDocument/2006/relationships/hyperlink" Target="https://login.consultant.ru/link/?req=doc&amp;base=STR&amp;n=30333&amp;date=03.04.2026&amp;dst=100069&amp;field=134" TargetMode = "External"/><Relationship Id="rId141" Type="http://schemas.openxmlformats.org/officeDocument/2006/relationships/hyperlink" Target="https://login.consultant.ru/link/?req=doc&amp;base=STR&amp;n=34312&amp;date=03.04.2026&amp;dst=100045&amp;field=134" TargetMode = "External"/><Relationship Id="rId142" Type="http://schemas.openxmlformats.org/officeDocument/2006/relationships/hyperlink" Target="https://login.consultant.ru/link/?req=doc&amp;base=STR&amp;n=34312&amp;date=03.04.2026&amp;dst=100050&amp;field=134" TargetMode = "External"/><Relationship Id="rId143" Type="http://schemas.openxmlformats.org/officeDocument/2006/relationships/hyperlink" Target="https://login.consultant.ru/link/?req=doc&amp;base=STR&amp;n=28623&amp;date=03.04.2026&amp;dst=100114&amp;field=134" TargetMode = "External"/><Relationship Id="rId144" Type="http://schemas.openxmlformats.org/officeDocument/2006/relationships/hyperlink" Target="https://login.consultant.ru/link/?req=doc&amp;base=STR&amp;n=31816&amp;date=03.04.2026" TargetMode = "External"/><Relationship Id="rId145" Type="http://schemas.openxmlformats.org/officeDocument/2006/relationships/hyperlink" Target="https://login.consultant.ru/link/?req=doc&amp;base=STR&amp;n=28623&amp;date=03.04.2026&amp;dst=100117&amp;field=134" TargetMode = "External"/><Relationship Id="rId146" Type="http://schemas.openxmlformats.org/officeDocument/2006/relationships/hyperlink" Target="https://login.consultant.ru/link/?req=doc&amp;base=STR&amp;n=28623&amp;date=03.04.2026&amp;dst=100119&amp;field=134" TargetMode = "External"/><Relationship Id="rId147" Type="http://schemas.openxmlformats.org/officeDocument/2006/relationships/hyperlink" Target="https://login.consultant.ru/link/?req=doc&amp;base=STR&amp;n=34312&amp;date=03.04.2026&amp;dst=100051&amp;field=134" TargetMode = "External"/><Relationship Id="rId148" Type="http://schemas.openxmlformats.org/officeDocument/2006/relationships/hyperlink" Target="https://login.consultant.ru/link/?req=doc&amp;base=STR&amp;n=34931&amp;date=03.04.2026" TargetMode = "External"/><Relationship Id="rId149" Type="http://schemas.openxmlformats.org/officeDocument/2006/relationships/hyperlink" Target="https://login.consultant.ru/link/?req=doc&amp;base=STR&amp;n=34995&amp;date=03.04.2026" TargetMode = "External"/><Relationship Id="rId150" Type="http://schemas.openxmlformats.org/officeDocument/2006/relationships/hyperlink" Target="https://login.consultant.ru/link/?req=doc&amp;base=STR&amp;n=28623&amp;date=03.04.2026&amp;dst=100121&amp;field=134" TargetMode = "External"/><Relationship Id="rId151" Type="http://schemas.openxmlformats.org/officeDocument/2006/relationships/hyperlink" Target="https://login.consultant.ru/link/?req=doc&amp;base=STR&amp;n=34312&amp;date=03.04.2026&amp;dst=100052&amp;field=134" TargetMode = "External"/><Relationship Id="rId152" Type="http://schemas.openxmlformats.org/officeDocument/2006/relationships/hyperlink" Target="https://login.consultant.ru/link/?req=doc&amp;base=LAW&amp;n=510544&amp;date=03.04.2026&amp;dst=100121&amp;field=134" TargetMode = "External"/><Relationship Id="rId153" Type="http://schemas.openxmlformats.org/officeDocument/2006/relationships/hyperlink" Target="https://login.consultant.ru/link/?req=doc&amp;base=STR&amp;n=28623&amp;date=03.04.2026&amp;dst=100127&amp;field=134" TargetMode = "External"/><Relationship Id="rId154" Type="http://schemas.openxmlformats.org/officeDocument/2006/relationships/hyperlink" Target="https://login.consultant.ru/link/?req=doc&amp;base=STR&amp;n=28623&amp;date=03.04.2026&amp;dst=100128&amp;field=134" TargetMode = "External"/><Relationship Id="rId155" Type="http://schemas.openxmlformats.org/officeDocument/2006/relationships/hyperlink" Target="https://login.consultant.ru/link/?req=doc&amp;base=STR&amp;n=34995&amp;date=03.04.2026" TargetMode = "External"/><Relationship Id="rId156" Type="http://schemas.openxmlformats.org/officeDocument/2006/relationships/hyperlink" Target="https://login.consultant.ru/link/?req=doc&amp;base=STR&amp;n=28623&amp;date=03.04.2026&amp;dst=100130&amp;field=134" TargetMode = "External"/><Relationship Id="rId157" Type="http://schemas.openxmlformats.org/officeDocument/2006/relationships/hyperlink" Target="https://login.consultant.ru/link/?req=doc&amp;base=STR&amp;n=28623&amp;date=03.04.2026&amp;dst=100130&amp;field=134" TargetMode = "External"/><Relationship Id="rId158" Type="http://schemas.openxmlformats.org/officeDocument/2006/relationships/hyperlink" Target="https://login.consultant.ru/link/?req=doc&amp;base=STR&amp;n=28623&amp;date=03.04.2026&amp;dst=100140&amp;field=134" TargetMode = "External"/><Relationship Id="rId159" Type="http://schemas.openxmlformats.org/officeDocument/2006/relationships/hyperlink" Target="https://login.consultant.ru/link/?req=doc&amp;base=STR&amp;n=28623&amp;date=03.04.2026&amp;dst=100143&amp;field=134" TargetMode = "External"/><Relationship Id="rId160" Type="http://schemas.openxmlformats.org/officeDocument/2006/relationships/hyperlink" Target="https://login.consultant.ru/link/?req=doc&amp;base=STR&amp;n=28623&amp;date=03.04.2026&amp;dst=100150&amp;field=134" TargetMode = "External"/><Relationship Id="rId161" Type="http://schemas.openxmlformats.org/officeDocument/2006/relationships/hyperlink" Target="https://login.consultant.ru/link/?req=doc&amp;base=LAW&amp;n=204665&amp;date=03.04.2026&amp;dst=100012&amp;field=134" TargetMode = "External"/><Relationship Id="rId162" Type="http://schemas.openxmlformats.org/officeDocument/2006/relationships/hyperlink" Target="https://login.consultant.ru/link/?req=doc&amp;base=STR&amp;n=28623&amp;date=03.04.2026&amp;dst=100151&amp;field=134" TargetMode = "External"/><Relationship Id="rId163" Type="http://schemas.openxmlformats.org/officeDocument/2006/relationships/hyperlink" Target="https://login.consultant.ru/link/?req=doc&amp;base=LAW&amp;n=510852&amp;date=03.04.2026&amp;dst=100041&amp;field=134" TargetMode = "External"/><Relationship Id="rId164" Type="http://schemas.openxmlformats.org/officeDocument/2006/relationships/hyperlink" Target="https://login.consultant.ru/link/?req=doc&amp;base=STR&amp;n=28623&amp;date=03.04.2026&amp;dst=100152&amp;field=134" TargetMode = "External"/><Relationship Id="rId165" Type="http://schemas.openxmlformats.org/officeDocument/2006/relationships/hyperlink" Target="https://login.consultant.ru/link/?req=doc&amp;base=STR&amp;n=28623&amp;date=03.04.2026&amp;dst=100153&amp;field=134" TargetMode = "External"/><Relationship Id="rId166" Type="http://schemas.openxmlformats.org/officeDocument/2006/relationships/hyperlink" Target="https://login.consultant.ru/link/?req=doc&amp;base=STR&amp;n=28623&amp;date=03.04.2026&amp;dst=100155&amp;field=134" TargetMode = "External"/><Relationship Id="rId167" Type="http://schemas.openxmlformats.org/officeDocument/2006/relationships/hyperlink" Target="https://login.consultant.ru/link/?req=doc&amp;base=STR&amp;n=28623&amp;date=03.04.2026&amp;dst=100157&amp;field=134" TargetMode = "External"/><Relationship Id="rId168" Type="http://schemas.openxmlformats.org/officeDocument/2006/relationships/hyperlink" Target="https://login.consultant.ru/link/?req=doc&amp;base=STR&amp;n=28578&amp;date=03.04.2026" TargetMode = "External"/><Relationship Id="rId169" Type="http://schemas.openxmlformats.org/officeDocument/2006/relationships/hyperlink" Target="https://login.consultant.ru/link/?req=doc&amp;base=STR&amp;n=28623&amp;date=03.04.2026&amp;dst=100158&amp;field=134" TargetMode = "External"/><Relationship Id="rId170" Type="http://schemas.openxmlformats.org/officeDocument/2006/relationships/hyperlink" Target="https://login.consultant.ru/link/?req=doc&amp;base=STR&amp;n=33998&amp;date=03.04.2026" TargetMode = "External"/><Relationship Id="rId171" Type="http://schemas.openxmlformats.org/officeDocument/2006/relationships/hyperlink" Target="https://login.consultant.ru/link/?req=doc&amp;base=STR&amp;n=28623&amp;date=03.04.2026&amp;dst=100159&amp;field=134" TargetMode = "External"/><Relationship Id="rId172" Type="http://schemas.openxmlformats.org/officeDocument/2006/relationships/hyperlink" Target="https://login.consultant.ru/link/?req=doc&amp;base=STR&amp;n=28623&amp;date=03.04.2026&amp;dst=100160&amp;field=134" TargetMode = "External"/><Relationship Id="rId173" Type="http://schemas.openxmlformats.org/officeDocument/2006/relationships/hyperlink" Target="https://login.consultant.ru/link/?req=doc&amp;base=STR&amp;n=34312&amp;date=03.04.2026&amp;dst=100055&amp;field=134" TargetMode = "External"/><Relationship Id="rId174" Type="http://schemas.openxmlformats.org/officeDocument/2006/relationships/hyperlink" Target="https://login.consultant.ru/link/?req=doc&amp;base=STR&amp;n=28623&amp;date=03.04.2026&amp;dst=100160&amp;field=134" TargetMode = "External"/><Relationship Id="rId175" Type="http://schemas.openxmlformats.org/officeDocument/2006/relationships/hyperlink" Target="https://login.consultant.ru/link/?req=doc&amp;base=LAW&amp;n=510852&amp;date=03.04.2026&amp;dst=100041&amp;field=134" TargetMode = "External"/><Relationship Id="rId176" Type="http://schemas.openxmlformats.org/officeDocument/2006/relationships/hyperlink" Target="https://login.consultant.ru/link/?req=doc&amp;base=STR&amp;n=28623&amp;date=03.04.2026&amp;dst=100163&amp;field=134" TargetMode = "External"/><Relationship Id="rId177" Type="http://schemas.openxmlformats.org/officeDocument/2006/relationships/hyperlink" Target="https://login.consultant.ru/link/?req=doc&amp;base=STR&amp;n=351&amp;date=03.04.2026&amp;dst=100122&amp;field=134" TargetMode = "External"/><Relationship Id="rId178" Type="http://schemas.openxmlformats.org/officeDocument/2006/relationships/hyperlink" Target="https://login.consultant.ru/link/?req=doc&amp;base=STR&amp;n=28623&amp;date=03.04.2026&amp;dst=100164&amp;field=134" TargetMode = "External"/><Relationship Id="rId179" Type="http://schemas.openxmlformats.org/officeDocument/2006/relationships/hyperlink" Target="https://login.consultant.ru/link/?req=doc&amp;base=STR&amp;n=20660&amp;date=03.04.2026" TargetMode = "External"/><Relationship Id="rId180" Type="http://schemas.openxmlformats.org/officeDocument/2006/relationships/hyperlink" Target="https://login.consultant.ru/link/?req=doc&amp;base=STR&amp;n=33564&amp;date=03.04.2026" TargetMode = "External"/><Relationship Id="rId181" Type="http://schemas.openxmlformats.org/officeDocument/2006/relationships/hyperlink" Target="https://login.consultant.ru/link/?req=doc&amp;base=STR&amp;n=28623&amp;date=03.04.2026&amp;dst=100166&amp;field=134" TargetMode = "External"/><Relationship Id="rId182" Type="http://schemas.openxmlformats.org/officeDocument/2006/relationships/hyperlink" Target="https://login.consultant.ru/link/?req=doc&amp;base=STR&amp;n=28578&amp;date=03.04.2026" TargetMode = "External"/><Relationship Id="rId183" Type="http://schemas.openxmlformats.org/officeDocument/2006/relationships/hyperlink" Target="https://login.consultant.ru/link/?req=doc&amp;base=STR&amp;n=28623&amp;date=03.04.2026&amp;dst=100167&amp;field=134" TargetMode = "External"/><Relationship Id="rId184" Type="http://schemas.openxmlformats.org/officeDocument/2006/relationships/hyperlink" Target="https://login.consultant.ru/link/?req=doc&amp;base=STR&amp;n=28623&amp;date=03.04.2026&amp;dst=100168&amp;field=134" TargetMode = "External"/><Relationship Id="rId185" Type="http://schemas.openxmlformats.org/officeDocument/2006/relationships/hyperlink" Target="https://login.consultant.ru/link/?req=doc&amp;base=STR&amp;n=28623&amp;date=03.04.2026&amp;dst=100168&amp;field=134" TargetMode = "External"/><Relationship Id="rId186" Type="http://schemas.openxmlformats.org/officeDocument/2006/relationships/hyperlink" Target="https://login.consultant.ru/link/?req=doc&amp;base=STR&amp;n=28623&amp;date=03.04.2026&amp;dst=100171&amp;field=134" TargetMode = "External"/><Relationship Id="rId187" Type="http://schemas.openxmlformats.org/officeDocument/2006/relationships/hyperlink" Target="https://login.consultant.ru/link/?req=doc&amp;base=STR&amp;n=28623&amp;date=03.04.2026&amp;dst=100172&amp;field=134" TargetMode = "External"/><Relationship Id="rId188" Type="http://schemas.openxmlformats.org/officeDocument/2006/relationships/hyperlink" Target="https://login.consultant.ru/link/?req=doc&amp;base=STR&amp;n=28623&amp;date=03.04.2026&amp;dst=100174&amp;field=134" TargetMode = "External"/><Relationship Id="rId189" Type="http://schemas.openxmlformats.org/officeDocument/2006/relationships/hyperlink" Target="https://login.consultant.ru/link/?req=doc&amp;base=STR&amp;n=7600&amp;date=03.04.2026&amp;dst=100183&amp;field=134" TargetMode = "External"/><Relationship Id="rId190" Type="http://schemas.openxmlformats.org/officeDocument/2006/relationships/hyperlink" Target="https://login.consultant.ru/link/?req=doc&amp;base=STR&amp;n=28623&amp;date=03.04.2026&amp;dst=100177&amp;field=134" TargetMode = "External"/><Relationship Id="rId191" Type="http://schemas.openxmlformats.org/officeDocument/2006/relationships/hyperlink" Target="https://login.consultant.ru/link/?req=doc&amp;base=STR&amp;n=28623&amp;date=03.04.2026&amp;dst=100178&amp;field=134" TargetMode = "External"/><Relationship Id="rId192" Type="http://schemas.openxmlformats.org/officeDocument/2006/relationships/hyperlink" Target="https://login.consultant.ru/link/?req=doc&amp;base=STR&amp;n=30822&amp;date=03.04.2026" TargetMode = "External"/><Relationship Id="rId193" Type="http://schemas.openxmlformats.org/officeDocument/2006/relationships/hyperlink" Target="https://login.consultant.ru/link/?req=doc&amp;base=STR&amp;n=28623&amp;date=03.04.2026&amp;dst=100181&amp;field=134" TargetMode = "External"/><Relationship Id="rId194" Type="http://schemas.openxmlformats.org/officeDocument/2006/relationships/hyperlink" Target="https://login.consultant.ru/link/?req=doc&amp;base=STR&amp;n=34995&amp;date=03.04.2026" TargetMode = "External"/><Relationship Id="rId195" Type="http://schemas.openxmlformats.org/officeDocument/2006/relationships/hyperlink" Target="https://login.consultant.ru/link/?req=doc&amp;base=STR&amp;n=31816&amp;date=03.04.2026" TargetMode = "External"/><Relationship Id="rId196" Type="http://schemas.openxmlformats.org/officeDocument/2006/relationships/hyperlink" Target="https://login.consultant.ru/link/?req=doc&amp;base=STR&amp;n=28623&amp;date=03.04.2026&amp;dst=100183&amp;field=134" TargetMode = "External"/><Relationship Id="rId197" Type="http://schemas.openxmlformats.org/officeDocument/2006/relationships/hyperlink" Target="https://login.consultant.ru/link/?req=doc&amp;base=STR&amp;n=28623&amp;date=03.04.2026&amp;dst=100185&amp;field=134" TargetMode = "External"/><Relationship Id="rId198" Type="http://schemas.openxmlformats.org/officeDocument/2006/relationships/hyperlink" Target="https://login.consultant.ru/link/?req=doc&amp;base=STR&amp;n=34995&amp;date=03.04.2026" TargetMode = "External"/><Relationship Id="rId199" Type="http://schemas.openxmlformats.org/officeDocument/2006/relationships/hyperlink" Target="https://login.consultant.ru/link/?req=doc&amp;base=STR&amp;n=30822&amp;date=03.04.2026" TargetMode = "External"/><Relationship Id="rId200" Type="http://schemas.openxmlformats.org/officeDocument/2006/relationships/hyperlink" Target="https://login.consultant.ru/link/?req=doc&amp;base=STR&amp;n=34312&amp;date=03.04.2026&amp;dst=100057&amp;field=134" TargetMode = "External"/><Relationship Id="rId201" Type="http://schemas.openxmlformats.org/officeDocument/2006/relationships/hyperlink" Target="https://login.consultant.ru/link/?req=doc&amp;base=STR&amp;n=30822&amp;date=03.04.2026" TargetMode = "External"/><Relationship Id="rId202" Type="http://schemas.openxmlformats.org/officeDocument/2006/relationships/image" Target="media/image4.wmf"/><Relationship Id="rId203" Type="http://schemas.openxmlformats.org/officeDocument/2006/relationships/image" Target="media/image5.wmf"/><Relationship Id="rId204" Type="http://schemas.openxmlformats.org/officeDocument/2006/relationships/hyperlink" Target="https://login.consultant.ru/link/?req=doc&amp;base=STR&amp;n=30333&amp;date=03.04.2026" TargetMode = "External"/><Relationship Id="rId205" Type="http://schemas.openxmlformats.org/officeDocument/2006/relationships/hyperlink" Target="https://login.consultant.ru/link/?req=doc&amp;base=STR&amp;n=34259&amp;date=03.04.2026" TargetMode = "External"/><Relationship Id="rId206" Type="http://schemas.openxmlformats.org/officeDocument/2006/relationships/hyperlink" Target="https://login.consultant.ru/link/?req=doc&amp;base=LAW&amp;n=441707&amp;date=03.04.2026&amp;dst=100137&amp;field=134" TargetMode = "External"/><Relationship Id="rId207" Type="http://schemas.openxmlformats.org/officeDocument/2006/relationships/hyperlink" Target="https://login.consultant.ru/link/?req=doc&amp;base=STR&amp;n=28623&amp;date=03.04.2026&amp;dst=100188&amp;field=134" TargetMode = "External"/><Relationship Id="rId208" Type="http://schemas.openxmlformats.org/officeDocument/2006/relationships/hyperlink" Target="https://login.consultant.ru/link/?req=doc&amp;base=STR&amp;n=34995&amp;date=03.04.2026" TargetMode = "External"/><Relationship Id="rId209" Type="http://schemas.openxmlformats.org/officeDocument/2006/relationships/hyperlink" Target="https://login.consultant.ru/link/?req=doc&amp;base=STR&amp;n=34995&amp;date=03.04.2026" TargetMode = "External"/><Relationship Id="rId210" Type="http://schemas.openxmlformats.org/officeDocument/2006/relationships/hyperlink" Target="https://login.consultant.ru/link/?req=doc&amp;base=LAW&amp;n=465775&amp;date=03.04.2026&amp;dst=101980&amp;field=134" TargetMode = "External"/><Relationship Id="rId211" Type="http://schemas.openxmlformats.org/officeDocument/2006/relationships/hyperlink" Target="https://login.consultant.ru/link/?req=doc&amp;base=STR&amp;n=28623&amp;date=03.04.2026&amp;dst=100189&amp;field=134" TargetMode = "External"/><Relationship Id="rId212" Type="http://schemas.openxmlformats.org/officeDocument/2006/relationships/hyperlink" Target="https://login.consultant.ru/link/?req=doc&amp;base=STR&amp;n=28623&amp;date=03.04.2026&amp;dst=100190&amp;field=134" TargetMode = "External"/><Relationship Id="rId213" Type="http://schemas.openxmlformats.org/officeDocument/2006/relationships/hyperlink" Target="https://login.consultant.ru/link/?req=doc&amp;base=STR&amp;n=28623&amp;date=03.04.2026&amp;dst=100192&amp;field=134" TargetMode = "External"/><Relationship Id="rId214" Type="http://schemas.openxmlformats.org/officeDocument/2006/relationships/hyperlink" Target="https://login.consultant.ru/link/?req=doc&amp;base=STR&amp;n=34995&amp;date=03.04.2026" TargetMode = "External"/><Relationship Id="rId215" Type="http://schemas.openxmlformats.org/officeDocument/2006/relationships/hyperlink" Target="https://login.consultant.ru/link/?req=doc&amp;base=STR&amp;n=28623&amp;date=03.04.2026&amp;dst=100194&amp;field=134" TargetMode = "External"/><Relationship Id="rId216" Type="http://schemas.openxmlformats.org/officeDocument/2006/relationships/hyperlink" Target="https://login.consultant.ru/link/?req=doc&amp;base=STR&amp;n=28623&amp;date=03.04.2026&amp;dst=100198&amp;field=134" TargetMode = "External"/><Relationship Id="rId217" Type="http://schemas.openxmlformats.org/officeDocument/2006/relationships/hyperlink" Target="https://login.consultant.ru/link/?req=doc&amp;base=STR&amp;n=34995&amp;date=03.04.2026" TargetMode = "External"/><Relationship Id="rId218" Type="http://schemas.openxmlformats.org/officeDocument/2006/relationships/hyperlink" Target="https://login.consultant.ru/link/?req=doc&amp;base=STR&amp;n=28623&amp;date=03.04.2026&amp;dst=100208&amp;field=134" TargetMode = "External"/><Relationship Id="rId219" Type="http://schemas.openxmlformats.org/officeDocument/2006/relationships/hyperlink" Target="https://login.consultant.ru/link/?req=doc&amp;base=STR&amp;n=28623&amp;date=03.04.2026&amp;dst=100210&amp;field=134" TargetMode = "External"/><Relationship Id="rId220" Type="http://schemas.openxmlformats.org/officeDocument/2006/relationships/hyperlink" Target="https://login.consultant.ru/link/?req=doc&amp;base=STR&amp;n=28623&amp;date=03.04.2026&amp;dst=100221&amp;field=134" TargetMode = "External"/><Relationship Id="rId221" Type="http://schemas.openxmlformats.org/officeDocument/2006/relationships/hyperlink" Target="https://login.consultant.ru/link/?req=doc&amp;base=STR&amp;n=30822&amp;date=03.04.2026&amp;dst=128117&amp;field=134" TargetMode = "External"/><Relationship Id="rId222" Type="http://schemas.openxmlformats.org/officeDocument/2006/relationships/hyperlink" Target="https://login.consultant.ru/link/?req=doc&amp;base=STR&amp;n=34312&amp;date=03.04.2026&amp;dst=100058&amp;field=134" TargetMode = "External"/><Relationship Id="rId223" Type="http://schemas.openxmlformats.org/officeDocument/2006/relationships/hyperlink" Target="https://login.consultant.ru/link/?req=doc&amp;base=STR&amp;n=28623&amp;date=03.04.2026&amp;dst=100226&amp;field=134" TargetMode = "External"/><Relationship Id="rId224" Type="http://schemas.openxmlformats.org/officeDocument/2006/relationships/hyperlink" Target="https://login.consultant.ru/link/?req=doc&amp;base=STR&amp;n=35238&amp;date=03.04.2026" TargetMode = "External"/><Relationship Id="rId225" Type="http://schemas.openxmlformats.org/officeDocument/2006/relationships/hyperlink" Target="https://login.consultant.ru/link/?req=doc&amp;base=STR&amp;n=28623&amp;date=03.04.2026&amp;dst=100226&amp;field=134" TargetMode = "External"/><Relationship Id="rId226" Type="http://schemas.openxmlformats.org/officeDocument/2006/relationships/image" Target="media/image6.wmf"/><Relationship Id="rId227" Type="http://schemas.openxmlformats.org/officeDocument/2006/relationships/image" Target="media/image7.wmf"/><Relationship Id="rId228" Type="http://schemas.openxmlformats.org/officeDocument/2006/relationships/hyperlink" Target="https://login.consultant.ru/link/?req=doc&amp;base=STR&amp;n=28623&amp;date=03.04.2026&amp;dst=100230&amp;field=134" TargetMode = "External"/><Relationship Id="rId229" Type="http://schemas.openxmlformats.org/officeDocument/2006/relationships/hyperlink" Target="https://login.consultant.ru/link/?req=doc&amp;base=STR&amp;n=34995&amp;date=03.04.2026" TargetMode = "External"/><Relationship Id="rId230" Type="http://schemas.openxmlformats.org/officeDocument/2006/relationships/hyperlink" Target="https://login.consultant.ru/link/?req=doc&amp;base=STR&amp;n=34995&amp;date=03.04.2026" TargetMode = "External"/><Relationship Id="rId231" Type="http://schemas.openxmlformats.org/officeDocument/2006/relationships/hyperlink" Target="https://login.consultant.ru/link/?req=doc&amp;base=STR&amp;n=28623&amp;date=03.04.2026&amp;dst=100236&amp;field=134" TargetMode = "External"/><Relationship Id="rId232" Type="http://schemas.openxmlformats.org/officeDocument/2006/relationships/hyperlink" Target="https://login.consultant.ru/link/?req=doc&amp;base=STR&amp;n=28623&amp;date=03.04.2026&amp;dst=100239&amp;field=134" TargetMode = "External"/><Relationship Id="rId233" Type="http://schemas.openxmlformats.org/officeDocument/2006/relationships/hyperlink" Target="https://login.consultant.ru/link/?req=doc&amp;base=STR&amp;n=28623&amp;date=03.04.2026&amp;dst=100244&amp;field=134" TargetMode = "External"/><Relationship Id="rId234" Type="http://schemas.openxmlformats.org/officeDocument/2006/relationships/image" Target="media/image8.wmf"/><Relationship Id="rId235" Type="http://schemas.openxmlformats.org/officeDocument/2006/relationships/image" Target="media/image9.wmf"/><Relationship Id="rId236" Type="http://schemas.openxmlformats.org/officeDocument/2006/relationships/hyperlink" Target="https://login.consultant.ru/link/?req=doc&amp;base=STR&amp;n=28623&amp;date=03.04.2026&amp;dst=100246&amp;field=134" TargetMode = "External"/><Relationship Id="rId237" Type="http://schemas.openxmlformats.org/officeDocument/2006/relationships/hyperlink" Target="https://login.consultant.ru/link/?req=doc&amp;base=STR&amp;n=28623&amp;date=03.04.2026&amp;dst=100248&amp;field=134" TargetMode = "External"/><Relationship Id="rId238" Type="http://schemas.openxmlformats.org/officeDocument/2006/relationships/hyperlink" Target="https://login.consultant.ru/link/?req=doc&amp;base=STR&amp;n=28623&amp;date=03.04.2026&amp;dst=100250&amp;field=134" TargetMode = "External"/><Relationship Id="rId239" Type="http://schemas.openxmlformats.org/officeDocument/2006/relationships/hyperlink" Target="https://login.consultant.ru/link/?req=doc&amp;base=STR&amp;n=34995&amp;date=03.04.2026" TargetMode = "External"/><Relationship Id="rId240" Type="http://schemas.openxmlformats.org/officeDocument/2006/relationships/hyperlink" Target="https://login.consultant.ru/link/?req=doc&amp;base=STR&amp;n=28623&amp;date=03.04.2026&amp;dst=100251&amp;field=134" TargetMode = "External"/><Relationship Id="rId241" Type="http://schemas.openxmlformats.org/officeDocument/2006/relationships/hyperlink" Target="https://login.consultant.ru/link/?req=doc&amp;base=STR&amp;n=34931&amp;date=03.04.2026" TargetMode = "External"/><Relationship Id="rId242" Type="http://schemas.openxmlformats.org/officeDocument/2006/relationships/hyperlink" Target="https://login.consultant.ru/link/?req=doc&amp;base=STR&amp;n=28623&amp;date=03.04.2026&amp;dst=100254&amp;field=134" TargetMode = "External"/><Relationship Id="rId243" Type="http://schemas.openxmlformats.org/officeDocument/2006/relationships/hyperlink" Target="https://login.consultant.ru/link/?req=doc&amp;base=STR&amp;n=34931&amp;date=03.04.2026" TargetMode = "External"/><Relationship Id="rId244" Type="http://schemas.openxmlformats.org/officeDocument/2006/relationships/hyperlink" Target="https://login.consultant.ru/link/?req=doc&amp;base=LAW&amp;n=365651&amp;date=03.04.2026&amp;dst=100014&amp;field=134" TargetMode = "External"/><Relationship Id="rId245" Type="http://schemas.openxmlformats.org/officeDocument/2006/relationships/hyperlink" Target="https://login.consultant.ru/link/?req=doc&amp;base=STR&amp;n=28623&amp;date=03.04.2026&amp;dst=100258&amp;field=134" TargetMode = "External"/><Relationship Id="rId246" Type="http://schemas.openxmlformats.org/officeDocument/2006/relationships/hyperlink" Target="https://login.consultant.ru/link/?req=doc&amp;base=STR&amp;n=28623&amp;date=03.04.2026&amp;dst=100258&amp;field=134" TargetMode = "External"/><Relationship Id="rId247" Type="http://schemas.openxmlformats.org/officeDocument/2006/relationships/hyperlink" Target="https://login.consultant.ru/link/?req=doc&amp;base=STR&amp;n=31896&amp;date=03.04.2026" TargetMode = "External"/><Relationship Id="rId248" Type="http://schemas.openxmlformats.org/officeDocument/2006/relationships/hyperlink" Target="https://login.consultant.ru/link/?req=doc&amp;base=STR&amp;n=4960&amp;date=03.04.2026" TargetMode = "External"/><Relationship Id="rId249" Type="http://schemas.openxmlformats.org/officeDocument/2006/relationships/hyperlink" Target="https://login.consultant.ru/link/?req=doc&amp;base=STR&amp;n=28623&amp;date=03.04.2026&amp;dst=100261&amp;field=134" TargetMode = "External"/><Relationship Id="rId250" Type="http://schemas.openxmlformats.org/officeDocument/2006/relationships/hyperlink" Target="https://login.consultant.ru/link/?req=doc&amp;base=LAW&amp;n=441707&amp;date=03.04.2026&amp;dst=100137&amp;field=134" TargetMode = "External"/><Relationship Id="rId251" Type="http://schemas.openxmlformats.org/officeDocument/2006/relationships/hyperlink" Target="https://login.consultant.ru/link/?req=doc&amp;base=STR&amp;n=28623&amp;date=03.04.2026&amp;dst=100263&amp;field=134" TargetMode = "External"/><Relationship Id="rId252" Type="http://schemas.openxmlformats.org/officeDocument/2006/relationships/hyperlink" Target="https://login.consultant.ru/link/?req=doc&amp;base=STR&amp;n=28623&amp;date=03.04.2026&amp;dst=100265&amp;field=134" TargetMode = "External"/><Relationship Id="rId253" Type="http://schemas.openxmlformats.org/officeDocument/2006/relationships/hyperlink" Target="https://login.consultant.ru/link/?req=doc&amp;base=STR&amp;n=34931&amp;date=03.04.2026&amp;dst=100685&amp;field=134" TargetMode = "External"/><Relationship Id="rId254" Type="http://schemas.openxmlformats.org/officeDocument/2006/relationships/hyperlink" Target="https://login.consultant.ru/link/?req=doc&amp;base=STR&amp;n=28623&amp;date=03.04.2026&amp;dst=100267&amp;field=134" TargetMode = "External"/><Relationship Id="rId255" Type="http://schemas.openxmlformats.org/officeDocument/2006/relationships/hyperlink" Target="https://login.consultant.ru/link/?req=doc&amp;base=STR&amp;n=34931&amp;date=03.04.2026" TargetMode = "External"/><Relationship Id="rId256" Type="http://schemas.openxmlformats.org/officeDocument/2006/relationships/hyperlink" Target="https://login.consultant.ru/link/?req=doc&amp;base=STR&amp;n=28623&amp;date=03.04.2026&amp;dst=100275&amp;field=134" TargetMode = "External"/><Relationship Id="rId257" Type="http://schemas.openxmlformats.org/officeDocument/2006/relationships/hyperlink" Target="https://login.consultant.ru/link/?req=doc&amp;base=STR&amp;n=28623&amp;date=03.04.2026&amp;dst=100277&amp;field=134" TargetMode = "External"/><Relationship Id="rId258" Type="http://schemas.openxmlformats.org/officeDocument/2006/relationships/hyperlink" Target="https://login.consultant.ru/link/?req=doc&amp;base=STR&amp;n=34931&amp;date=03.04.2026" TargetMode = "External"/><Relationship Id="rId259" Type="http://schemas.openxmlformats.org/officeDocument/2006/relationships/hyperlink" Target="https://login.consultant.ru/link/?req=doc&amp;base=STR&amp;n=35060&amp;date=03.04.2026" TargetMode = "External"/><Relationship Id="rId260" Type="http://schemas.openxmlformats.org/officeDocument/2006/relationships/hyperlink" Target="https://login.consultant.ru/link/?req=doc&amp;base=LAW&amp;n=365651&amp;date=03.04.2026&amp;dst=100014&amp;field=134" TargetMode = "External"/><Relationship Id="rId261" Type="http://schemas.openxmlformats.org/officeDocument/2006/relationships/hyperlink" Target="https://login.consultant.ru/link/?req=doc&amp;base=STR&amp;n=28623&amp;date=03.04.2026&amp;dst=100279&amp;field=134" TargetMode = "External"/><Relationship Id="rId262" Type="http://schemas.openxmlformats.org/officeDocument/2006/relationships/hyperlink" Target="https://login.consultant.ru/link/?req=doc&amp;base=STR&amp;n=35060&amp;date=03.04.2026" TargetMode = "External"/><Relationship Id="rId263" Type="http://schemas.openxmlformats.org/officeDocument/2006/relationships/hyperlink" Target="https://login.consultant.ru/link/?req=doc&amp;base=STR&amp;n=351&amp;date=03.04.2026&amp;dst=100122&amp;field=134" TargetMode = "External"/><Relationship Id="rId264" Type="http://schemas.openxmlformats.org/officeDocument/2006/relationships/hyperlink" Target="https://login.consultant.ru/link/?req=doc&amp;base=STR&amp;n=35060&amp;date=03.04.2026" TargetMode = "External"/><Relationship Id="rId265" Type="http://schemas.openxmlformats.org/officeDocument/2006/relationships/hyperlink" Target="https://login.consultant.ru/link/?req=doc&amp;base=STR&amp;n=28623&amp;date=03.04.2026&amp;dst=100280&amp;field=134" TargetMode = "External"/><Relationship Id="rId266" Type="http://schemas.openxmlformats.org/officeDocument/2006/relationships/hyperlink" Target="https://login.consultant.ru/link/?req=doc&amp;base=STR&amp;n=34931&amp;date=03.04.2026" TargetMode = "External"/><Relationship Id="rId267" Type="http://schemas.openxmlformats.org/officeDocument/2006/relationships/hyperlink" Target="https://login.consultant.ru/link/?req=doc&amp;base=STR&amp;n=28623&amp;date=03.04.2026&amp;dst=100282&amp;field=134" TargetMode = "External"/><Relationship Id="rId268" Type="http://schemas.openxmlformats.org/officeDocument/2006/relationships/hyperlink" Target="https://login.consultant.ru/link/?req=doc&amp;base=STR&amp;n=28623&amp;date=03.04.2026&amp;dst=100284&amp;field=134" TargetMode = "External"/><Relationship Id="rId269" Type="http://schemas.openxmlformats.org/officeDocument/2006/relationships/hyperlink" Target="https://login.consultant.ru/link/?req=doc&amp;base=STR&amp;n=28623&amp;date=03.04.2026&amp;dst=100286&amp;field=134" TargetMode = "External"/><Relationship Id="rId270" Type="http://schemas.openxmlformats.org/officeDocument/2006/relationships/hyperlink" Target="https://login.consultant.ru/link/?req=doc&amp;base=STR&amp;n=34931&amp;date=03.04.2026" TargetMode = "External"/><Relationship Id="rId271" Type="http://schemas.openxmlformats.org/officeDocument/2006/relationships/hyperlink" Target="https://login.consultant.ru/link/?req=doc&amp;base=STR&amp;n=28623&amp;date=03.04.2026&amp;dst=100290&amp;field=134" TargetMode = "External"/><Relationship Id="rId272" Type="http://schemas.openxmlformats.org/officeDocument/2006/relationships/hyperlink" Target="https://login.consultant.ru/link/?req=doc&amp;base=STR&amp;n=28623&amp;date=03.04.2026&amp;dst=100291&amp;field=134" TargetMode = "External"/><Relationship Id="rId273" Type="http://schemas.openxmlformats.org/officeDocument/2006/relationships/hyperlink" Target="https://login.consultant.ru/link/?req=doc&amp;base=STR&amp;n=28623&amp;date=03.04.2026&amp;dst=100291&amp;field=134" TargetMode = "External"/><Relationship Id="rId274" Type="http://schemas.openxmlformats.org/officeDocument/2006/relationships/hyperlink" Target="https://login.consultant.ru/link/?req=doc&amp;base=STR&amp;n=28623&amp;date=03.04.2026&amp;dst=100294&amp;field=134" TargetMode = "External"/><Relationship Id="rId275" Type="http://schemas.openxmlformats.org/officeDocument/2006/relationships/hyperlink" Target="https://login.consultant.ru/link/?req=doc&amp;base=STR&amp;n=34931&amp;date=03.04.2026" TargetMode = "External"/><Relationship Id="rId276" Type="http://schemas.openxmlformats.org/officeDocument/2006/relationships/hyperlink" Target="https://login.consultant.ru/link/?req=doc&amp;base=STR&amp;n=28623&amp;date=03.04.2026&amp;dst=100295&amp;field=134" TargetMode = "External"/><Relationship Id="rId277" Type="http://schemas.openxmlformats.org/officeDocument/2006/relationships/image" Target="media/image10.png"/><Relationship Id="rId278" Type="http://schemas.openxmlformats.org/officeDocument/2006/relationships/hyperlink" Target="https://login.consultant.ru/link/?req=doc&amp;base=STR&amp;n=28623&amp;date=03.04.2026&amp;dst=100296&amp;field=134" TargetMode = "External"/><Relationship Id="rId279" Type="http://schemas.openxmlformats.org/officeDocument/2006/relationships/hyperlink" Target="https://login.consultant.ru/link/?req=doc&amp;base=STR&amp;n=28623&amp;date=03.04.2026&amp;dst=100302&amp;field=134" TargetMode = "External"/><Relationship Id="rId280" Type="http://schemas.openxmlformats.org/officeDocument/2006/relationships/hyperlink" Target="https://login.consultant.ru/link/?req=doc&amp;base=STR&amp;n=28623&amp;date=03.04.2026&amp;dst=100304&amp;field=134" TargetMode = "External"/><Relationship Id="rId281" Type="http://schemas.openxmlformats.org/officeDocument/2006/relationships/hyperlink" Target="https://login.consultant.ru/link/?req=doc&amp;base=STR&amp;n=28623&amp;date=03.04.2026&amp;dst=100304&amp;field=134" TargetMode = "External"/><Relationship Id="rId282" Type="http://schemas.openxmlformats.org/officeDocument/2006/relationships/hyperlink" Target="https://login.consultant.ru/link/?req=doc&amp;base=STR&amp;n=28623&amp;date=03.04.2026&amp;dst=100304&amp;field=134" TargetMode = "External"/><Relationship Id="rId283" Type="http://schemas.openxmlformats.org/officeDocument/2006/relationships/hyperlink" Target="https://login.consultant.ru/link/?req=doc&amp;base=STR&amp;n=34312&amp;date=03.04.2026&amp;dst=100060&amp;field=134" TargetMode = "External"/><Relationship Id="rId284" Type="http://schemas.openxmlformats.org/officeDocument/2006/relationships/hyperlink" Target="https://login.consultant.ru/link/?req=doc&amp;base=STR&amp;n=28623&amp;date=03.04.2026&amp;dst=100308&amp;field=134" TargetMode = "External"/><Relationship Id="rId285" Type="http://schemas.openxmlformats.org/officeDocument/2006/relationships/hyperlink" Target="https://login.consultant.ru/link/?req=doc&amp;base=STR&amp;n=34931&amp;date=03.04.2026" TargetMode = "External"/><Relationship Id="rId286" Type="http://schemas.openxmlformats.org/officeDocument/2006/relationships/hyperlink" Target="https://login.consultant.ru/link/?req=doc&amp;base=STR&amp;n=28623&amp;date=03.04.2026&amp;dst=100310&amp;field=134" TargetMode = "External"/><Relationship Id="rId287" Type="http://schemas.openxmlformats.org/officeDocument/2006/relationships/hyperlink" Target="https://login.consultant.ru/link/?req=doc&amp;base=STR&amp;n=34931&amp;date=03.04.2026" TargetMode = "External"/><Relationship Id="rId288" Type="http://schemas.openxmlformats.org/officeDocument/2006/relationships/hyperlink" Target="https://login.consultant.ru/link/?req=doc&amp;base=STR&amp;n=28623&amp;date=03.04.2026&amp;dst=100314&amp;field=134" TargetMode = "External"/><Relationship Id="rId289" Type="http://schemas.openxmlformats.org/officeDocument/2006/relationships/image" Target="media/image11.png"/><Relationship Id="rId290" Type="http://schemas.openxmlformats.org/officeDocument/2006/relationships/hyperlink" Target="https://login.consultant.ru/link/?req=doc&amp;base=STR&amp;n=28623&amp;date=03.04.2026&amp;dst=100315&amp;field=134" TargetMode = "External"/><Relationship Id="rId291" Type="http://schemas.openxmlformats.org/officeDocument/2006/relationships/hyperlink" Target="https://login.consultant.ru/link/?req=doc&amp;base=STR&amp;n=28623&amp;date=03.04.2026&amp;dst=100318&amp;field=134" TargetMode = "External"/><Relationship Id="rId292" Type="http://schemas.openxmlformats.org/officeDocument/2006/relationships/hyperlink" Target="https://login.consultant.ru/link/?req=doc&amp;base=STR&amp;n=28623&amp;date=03.04.2026&amp;dst=100319&amp;field=134" TargetMode = "External"/><Relationship Id="rId293" Type="http://schemas.openxmlformats.org/officeDocument/2006/relationships/hyperlink" Target="https://login.consultant.ru/link/?req=doc&amp;base=STR&amp;n=28623&amp;date=03.04.2026&amp;dst=100321&amp;field=134" TargetMode = "External"/><Relationship Id="rId294" Type="http://schemas.openxmlformats.org/officeDocument/2006/relationships/hyperlink" Target="https://login.consultant.ru/link/?req=doc&amp;base=STR&amp;n=34931&amp;date=03.04.2026" TargetMode = "External"/><Relationship Id="rId295" Type="http://schemas.openxmlformats.org/officeDocument/2006/relationships/hyperlink" Target="https://login.consultant.ru/link/?req=doc&amp;base=STR&amp;n=28623&amp;date=03.04.2026&amp;dst=100328&amp;field=134" TargetMode = "External"/><Relationship Id="rId296" Type="http://schemas.openxmlformats.org/officeDocument/2006/relationships/hyperlink" Target="https://login.consultant.ru/link/?req=doc&amp;base=STR&amp;n=28623&amp;date=03.04.2026&amp;dst=100329&amp;field=134" TargetMode = "External"/><Relationship Id="rId297" Type="http://schemas.openxmlformats.org/officeDocument/2006/relationships/hyperlink" Target="https://login.consultant.ru/link/?req=doc&amp;base=STR&amp;n=28623&amp;date=03.04.2026&amp;dst=100331&amp;field=134" TargetMode = "External"/><Relationship Id="rId298" Type="http://schemas.openxmlformats.org/officeDocument/2006/relationships/hyperlink" Target="https://login.consultant.ru/link/?req=doc&amp;base=STR&amp;n=28623&amp;date=03.04.2026&amp;dst=100333&amp;field=134" TargetMode = "External"/><Relationship Id="rId299" Type="http://schemas.openxmlformats.org/officeDocument/2006/relationships/image" Target="media/image12.png"/><Relationship Id="rId300" Type="http://schemas.openxmlformats.org/officeDocument/2006/relationships/hyperlink" Target="https://login.consultant.ru/link/?req=doc&amp;base=STR&amp;n=28623&amp;date=03.04.2026&amp;dst=100335&amp;field=134" TargetMode = "External"/><Relationship Id="rId301" Type="http://schemas.openxmlformats.org/officeDocument/2006/relationships/hyperlink" Target="https://login.consultant.ru/link/?req=doc&amp;base=STR&amp;n=28623&amp;date=03.04.2026&amp;dst=100336&amp;field=134" TargetMode = "External"/><Relationship Id="rId302" Type="http://schemas.openxmlformats.org/officeDocument/2006/relationships/hyperlink" Target="https://login.consultant.ru/link/?req=doc&amp;base=STR&amp;n=28623&amp;date=03.04.2026&amp;dst=100340&amp;field=134" TargetMode = "External"/><Relationship Id="rId303" Type="http://schemas.openxmlformats.org/officeDocument/2006/relationships/hyperlink" Target="https://login.consultant.ru/link/?req=doc&amp;base=STR&amp;n=28623&amp;date=03.04.2026&amp;dst=100344&amp;field=134" TargetMode = "External"/><Relationship Id="rId304" Type="http://schemas.openxmlformats.org/officeDocument/2006/relationships/hyperlink" Target="https://login.consultant.ru/link/?req=doc&amp;base=STR&amp;n=34997&amp;date=03.04.2026" TargetMode = "External"/><Relationship Id="rId305" Type="http://schemas.openxmlformats.org/officeDocument/2006/relationships/hyperlink" Target="https://login.consultant.ru/link/?req=doc&amp;base=LAW&amp;n=384323&amp;date=03.04.2026&amp;dst=100014&amp;field=134" TargetMode = "External"/><Relationship Id="rId306" Type="http://schemas.openxmlformats.org/officeDocument/2006/relationships/hyperlink" Target="https://login.consultant.ru/link/?req=doc&amp;base=STR&amp;n=34997&amp;date=03.04.2026" TargetMode = "External"/><Relationship Id="rId307" Type="http://schemas.openxmlformats.org/officeDocument/2006/relationships/hyperlink" Target="https://login.consultant.ru/link/?req=doc&amp;base=STR&amp;n=7600&amp;date=03.04.2026&amp;dst=100200&amp;field=134" TargetMode = "External"/><Relationship Id="rId308" Type="http://schemas.openxmlformats.org/officeDocument/2006/relationships/hyperlink" Target="https://login.consultant.ru/link/?req=doc&amp;base=STR&amp;n=34312&amp;date=03.04.2026&amp;dst=100062&amp;field=134" TargetMode = "External"/><Relationship Id="rId309" Type="http://schemas.openxmlformats.org/officeDocument/2006/relationships/hyperlink" Target="https://login.consultant.ru/link/?req=doc&amp;base=STR&amp;n=34312&amp;date=03.04.2026&amp;dst=100063&amp;field=134" TargetMode = "External"/><Relationship Id="rId310" Type="http://schemas.openxmlformats.org/officeDocument/2006/relationships/hyperlink" Target="https://login.consultant.ru/link/?req=doc&amp;base=STR&amp;n=34997&amp;date=03.04.2026&amp;dst=103642&amp;field=134" TargetMode = "External"/><Relationship Id="rId311" Type="http://schemas.openxmlformats.org/officeDocument/2006/relationships/hyperlink" Target="https://login.consultant.ru/link/?req=doc&amp;base=STR&amp;n=16866&amp;date=03.04.2026" TargetMode = "External"/><Relationship Id="rId312" Type="http://schemas.openxmlformats.org/officeDocument/2006/relationships/hyperlink" Target="https://login.consultant.ru/link/?req=doc&amp;base=LAW&amp;n=384323&amp;date=03.04.2026&amp;dst=100014&amp;field=134" TargetMode = "External"/><Relationship Id="rId313" Type="http://schemas.openxmlformats.org/officeDocument/2006/relationships/hyperlink" Target="https://login.consultant.ru/link/?req=doc&amp;base=STR&amp;n=16850&amp;date=03.04.2026" TargetMode = "External"/><Relationship Id="rId314" Type="http://schemas.openxmlformats.org/officeDocument/2006/relationships/hyperlink" Target="https://login.consultant.ru/link/?req=doc&amp;base=STR&amp;n=23397&amp;date=03.04.2026" TargetMode = "External"/><Relationship Id="rId315" Type="http://schemas.openxmlformats.org/officeDocument/2006/relationships/hyperlink" Target="https://login.consultant.ru/link/?req=doc&amp;base=STR&amp;n=28226&amp;date=03.04.2026" TargetMode = "External"/><Relationship Id="rId316" Type="http://schemas.openxmlformats.org/officeDocument/2006/relationships/hyperlink" Target="https://login.consultant.ru/link/?req=doc&amp;base=STR&amp;n=11617&amp;date=03.04.2026" TargetMode = "External"/><Relationship Id="rId317" Type="http://schemas.openxmlformats.org/officeDocument/2006/relationships/hyperlink" Target="https://login.consultant.ru/link/?req=doc&amp;base=STR&amp;n=33319&amp;date=03.04.2026&amp;dst=100063&amp;field=134" TargetMode = "External"/><Relationship Id="rId318" Type="http://schemas.openxmlformats.org/officeDocument/2006/relationships/hyperlink" Target="https://login.consultant.ru/link/?req=doc&amp;base=STR&amp;n=34312&amp;date=03.04.2026&amp;dst=100064&amp;field=134" TargetMode = "External"/><Relationship Id="rId319" Type="http://schemas.openxmlformats.org/officeDocument/2006/relationships/hyperlink" Target="https://login.consultant.ru/link/?req=doc&amp;base=STR&amp;n=28577&amp;date=03.04.2026" TargetMode = "External"/><Relationship Id="rId320" Type="http://schemas.openxmlformats.org/officeDocument/2006/relationships/hyperlink" Target="https://login.consultant.ru/link/?req=doc&amp;base=STR&amp;n=11617&amp;date=03.04.2026" TargetMode = "External"/><Relationship Id="rId321" Type="http://schemas.openxmlformats.org/officeDocument/2006/relationships/hyperlink" Target="https://login.consultant.ru/link/?req=doc&amp;base=STR&amp;n=20237&amp;date=03.04.2026" TargetMode = "External"/><Relationship Id="rId322" Type="http://schemas.openxmlformats.org/officeDocument/2006/relationships/hyperlink" Target="https://login.consultant.ru/link/?req=doc&amp;base=STR&amp;n=28623&amp;date=03.04.2026&amp;dst=100419&amp;field=134" TargetMode = "External"/><Relationship Id="rId323" Type="http://schemas.openxmlformats.org/officeDocument/2006/relationships/hyperlink" Target="https://login.consultant.ru/link/?req=doc&amp;base=STR&amp;n=35133&amp;date=03.04.2026" TargetMode = "External"/><Relationship Id="rId324" Type="http://schemas.openxmlformats.org/officeDocument/2006/relationships/hyperlink" Target="https://login.consultant.ru/link/?req=doc&amp;base=STR&amp;n=35133&amp;date=03.04.2026" TargetMode = "External"/><Relationship Id="rId325" Type="http://schemas.openxmlformats.org/officeDocument/2006/relationships/hyperlink" Target="https://login.consultant.ru/link/?req=doc&amp;base=STR&amp;n=34820&amp;date=03.04.2026" TargetMode = "External"/><Relationship Id="rId326" Type="http://schemas.openxmlformats.org/officeDocument/2006/relationships/hyperlink" Target="https://login.consultant.ru/link/?req=doc&amp;base=STR&amp;n=14067&amp;date=03.04.2026" TargetMode = "External"/><Relationship Id="rId327" Type="http://schemas.openxmlformats.org/officeDocument/2006/relationships/hyperlink" Target="https://login.consultant.ru/link/?req=doc&amp;base=STR&amp;n=24747&amp;date=03.04.2026" TargetMode = "External"/><Relationship Id="rId328" Type="http://schemas.openxmlformats.org/officeDocument/2006/relationships/hyperlink" Target="https://login.consultant.ru/link/?req=doc&amp;base=STR&amp;n=34022&amp;date=03.04.2026" TargetMode = "External"/><Relationship Id="rId329" Type="http://schemas.openxmlformats.org/officeDocument/2006/relationships/hyperlink" Target="https://login.consultant.ru/link/?req=doc&amp;base=LAW&amp;n=376143&amp;date=03.04.2026&amp;dst=100012&amp;field=134" TargetMode = "External"/><Relationship Id="rId330" Type="http://schemas.openxmlformats.org/officeDocument/2006/relationships/hyperlink" Target="https://login.consultant.ru/link/?req=doc&amp;base=STR&amp;n=16850&amp;date=03.04.2026" TargetMode = "External"/><Relationship Id="rId331" Type="http://schemas.openxmlformats.org/officeDocument/2006/relationships/hyperlink" Target="https://login.consultant.ru/link/?req=doc&amp;base=LAW&amp;n=384323&amp;date=03.04.2026&amp;dst=100014&amp;field=134" TargetMode = "External"/><Relationship Id="rId332" Type="http://schemas.openxmlformats.org/officeDocument/2006/relationships/hyperlink" Target="https://login.consultant.ru/link/?req=doc&amp;base=LAW&amp;n=376143&amp;date=03.04.2026" TargetMode = "External"/><Relationship Id="rId333" Type="http://schemas.openxmlformats.org/officeDocument/2006/relationships/hyperlink" Target="https://login.consultant.ru/link/?req=doc&amp;base=LAW&amp;n=363050&amp;date=03.04.2026&amp;dst=100014&amp;field=134" TargetMode = "External"/><Relationship Id="rId334" Type="http://schemas.openxmlformats.org/officeDocument/2006/relationships/hyperlink" Target="https://login.consultant.ru/link/?req=doc&amp;base=STR&amp;n=34022&amp;date=03.04.2026" TargetMode = "External"/><Relationship Id="rId335" Type="http://schemas.openxmlformats.org/officeDocument/2006/relationships/hyperlink" Target="https://login.consultant.ru/link/?req=doc&amp;base=LAW&amp;n=376143&amp;date=03.04.2026" TargetMode = "External"/><Relationship Id="rId336" Type="http://schemas.openxmlformats.org/officeDocument/2006/relationships/hyperlink" Target="https://login.consultant.ru/link/?req=doc&amp;base=STR&amp;n=10670&amp;date=03.04.2026" TargetMode = "External"/><Relationship Id="rId337" Type="http://schemas.openxmlformats.org/officeDocument/2006/relationships/hyperlink" Target="https://login.consultant.ru/link/?req=doc&amp;base=STR&amp;n=35133&amp;date=03.04.2026" TargetMode = "External"/><Relationship Id="rId338" Type="http://schemas.openxmlformats.org/officeDocument/2006/relationships/hyperlink" Target="https://login.consultant.ru/link/?req=doc&amp;base=STR&amp;n=14253&amp;date=03.04.2026" TargetMode = "External"/><Relationship Id="rId339" Type="http://schemas.openxmlformats.org/officeDocument/2006/relationships/hyperlink" Target="https://login.consultant.ru/link/?req=doc&amp;base=STR&amp;n=35133&amp;date=03.04.2026" TargetMode = "External"/><Relationship Id="rId340" Type="http://schemas.openxmlformats.org/officeDocument/2006/relationships/hyperlink" Target="https://login.consultant.ru/link/?req=doc&amp;base=STR&amp;n=34997&amp;date=03.04.2026" TargetMode = "External"/><Relationship Id="rId341" Type="http://schemas.openxmlformats.org/officeDocument/2006/relationships/hyperlink" Target="https://login.consultant.ru/link/?req=doc&amp;base=STR&amp;n=35133&amp;date=03.04.2026" TargetMode = "External"/><Relationship Id="rId342" Type="http://schemas.openxmlformats.org/officeDocument/2006/relationships/hyperlink" Target="https://login.consultant.ru/link/?req=doc&amp;base=STR&amp;n=14253&amp;date=03.04.2026" TargetMode = "External"/><Relationship Id="rId343" Type="http://schemas.openxmlformats.org/officeDocument/2006/relationships/hyperlink" Target="https://login.consultant.ru/link/?req=doc&amp;base=STR&amp;n=20477&amp;date=03.04.2026" TargetMode = "External"/><Relationship Id="rId344" Type="http://schemas.openxmlformats.org/officeDocument/2006/relationships/hyperlink" Target="https://login.consultant.ru/link/?req=doc&amp;base=STR&amp;n=14253&amp;date=03.04.2026" TargetMode = "External"/><Relationship Id="rId345" Type="http://schemas.openxmlformats.org/officeDocument/2006/relationships/hyperlink" Target="https://login.consultant.ru/link/?req=doc&amp;base=OTN&amp;n=5646&amp;date=03.04.2026" TargetMode = "External"/><Relationship Id="rId346" Type="http://schemas.openxmlformats.org/officeDocument/2006/relationships/hyperlink" Target="https://login.consultant.ru/link/?req=doc&amp;base=OTN&amp;n=6097&amp;date=03.04.2026" TargetMode = "External"/><Relationship Id="rId347" Type="http://schemas.openxmlformats.org/officeDocument/2006/relationships/hyperlink" Target="https://login.consultant.ru/link/?req=doc&amp;base=STR&amp;n=28623&amp;date=03.04.2026&amp;dst=100655&amp;field=134" TargetMode = "External"/><Relationship Id="rId348" Type="http://schemas.openxmlformats.org/officeDocument/2006/relationships/hyperlink" Target="https://login.consultant.ru/link/?req=doc&amp;base=STR&amp;n=35238&amp;date=03.04.2026" TargetMode = "External"/><Relationship Id="rId349" Type="http://schemas.openxmlformats.org/officeDocument/2006/relationships/hyperlink" Target="https://login.consultant.ru/link/?req=doc&amp;base=STR&amp;n=35238&amp;date=03.04.2026" TargetMode = "External"/><Relationship Id="rId350" Type="http://schemas.openxmlformats.org/officeDocument/2006/relationships/hyperlink" Target="https://login.consultant.ru/link/?req=doc&amp;base=STR&amp;n=34995&amp;date=03.04.2026" TargetMode = "External"/><Relationship Id="rId351" Type="http://schemas.openxmlformats.org/officeDocument/2006/relationships/hyperlink" Target="https://login.consultant.ru/link/?req=doc&amp;base=STR&amp;n=34022&amp;date=03.04.2026" TargetMode = "External"/><Relationship Id="rId352" Type="http://schemas.openxmlformats.org/officeDocument/2006/relationships/hyperlink" Target="https://login.consultant.ru/link/?req=doc&amp;base=STR&amp;n=35238&amp;date=03.04.2026" TargetMode = "External"/><Relationship Id="rId353" Type="http://schemas.openxmlformats.org/officeDocument/2006/relationships/hyperlink" Target="https://login.consultant.ru/link/?req=doc&amp;base=STR&amp;n=34995&amp;date=03.04.2026" TargetMode = "External"/><Relationship Id="rId354" Type="http://schemas.openxmlformats.org/officeDocument/2006/relationships/hyperlink" Target="https://login.consultant.ru/link/?req=doc&amp;base=STR&amp;n=35238&amp;date=03.04.2026" TargetMode = "External"/><Relationship Id="rId355" Type="http://schemas.openxmlformats.org/officeDocument/2006/relationships/hyperlink" Target="https://login.consultant.ru/link/?req=doc&amp;base=LAW&amp;n=363050&amp;date=03.04.2026&amp;dst=100014&amp;field=134" TargetMode = "External"/><Relationship Id="rId356" Type="http://schemas.openxmlformats.org/officeDocument/2006/relationships/hyperlink" Target="https://login.consultant.ru/link/?req=doc&amp;base=STR&amp;n=34022&amp;date=03.04.2026" TargetMode = "External"/><Relationship Id="rId357" Type="http://schemas.openxmlformats.org/officeDocument/2006/relationships/hyperlink" Target="https://login.consultant.ru/link/?req=doc&amp;base=LAW&amp;n=471819&amp;date=03.04.2026&amp;dst=100013&amp;field=134" TargetMode = "External"/><Relationship Id="rId358" Type="http://schemas.openxmlformats.org/officeDocument/2006/relationships/hyperlink" Target="https://login.consultant.ru/link/?req=doc&amp;base=STR&amp;n=35060&amp;date=03.04.2026" TargetMode = "External"/><Relationship Id="rId359" Type="http://schemas.openxmlformats.org/officeDocument/2006/relationships/hyperlink" Target="https://login.consultant.ru/link/?req=doc&amp;base=LAW&amp;n=471819&amp;date=03.04.2026&amp;dst=100718&amp;field=134" TargetMode = "External"/><Relationship Id="rId360" Type="http://schemas.openxmlformats.org/officeDocument/2006/relationships/hyperlink" Target="https://login.consultant.ru/link/?req=doc&amp;base=LAW&amp;n=468315&amp;date=03.04.2026&amp;dst=100012&amp;field=134" TargetMode = "External"/><Relationship Id="rId361" Type="http://schemas.openxmlformats.org/officeDocument/2006/relationships/hyperlink" Target="https://login.consultant.ru/link/?req=doc&amp;base=STR&amp;n=34874&amp;date=03.04.2026" TargetMode = "External"/><Relationship Id="rId362" Type="http://schemas.openxmlformats.org/officeDocument/2006/relationships/hyperlink" Target="https://login.consultant.ru/link/?req=doc&amp;base=LAW&amp;n=365651&amp;date=03.04.2026&amp;dst=100014&amp;field=134" TargetMode = "External"/><Relationship Id="rId363" Type="http://schemas.openxmlformats.org/officeDocument/2006/relationships/hyperlink" Target="https://login.consultant.ru/link/?req=doc&amp;base=LAW&amp;n=363050&amp;date=03.04.2026&amp;dst=100014&amp;field=134" TargetMode = "External"/><Relationship Id="rId364" Type="http://schemas.openxmlformats.org/officeDocument/2006/relationships/hyperlink" Target="https://login.consultant.ru/link/?req=doc&amp;base=LAW&amp;n=507905&amp;date=03.04.2026&amp;dst=100013&amp;field=134" TargetMode = "External"/><Relationship Id="rId365" Type="http://schemas.openxmlformats.org/officeDocument/2006/relationships/hyperlink" Target="https://login.consultant.ru/link/?req=doc&amp;base=STR&amp;n=34874&amp;date=03.04.2026" TargetMode = "External"/><Relationship Id="rId366" Type="http://schemas.openxmlformats.org/officeDocument/2006/relationships/hyperlink" Target="https://login.consultant.ru/link/?req=doc&amp;base=OTN&amp;n=26871&amp;date=03.04.2026" TargetMode = "External"/><Relationship Id="rId367" Type="http://schemas.openxmlformats.org/officeDocument/2006/relationships/hyperlink" Target="https://login.consultant.ru/link/?req=doc&amp;base=OTN&amp;n=26871&amp;date=03.04.2026" TargetMode = "External"/><Relationship Id="rId368" Type="http://schemas.openxmlformats.org/officeDocument/2006/relationships/hyperlink" Target="https://login.consultant.ru/link/?req=doc&amp;base=LAW&amp;n=376143&amp;date=03.04.2026&amp;dst=100012&amp;field=134" TargetMode = "External"/><Relationship Id="rId369" Type="http://schemas.openxmlformats.org/officeDocument/2006/relationships/hyperlink" Target="https://login.consultant.ru/link/?req=doc&amp;base=STR&amp;n=34312&amp;date=03.04.2026&amp;dst=100066&amp;field=134" TargetMode = "External"/><Relationship Id="rId370" Type="http://schemas.openxmlformats.org/officeDocument/2006/relationships/hyperlink" Target="https://login.consultant.ru/link/?req=doc&amp;base=STR&amp;n=34312&amp;date=03.04.2026&amp;dst=100067&amp;field=134" TargetMode = "External"/><Relationship Id="rId371" Type="http://schemas.openxmlformats.org/officeDocument/2006/relationships/hyperlink" Target="https://login.consultant.ru/link/?req=doc&amp;base=LAW&amp;n=441707&amp;date=03.04.2026&amp;dst=100137&amp;field=134" TargetMode = "External"/><Relationship Id="rId372" Type="http://schemas.openxmlformats.org/officeDocument/2006/relationships/hyperlink" Target="https://login.consultant.ru/link/?req=doc&amp;base=STR&amp;n=30333&amp;date=03.04.2026" TargetMode = "External"/><Relationship Id="rId373" Type="http://schemas.openxmlformats.org/officeDocument/2006/relationships/hyperlink" Target="https://login.consultant.ru/link/?req=doc&amp;base=STR&amp;n=28623&amp;date=03.04.2026&amp;dst=100795&amp;field=134" TargetMode = "External"/><Relationship Id="rId374" Type="http://schemas.openxmlformats.org/officeDocument/2006/relationships/hyperlink" Target="https://login.consultant.ru/link/?req=doc&amp;base=STR&amp;n=33661&amp;date=03.04.2026&amp;dst=100127&amp;field=134" TargetMode = "External"/><Relationship Id="rId375" Type="http://schemas.openxmlformats.org/officeDocument/2006/relationships/hyperlink" Target="https://login.consultant.ru/link/?req=doc&amp;base=STR&amp;n=34312&amp;date=03.04.2026&amp;dst=100069&amp;field=134" TargetMode = "External"/><Relationship Id="rId376" Type="http://schemas.openxmlformats.org/officeDocument/2006/relationships/hyperlink" Target="https://login.consultant.ru/link/?req=doc&amp;base=STR&amp;n=31817&amp;date=03.04.2026" TargetMode = "External"/><Relationship Id="rId377" Type="http://schemas.openxmlformats.org/officeDocument/2006/relationships/hyperlink" Target="https://login.consultant.ru/link/?req=doc&amp;base=STR&amp;n=34980&amp;date=03.04.2026" TargetMode = "External"/><Relationship Id="rId378" Type="http://schemas.openxmlformats.org/officeDocument/2006/relationships/hyperlink" Target="https://login.consultant.ru/link/?req=doc&amp;base=STR&amp;n=28623&amp;date=03.04.2026&amp;dst=100796&amp;field=134" TargetMode = "External"/><Relationship Id="rId379" Type="http://schemas.openxmlformats.org/officeDocument/2006/relationships/hyperlink" Target="https://login.consultant.ru/link/?req=doc&amp;base=STR&amp;n=28623&amp;date=03.04.2026&amp;dst=100798&amp;field=134" TargetMode = "External"/><Relationship Id="rId380" Type="http://schemas.openxmlformats.org/officeDocument/2006/relationships/hyperlink" Target="https://login.consultant.ru/link/?req=doc&amp;base=STR&amp;n=34995&amp;date=03.04.2026" TargetMode = "External"/><Relationship Id="rId381" Type="http://schemas.openxmlformats.org/officeDocument/2006/relationships/hyperlink" Target="https://login.consultant.ru/link/?req=doc&amp;base=STR&amp;n=28623&amp;date=03.04.2026&amp;dst=100800&amp;field=134" TargetMode = "External"/><Relationship Id="rId382" Type="http://schemas.openxmlformats.org/officeDocument/2006/relationships/hyperlink" Target="https://login.consultant.ru/link/?req=doc&amp;base=LAW&amp;n=441707&amp;date=03.04.2026&amp;dst=100137&amp;field=134" TargetMode = "External"/><Relationship Id="rId383" Type="http://schemas.openxmlformats.org/officeDocument/2006/relationships/hyperlink" Target="https://login.consultant.ru/link/?req=doc&amp;base=STR&amp;n=28623&amp;date=03.04.2026&amp;dst=100801&amp;field=134" TargetMode = "External"/><Relationship Id="rId384" Type="http://schemas.openxmlformats.org/officeDocument/2006/relationships/hyperlink" Target="https://login.consultant.ru/link/?req=doc&amp;base=STR&amp;n=31817&amp;date=03.04.2026" TargetMode = "External"/><Relationship Id="rId385" Type="http://schemas.openxmlformats.org/officeDocument/2006/relationships/hyperlink" Target="https://login.consultant.ru/link/?req=doc&amp;base=LAW&amp;n=441707&amp;date=03.04.2026&amp;dst=100137&amp;field=134" TargetMode = "External"/><Relationship Id="rId386" Type="http://schemas.openxmlformats.org/officeDocument/2006/relationships/hyperlink" Target="https://login.consultant.ru/link/?req=doc&amp;base=STR&amp;n=28623&amp;date=03.04.2026&amp;dst=100801&amp;field=134" TargetMode = "External"/><Relationship Id="rId387" Type="http://schemas.openxmlformats.org/officeDocument/2006/relationships/hyperlink" Target="https://login.consultant.ru/link/?req=doc&amp;base=STR&amp;n=31817&amp;date=03.04.2026" TargetMode = "External"/><Relationship Id="rId388" Type="http://schemas.openxmlformats.org/officeDocument/2006/relationships/hyperlink" Target="https://login.consultant.ru/link/?req=doc&amp;base=LAW&amp;n=441707&amp;date=03.04.2026&amp;dst=100137&amp;field=134" TargetMode = "External"/><Relationship Id="rId389" Type="http://schemas.openxmlformats.org/officeDocument/2006/relationships/hyperlink" Target="https://login.consultant.ru/link/?req=doc&amp;base=STR&amp;n=28623&amp;date=03.04.2026&amp;dst=100801&amp;field=134" TargetMode = "External"/><Relationship Id="rId390" Type="http://schemas.openxmlformats.org/officeDocument/2006/relationships/hyperlink" Target="https://login.consultant.ru/link/?req=doc&amp;base=STR&amp;n=30333&amp;date=03.04.2026" TargetMode = "External"/><Relationship Id="rId391" Type="http://schemas.openxmlformats.org/officeDocument/2006/relationships/hyperlink" Target="https://login.consultant.ru/link/?req=doc&amp;base=LAW&amp;n=441707&amp;date=03.04.2026&amp;dst=100137&amp;field=134" TargetMode = "External"/><Relationship Id="rId392" Type="http://schemas.openxmlformats.org/officeDocument/2006/relationships/hyperlink" Target="https://login.consultant.ru/link/?req=doc&amp;base=STR&amp;n=28623&amp;date=03.04.2026&amp;dst=100803&amp;field=134" TargetMode = "External"/><Relationship Id="rId393" Type="http://schemas.openxmlformats.org/officeDocument/2006/relationships/image" Target="media/image13.wmf"/><Relationship Id="rId394" Type="http://schemas.openxmlformats.org/officeDocument/2006/relationships/image" Target="media/image14.wmf"/><Relationship Id="rId395" Type="http://schemas.openxmlformats.org/officeDocument/2006/relationships/hyperlink" Target="https://login.consultant.ru/link/?req=doc&amp;base=STR&amp;n=28623&amp;date=03.04.2026&amp;dst=100805&amp;field=134" TargetMode = "External"/><Relationship Id="rId396" Type="http://schemas.openxmlformats.org/officeDocument/2006/relationships/hyperlink" Target="https://login.consultant.ru/link/?req=doc&amp;base=STR&amp;n=34995&amp;date=03.04.2026&amp;dst=102869&amp;field=134" TargetMode = "External"/><Relationship Id="rId397" Type="http://schemas.openxmlformats.org/officeDocument/2006/relationships/hyperlink" Target="https://login.consultant.ru/link/?req=doc&amp;base=STR&amp;n=28623&amp;date=03.04.2026&amp;dst=100883&amp;field=134" TargetMode = "External"/><Relationship Id="rId398" Type="http://schemas.openxmlformats.org/officeDocument/2006/relationships/header" Target="header2.xml"/><Relationship Id="rId399" Type="http://schemas.openxmlformats.org/officeDocument/2006/relationships/footer" Target="footer2.xml"/><Relationship Id="rId400" Type="http://schemas.openxmlformats.org/officeDocument/2006/relationships/image" Target="media/image15.wmf"/><Relationship Id="rId401" Type="http://schemas.openxmlformats.org/officeDocument/2006/relationships/image" Target="media/image16.wmf"/><Relationship Id="rId402" Type="http://schemas.openxmlformats.org/officeDocument/2006/relationships/image" Target="media/image17.wmf"/><Relationship Id="rId403" Type="http://schemas.openxmlformats.org/officeDocument/2006/relationships/image" Target="media/image18.wmf"/><Relationship Id="rId404" Type="http://schemas.openxmlformats.org/officeDocument/2006/relationships/image" Target="media/image19.wmf"/><Relationship Id="rId405" Type="http://schemas.openxmlformats.org/officeDocument/2006/relationships/image" Target="media/image20.wmf"/><Relationship Id="rId406" Type="http://schemas.openxmlformats.org/officeDocument/2006/relationships/image" Target="media/image21.wmf"/><Relationship Id="rId407" Type="http://schemas.openxmlformats.org/officeDocument/2006/relationships/image" Target="media/image22.wmf"/><Relationship Id="rId408" Type="http://schemas.openxmlformats.org/officeDocument/2006/relationships/image" Target="media/image23.wmf"/><Relationship Id="rId409" Type="http://schemas.openxmlformats.org/officeDocument/2006/relationships/hyperlink" Target="https://login.consultant.ru/link/?req=doc&amp;base=STR&amp;n=30822&amp;date=03.04.2026" TargetMode = "External"/><Relationship Id="rId410" Type="http://schemas.openxmlformats.org/officeDocument/2006/relationships/hyperlink" Target="https://login.consultant.ru/link/?req=doc&amp;base=STR&amp;n=34931&amp;date=03.04.2026" TargetMode = "External"/><Relationship Id="rId411" Type="http://schemas.openxmlformats.org/officeDocument/2006/relationships/hyperlink" Target="https://login.consultant.ru/link/?req=doc&amp;base=STR&amp;n=29176&amp;date=03.04.2026&amp;dst=103479&amp;field=134" TargetMode = "External"/><Relationship Id="rId412" Type="http://schemas.openxmlformats.org/officeDocument/2006/relationships/hyperlink" Target="https://login.consultant.ru/link/?req=doc&amp;base=STR&amp;n=34312&amp;date=03.04.2026&amp;dst=100071&amp;field=134" TargetMode = "External"/><Relationship Id="rId413" Type="http://schemas.openxmlformats.org/officeDocument/2006/relationships/hyperlink" Target="https://login.consultant.ru/link/?req=doc&amp;base=STR&amp;n=28623&amp;date=03.04.2026&amp;dst=100970&amp;field=134" TargetMode = "External"/><Relationship Id="rId414" Type="http://schemas.openxmlformats.org/officeDocument/2006/relationships/image" Target="media/image24.wmf"/><Relationship Id="rId415" Type="http://schemas.openxmlformats.org/officeDocument/2006/relationships/image" Target="media/image25.wmf"/><Relationship Id="rId416" Type="http://schemas.openxmlformats.org/officeDocument/2006/relationships/image" Target="media/image26.wmf"/><Relationship Id="rId417" Type="http://schemas.openxmlformats.org/officeDocument/2006/relationships/image" Target="media/image27.wmf"/><Relationship Id="rId418" Type="http://schemas.openxmlformats.org/officeDocument/2006/relationships/image" Target="media/image28.wmf"/><Relationship Id="rId419" Type="http://schemas.openxmlformats.org/officeDocument/2006/relationships/image" Target="media/image29.wmf"/><Relationship Id="rId420" Type="http://schemas.openxmlformats.org/officeDocument/2006/relationships/image" Target="media/image30.wmf"/><Relationship Id="rId421" Type="http://schemas.openxmlformats.org/officeDocument/2006/relationships/image" Target="media/image31.wmf"/><Relationship Id="rId422" Type="http://schemas.openxmlformats.org/officeDocument/2006/relationships/hyperlink" Target="https://login.consultant.ru/link/?req=doc&amp;base=STR&amp;n=13976&amp;date=03.04.2026" TargetMode = "External"/><Relationship Id="rId423" Type="http://schemas.openxmlformats.org/officeDocument/2006/relationships/hyperlink" Target="https://login.consultant.ru/link/?req=doc&amp;base=STR&amp;n=13976&amp;date=03.04.2026" TargetMode = "External"/><Relationship Id="rId424" Type="http://schemas.openxmlformats.org/officeDocument/2006/relationships/hyperlink" Target="https://login.consultant.ru/link/?req=doc&amp;base=STR&amp;n=28623&amp;date=03.04.2026&amp;dst=101231&amp;field=134" TargetMode = "External"/><Relationship Id="rId425" Type="http://schemas.openxmlformats.org/officeDocument/2006/relationships/hyperlink" Target="https://login.consultant.ru/link/?req=doc&amp;base=LAW&amp;n=471020&amp;date=03.04.2026" TargetMode = "External"/><Relationship Id="rId426" Type="http://schemas.openxmlformats.org/officeDocument/2006/relationships/hyperlink" Target="https://login.consultant.ru/link/?req=doc&amp;base=LAW&amp;n=465775&amp;date=03.04.2026" TargetMode = "External"/><Relationship Id="rId427" Type="http://schemas.openxmlformats.org/officeDocument/2006/relationships/hyperlink" Target="https://login.consultant.ru/link/?req=doc&amp;base=LAW&amp;n=510544&amp;date=03.04.2026" TargetMode = "External"/><Relationship Id="rId428" Type="http://schemas.openxmlformats.org/officeDocument/2006/relationships/hyperlink" Target="https://login.consultant.ru/link/?req=doc&amp;base=LAW&amp;n=495713&amp;date=03.04.2026" TargetMode = "External"/><Relationship Id="rId429" Type="http://schemas.openxmlformats.org/officeDocument/2006/relationships/hyperlink" Target="https://login.consultant.ru/link/?req=doc&amp;base=LAW&amp;n=499473&amp;date=03.04.2026&amp;dst=7769&amp;field=134" TargetMode = "External"/><Relationship Id="rId430" Type="http://schemas.openxmlformats.org/officeDocument/2006/relationships/hyperlink" Target="https://login.consultant.ru/link/?req=doc&amp;base=LAW&amp;n=220831&amp;date=03.04.2026&amp;dst=100015&amp;field=134" TargetMode = "External"/><Relationship Id="rId431" Type="http://schemas.openxmlformats.org/officeDocument/2006/relationships/hyperlink" Target="https://login.consultant.ru/link/?req=doc&amp;base=LAW&amp;n=456140&amp;date=03.04.2026&amp;dst=101337&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253.1325800.2016. Свод правил. Инженерные системы высотных зданий"
(утв. и введен в действие Приказом Минстроя России от 03.08.2016 N 542/пр)
(ред. от 14.10.2024)</dc:title>
  <dcterms:created xsi:type="dcterms:W3CDTF">2026-04-03T13:23:35Z</dcterms:created>
</cp:coreProperties>
</file>