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477.1325800.2020. Свод правил. Здания и комплексы высотные. Требования пожарной безопасности"</w:t>
              <w:br/>
              <w:t xml:space="preserve">(утв. и введен в действие Приказом Минстроя России от 29.01.2020 N 45/пр)</w:t>
              <w:br/>
              <w:t xml:space="preserve">(ред. от 02.08.2024)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29.01.2020 N 45/пр &quot;Об утверждении свода правил &quot;Здания и комплексы высотные. Требования пожарной безопасности&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29 января 2020 г. N 45/пр</w:t>
      </w:r>
    </w:p>
    <w:p>
      <w:pPr>
        <w:pStyle w:val="0"/>
        <w:jc w:val="both"/>
      </w:pPr>
      <w:r>
        <w:rPr>
          <w:sz w:val="24"/>
        </w:rPr>
      </w:r>
    </w:p>
    <w:p>
      <w:pPr>
        <w:pStyle w:val="2"/>
        <w:jc w:val="center"/>
      </w:pPr>
      <w:r>
        <w:rPr>
          <w:sz w:val="24"/>
          <w:b w:val="on"/>
        </w:rPr>
        <w:t xml:space="preserve">СВОД ПРАВИЛ</w:t>
      </w:r>
    </w:p>
    <w:p>
      <w:pPr>
        <w:pStyle w:val="2"/>
        <w:jc w:val="both"/>
      </w:pPr>
      <w:r>
        <w:rPr>
          <w:sz w:val="24"/>
        </w:rPr>
      </w:r>
    </w:p>
    <w:p>
      <w:pPr>
        <w:pStyle w:val="2"/>
        <w:jc w:val="center"/>
      </w:pPr>
      <w:r>
        <w:rPr>
          <w:sz w:val="24"/>
          <w:b w:val="on"/>
        </w:rPr>
        <w:t xml:space="preserve">ЗДАНИЯ И КОМПЛЕКСЫ ВЫСОТНЫЕ</w:t>
      </w:r>
    </w:p>
    <w:p>
      <w:pPr>
        <w:pStyle w:val="2"/>
        <w:jc w:val="both"/>
      </w:pPr>
      <w:r>
        <w:rPr>
          <w:sz w:val="24"/>
        </w:rPr>
      </w:r>
    </w:p>
    <w:p>
      <w:pPr>
        <w:pStyle w:val="2"/>
        <w:jc w:val="center"/>
      </w:pPr>
      <w:r>
        <w:rPr>
          <w:sz w:val="24"/>
          <w:b w:val="on"/>
        </w:rPr>
        <w:t xml:space="preserve">ТРЕБОВАНИЯ ПОЖАРНОЙ БЕЗОПАСНОСТИ</w:t>
      </w:r>
    </w:p>
    <w:p>
      <w:pPr>
        <w:pStyle w:val="2"/>
        <w:jc w:val="both"/>
      </w:pPr>
      <w:r>
        <w:rPr>
          <w:sz w:val="24"/>
        </w:rPr>
      </w:r>
    </w:p>
    <w:p>
      <w:pPr>
        <w:pStyle w:val="2"/>
        <w:jc w:val="center"/>
      </w:pPr>
      <w:r>
        <w:rPr>
          <w:sz w:val="24"/>
        </w:rPr>
        <w:t xml:space="preserve">Highrise buildings and complexes. Fire safety requirements</w:t>
      </w:r>
    </w:p>
    <w:p>
      <w:pPr>
        <w:pStyle w:val="2"/>
        <w:jc w:val="both"/>
      </w:pPr>
      <w:r>
        <w:rPr>
          <w:sz w:val="24"/>
        </w:rPr>
      </w:r>
    </w:p>
    <w:p>
      <w:pPr>
        <w:pStyle w:val="2"/>
        <w:jc w:val="center"/>
      </w:pPr>
      <w:r>
        <w:rPr>
          <w:sz w:val="24"/>
          <w:b w:val="on"/>
        </w:rPr>
        <w:t xml:space="preserve">СП 477.1325800.2020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color w:val="392c69"/>
              </w:rPr>
              <w:t xml:space="preserve">, утв. </w:t>
            </w:r>
            <w:hyperlink w:history="0" r:id="rId10" w:tooltip="Приказ Минстроя России от 02.08.2024 N 507/пр &quot;Об утверждении Изменения N 1 к СП 477.1325800.2020 &quot;Здания и комплексы высотные. Требования пожарной безопасности&quot; {КонсультантПлюс}">
              <w:r>
                <w:rPr>
                  <w:sz w:val="24"/>
                  <w:color w:val="0000ff"/>
                </w:rPr>
                <w:t xml:space="preserve">Приказом</w:t>
              </w:r>
            </w:hyperlink>
          </w:p>
          <w:p>
            <w:pPr>
              <w:pStyle w:val="0"/>
              <w:jc w:val="center"/>
            </w:pPr>
            <w:r>
              <w:rPr>
                <w:sz w:val="24"/>
                <w:color w:val="392c69"/>
              </w:rPr>
              <w:t xml:space="preserve">Минстроя России от 02.08.2024 N 507/пр)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30 июля 2020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АО "НИЦ "Строительство", Межрегиональная межотраслевая строительная ассоциация саморегулируемых и профессиональных отраслевых организаций "Безопасность" (Ассоциация СРО "МОАБ"), ФГБУ ВНИИПО МЧС России</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СОГЛАСОВАН Министерством Российской Федерации по делам гражданской обороны, чрезвычайным ситуациям и ликвидации последствий стихийных бедствий (МЧС России) письмом от 10 января 2020 г. N 43-13-19</w:t>
      </w:r>
    </w:p>
    <w:p>
      <w:pPr>
        <w:pStyle w:val="0"/>
        <w:spacing w:before="240" w:lineRule="auto"/>
        <w:ind w:firstLine="540"/>
        <w:jc w:val="both"/>
      </w:pPr>
      <w:r>
        <w:rPr>
          <w:sz w:val="24"/>
        </w:rPr>
        <w:t xml:space="preserve">5 УТВЕРЖДЕН </w:t>
      </w:r>
      <w:hyperlink w:history="0" r:id="rId11" w:tooltip="Приказ Минстроя России от 29.01.2020 N 45/пр &quot;Об утверждении свода правил &quot;Здания и комплексы высотные. Требования пожарной безопасности&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29 января 2020 г. N 45/пр и введен в действие с 30 июля 2020 г.</w:t>
      </w:r>
    </w:p>
    <w:p>
      <w:pPr>
        <w:pStyle w:val="0"/>
        <w:spacing w:before="240" w:lineRule="auto"/>
        <w:ind w:firstLine="540"/>
        <w:jc w:val="both"/>
      </w:pPr>
      <w:r>
        <w:rPr>
          <w:sz w:val="24"/>
        </w:rPr>
        <w:t xml:space="preserve">6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7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w:t>
      </w:r>
      <w:hyperlink w:history="0" r:id="rId12"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закона</w:t>
        </w:r>
      </w:hyperlink>
      <w:r>
        <w:rPr>
          <w:sz w:val="24"/>
        </w:rPr>
        <w:t xml:space="preserve"> от 30 декабря 2009 г. N 384-ФЗ "Технический регламент о безопасности зданий и сооружений" </w:t>
      </w:r>
      <w:hyperlink w:history="0" w:anchor="P592" w:tooltip="БИБЛИОГРАФИЯ">
        <w:r>
          <w:rPr>
            <w:sz w:val="24"/>
            <w:color w:val="0000ff"/>
          </w:rPr>
          <w:t xml:space="preserve">[1]</w:t>
        </w:r>
      </w:hyperlink>
      <w:r>
        <w:rPr>
          <w:sz w:val="24"/>
        </w:rPr>
        <w:t xml:space="preserve">. Кроме того, применение настоящего свода правил обеспечивает соблюдение требований Федерального </w:t>
      </w:r>
      <w:hyperlink w:history="0" r:id="rId1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w:t>
      </w:r>
      <w:hyperlink w:history="0" w:anchor="P592" w:tooltip="БИБЛИОГРАФИЯ">
        <w:r>
          <w:rPr>
            <w:sz w:val="24"/>
            <w:color w:val="0000ff"/>
          </w:rPr>
          <w:t xml:space="preserve">[2]</w:t>
        </w:r>
      </w:hyperlink>
      <w:r>
        <w:rPr>
          <w:sz w:val="24"/>
        </w:rPr>
        <w:t xml:space="preserve">.</w:t>
      </w:r>
    </w:p>
    <w:p>
      <w:pPr>
        <w:pStyle w:val="0"/>
        <w:spacing w:before="240" w:lineRule="auto"/>
        <w:ind w:firstLine="540"/>
        <w:jc w:val="both"/>
      </w:pPr>
      <w:r>
        <w:rPr>
          <w:sz w:val="24"/>
        </w:rPr>
        <w:t xml:space="preserve">Настоящий свод правил устанавливает требования пожарной безопасности, предъявляемые к высотным зданиям и комплексам, проектируемым в соответствии с требованиями </w:t>
      </w:r>
      <w:hyperlink w:history="0" r:id="rId14"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253.1325800.2016</w:t>
        </w:r>
      </w:hyperlink>
      <w:r>
        <w:rPr>
          <w:sz w:val="24"/>
        </w:rPr>
        <w:t xml:space="preserve"> и </w:t>
      </w:r>
      <w:hyperlink w:history="0" r:id="rId15"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267.1325800.2016</w:t>
        </w:r>
      </w:hyperlink>
      <w:r>
        <w:rPr>
          <w:sz w:val="24"/>
        </w:rPr>
        <w:t xml:space="preserve">.</w:t>
      </w:r>
    </w:p>
    <w:p>
      <w:pPr>
        <w:pStyle w:val="0"/>
        <w:spacing w:before="240" w:lineRule="auto"/>
        <w:ind w:firstLine="540"/>
        <w:jc w:val="both"/>
      </w:pPr>
      <w:r>
        <w:rPr>
          <w:sz w:val="24"/>
        </w:rPr>
        <w:t xml:space="preserve">Свод правил выполнен авторским коллективом: Ассоциация СРО "МОАБ" (руководитель работы - д-р техн. наук </w:t>
      </w:r>
      <w:r>
        <w:rPr>
          <w:sz w:val="24"/>
          <w:i w:val="on"/>
        </w:rPr>
        <w:t xml:space="preserve">М.М. Мирфатуллаев</w:t>
      </w:r>
      <w:r>
        <w:rPr>
          <w:sz w:val="24"/>
        </w:rPr>
        <w:t xml:space="preserve">), АО НПО "Пульс" (д-р техн. наук, проф. </w:t>
      </w:r>
      <w:r>
        <w:rPr>
          <w:sz w:val="24"/>
          <w:i w:val="on"/>
        </w:rPr>
        <w:t xml:space="preserve">Е.А. Мешалкин</w:t>
      </w:r>
      <w:r>
        <w:rPr>
          <w:sz w:val="24"/>
        </w:rPr>
        <w:t xml:space="preserve">), НП "АВОК" (</w:t>
      </w:r>
      <w:r>
        <w:rPr>
          <w:sz w:val="24"/>
          <w:i w:val="on"/>
        </w:rPr>
        <w:t xml:space="preserve">А.Н. Колубков</w:t>
      </w:r>
      <w:r>
        <w:rPr>
          <w:sz w:val="24"/>
        </w:rPr>
        <w:t xml:space="preserve">), АО "НИЦ "Строительство", ФГБУ ВНИИПО МЧС России, ФГБУ "ЦНИИП Минстроя России".</w:t>
      </w:r>
    </w:p>
    <w:p>
      <w:pPr>
        <w:pStyle w:val="0"/>
        <w:spacing w:before="240" w:lineRule="auto"/>
        <w:ind w:firstLine="540"/>
        <w:jc w:val="both"/>
      </w:pPr>
      <w:r>
        <w:rPr>
          <w:sz w:val="24"/>
        </w:rPr>
        <w:t xml:space="preserve">Изменение N 1 к своду правил выполнено авторским коллективом: НП "АВОК" (</w:t>
      </w:r>
      <w:r>
        <w:rPr>
          <w:sz w:val="24"/>
          <w:i w:val="on"/>
        </w:rPr>
        <w:t xml:space="preserve">А.Н. Колубков</w:t>
      </w:r>
      <w:r>
        <w:rPr>
          <w:sz w:val="24"/>
        </w:rPr>
        <w:t xml:space="preserve">), "ГЕФЕСТ ГРУПП" (д-р техн. наук, проф. </w:t>
      </w:r>
      <w:r>
        <w:rPr>
          <w:sz w:val="24"/>
          <w:i w:val="on"/>
        </w:rPr>
        <w:t xml:space="preserve">Е.А. Мешалкин</w:t>
      </w:r>
      <w:r>
        <w:rPr>
          <w:sz w:val="24"/>
        </w:rPr>
        <w:t xml:space="preserve">).</w:t>
      </w:r>
    </w:p>
    <w:p>
      <w:pPr>
        <w:pStyle w:val="0"/>
        <w:jc w:val="both"/>
      </w:pPr>
      <w:r>
        <w:rPr>
          <w:sz w:val="24"/>
        </w:rPr>
        <w:t xml:space="preserve">(абзац введен </w:t>
      </w:r>
      <w:hyperlink w:history="0" r:id="rId1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jc w:val="both"/>
      </w:pPr>
      <w:r>
        <w:rPr>
          <w:sz w:val="24"/>
        </w:rPr>
      </w:r>
    </w:p>
    <w:p>
      <w:pPr>
        <w:pStyle w:val="2"/>
        <w:outlineLvl w:val="1"/>
        <w:ind w:firstLine="540"/>
        <w:jc w:val="both"/>
      </w:pPr>
      <w:r>
        <w:rPr>
          <w:sz w:val="24"/>
          <w:b w:val="on"/>
        </w:rPr>
        <w:t xml:space="preserve">1 Область применения</w:t>
      </w:r>
    </w:p>
    <w:p>
      <w:pPr>
        <w:pStyle w:val="0"/>
        <w:spacing w:before="240" w:lineRule="auto"/>
        <w:ind w:firstLine="540"/>
        <w:jc w:val="both"/>
      </w:pPr>
      <w:r>
        <w:rPr>
          <w:sz w:val="24"/>
        </w:rPr>
        <w:t xml:space="preserve">1.1 Настоящий свод правил устанавливает требования пожарной безопасности при проектировании, строительстве, реконструкции, капитальном ремонте и эксплуатации зданий и комплексов класса функциональной пожарной опасности Ф1.3 высотой более 75 м и зданий и комплексов других классов функциональной пожарной опасности высотой более 50 м.</w:t>
      </w:r>
    </w:p>
    <w:p>
      <w:pPr>
        <w:pStyle w:val="0"/>
        <w:jc w:val="both"/>
      </w:pPr>
      <w:r>
        <w:rPr>
          <w:sz w:val="24"/>
        </w:rPr>
        <w:t xml:space="preserve">(в ред. </w:t>
      </w:r>
      <w:hyperlink w:history="0" r:id="rId1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1.2 Настоящий свод правил не распространяется на проектирование и строительство высотных зданий и сооружений производственного, складского и сельскохозяйственного назначения.</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jc w:val="both"/>
      </w:pPr>
      <w:r>
        <w:rPr>
          <w:sz w:val="24"/>
        </w:rPr>
        <w:t xml:space="preserve">(раздел 2 в ред. </w:t>
      </w:r>
      <w:hyperlink w:history="0" r:id="rId1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9"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33652-2019</w:t>
        </w:r>
      </w:hyperlink>
      <w:r>
        <w:rPr>
          <w:sz w:val="24"/>
        </w:rPr>
        <w:t xml:space="preserve"> (EN 81-70:2018) Лифты. Специальные требования безопасности и доступности для инвалидов и других маломобильных групп населения</w:t>
      </w:r>
    </w:p>
    <w:p>
      <w:pPr>
        <w:pStyle w:val="0"/>
        <w:spacing w:before="240" w:lineRule="auto"/>
        <w:ind w:firstLine="540"/>
        <w:jc w:val="both"/>
      </w:pPr>
      <w:hyperlink w:history="0" r:id="rId20"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34305-2017</w:t>
        </w:r>
      </w:hyperlink>
      <w:r>
        <w:rPr>
          <w:sz w:val="24"/>
        </w:rPr>
        <w:t xml:space="preserve"> (EN 81-72:2015) Лифты пассажирские. Лифты для пожарных</w:t>
      </w:r>
    </w:p>
    <w:p>
      <w:pPr>
        <w:pStyle w:val="0"/>
        <w:spacing w:before="240" w:lineRule="auto"/>
        <w:ind w:firstLine="540"/>
        <w:jc w:val="both"/>
      </w:pPr>
      <w:hyperlink w:history="0" r:id="rId21"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34428-2018</w:t>
        </w:r>
      </w:hyperlink>
      <w:r>
        <w:rPr>
          <w:sz w:val="24"/>
        </w:rPr>
        <w:t xml:space="preserve"> Системы эвакуационные фотолюминесцентные. Общие технические условия</w:t>
      </w:r>
    </w:p>
    <w:p>
      <w:pPr>
        <w:pStyle w:val="0"/>
        <w:spacing w:before="240" w:lineRule="auto"/>
        <w:ind w:firstLine="540"/>
        <w:jc w:val="both"/>
      </w:pPr>
      <w:hyperlink w:history="0" r:id="rId22" w:tooltip="&quot;ГОСТ Р 53271-2009. Техника пожарная. Рукава спасательные пожарные. Общие технические требования. Методы испытаний&quot; (утв. Приказом Ростехрегулирования от 18.02.2009 N 42-ст) {КонсультантПлюс}">
        <w:r>
          <w:rPr>
            <w:sz w:val="24"/>
            <w:color w:val="0000ff"/>
          </w:rPr>
          <w:t xml:space="preserve">ГОСТ Р 53271-2009</w:t>
        </w:r>
      </w:hyperlink>
      <w:r>
        <w:rPr>
          <w:sz w:val="24"/>
        </w:rPr>
        <w:t xml:space="preserve"> Техника пожарная. Рукава спасательные пожарные. Общие технические требования. Методы испытаний</w:t>
      </w:r>
    </w:p>
    <w:p>
      <w:pPr>
        <w:pStyle w:val="0"/>
        <w:spacing w:before="240" w:lineRule="auto"/>
        <w:ind w:firstLine="540"/>
        <w:jc w:val="both"/>
      </w:pPr>
      <w:hyperlink w:history="0" r:id="rId23" w:tooltip="&quot;ГОСТ Р 53272-2009. Техника пожарная. Устройства канатно-спускные пожарные. Общие технические требования. Методы испытаний&quot; (утв. Приказом Ростехрегулирования от 18.02.2009 N 43-ст) {КонсультантПлюс}">
        <w:r>
          <w:rPr>
            <w:sz w:val="24"/>
            <w:color w:val="0000ff"/>
          </w:rPr>
          <w:t xml:space="preserve">ГОСТ Р 53272-2009</w:t>
        </w:r>
      </w:hyperlink>
      <w:r>
        <w:rPr>
          <w:sz w:val="24"/>
        </w:rPr>
        <w:t xml:space="preserve"> Техника пожарная. Устройства канатно-спускные пожарные. Общие технические требования. Методы испытаний</w:t>
      </w:r>
    </w:p>
    <w:p>
      <w:pPr>
        <w:pStyle w:val="0"/>
        <w:spacing w:before="240" w:lineRule="auto"/>
        <w:ind w:firstLine="540"/>
        <w:jc w:val="both"/>
      </w:pPr>
      <w:hyperlink w:history="0" r:id="rId24" w:tooltip="&quot;ГОСТ Р 53274-2009. Национальный стандарт Российской Федерации. Техника пожарная. Трапы спасательные пожарные. Общие технические требования. Методы испытаний&quot; (утв. Приказом Ростехрегулирования от 18.02.2009 N 45-ст) {КонсультантПлюс}">
        <w:r>
          <w:rPr>
            <w:sz w:val="24"/>
            <w:color w:val="0000ff"/>
          </w:rPr>
          <w:t xml:space="preserve">ГОСТ Р 53274-2009</w:t>
        </w:r>
      </w:hyperlink>
      <w:r>
        <w:rPr>
          <w:sz w:val="24"/>
        </w:rPr>
        <w:t xml:space="preserve"> Техника пожарная. Трапы спасательные пожарные. Общие технические требования. Методы испытаний</w:t>
      </w:r>
    </w:p>
    <w:p>
      <w:pPr>
        <w:pStyle w:val="0"/>
        <w:spacing w:before="240" w:lineRule="auto"/>
        <w:ind w:firstLine="540"/>
        <w:jc w:val="both"/>
      </w:pPr>
      <w:hyperlink w:history="0" r:id="rId25" w:tooltip="&quot;ГОСТ Р 53294-2009. Национальный стандарт Российской Федерации. Материалы текстильные. Постельные принадлежности. Мягкие элементы мебели. Шторы. Занавеси. Методы испытаний на воспламеняемость&quot; (утв. и введен в действие Приказом Ростехрегулирования от 18.02.2009 N 70-ст) {КонсультантПлюс}">
        <w:r>
          <w:rPr>
            <w:sz w:val="24"/>
            <w:color w:val="0000ff"/>
          </w:rPr>
          <w:t xml:space="preserve">ГОСТ Р 53294-2009</w:t>
        </w:r>
      </w:hyperlink>
      <w:r>
        <w:rPr>
          <w:sz w:val="24"/>
        </w:rPr>
        <w:t xml:space="preserve"> Материалы текстильные. Постельные принадлежности. Мягкие элементы мебели. Шторы. Занавеси. Методы испытаний на воспламеняемость</w:t>
      </w:r>
    </w:p>
    <w:p>
      <w:pPr>
        <w:pStyle w:val="0"/>
        <w:spacing w:before="240" w:lineRule="auto"/>
        <w:ind w:firstLine="540"/>
        <w:jc w:val="both"/>
      </w:pPr>
      <w:hyperlink w:history="0" r:id="rId26"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27"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53313-2009</w:t>
        </w:r>
      </w:hyperlink>
      <w:r>
        <w:rPr>
          <w:sz w:val="24"/>
        </w:rPr>
        <w:t xml:space="preserve"> Изделия погонажные электромонтажные. Требования пожарной безопасности. Методы испытаний</w:t>
      </w:r>
    </w:p>
    <w:p>
      <w:pPr>
        <w:pStyle w:val="0"/>
        <w:spacing w:before="240" w:lineRule="auto"/>
        <w:ind w:firstLine="540"/>
        <w:jc w:val="both"/>
      </w:pPr>
      <w:hyperlink w:history="0" r:id="rId2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изменением N 1)</w:t>
      </w:r>
    </w:p>
    <w:p>
      <w:pPr>
        <w:pStyle w:val="0"/>
        <w:spacing w:before="240" w:lineRule="auto"/>
        <w:ind w:firstLine="540"/>
        <w:jc w:val="both"/>
      </w:pPr>
      <w:hyperlink w:history="0" r:id="rId29"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spacing w:before="240" w:lineRule="auto"/>
        <w:ind w:firstLine="540"/>
        <w:jc w:val="both"/>
      </w:pPr>
      <w:hyperlink w:history="0" r:id="rId30"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3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32"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33"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spacing w:before="240" w:lineRule="auto"/>
        <w:ind w:firstLine="540"/>
        <w:jc w:val="both"/>
      </w:pPr>
      <w:hyperlink w:history="0" r:id="rId3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35"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17.13330.2017</w:t>
        </w:r>
      </w:hyperlink>
      <w:r>
        <w:rPr>
          <w:sz w:val="24"/>
        </w:rPr>
        <w:t xml:space="preserve"> "СНиП II-26-76 Кровли" (с изменениями N 1, N 2, N 3, N 4)</w:t>
      </w:r>
    </w:p>
    <w:p>
      <w:pPr>
        <w:pStyle w:val="0"/>
        <w:spacing w:before="240" w:lineRule="auto"/>
        <w:ind w:firstLine="540"/>
        <w:jc w:val="both"/>
      </w:pPr>
      <w:hyperlink w:history="0" r:id="rId3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w:t>
      </w:r>
    </w:p>
    <w:p>
      <w:pPr>
        <w:pStyle w:val="0"/>
        <w:spacing w:before="240" w:lineRule="auto"/>
        <w:ind w:firstLine="540"/>
        <w:jc w:val="both"/>
      </w:pPr>
      <w:hyperlink w:history="0" r:id="rId37"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31.13330.2021</w:t>
        </w:r>
      </w:hyperlink>
      <w:r>
        <w:rPr>
          <w:sz w:val="24"/>
        </w:rPr>
        <w:t xml:space="preserve"> "СНиП 2.04.02-84* Водоснабжение. Наружные сети и сооружения"</w:t>
      </w:r>
    </w:p>
    <w:p>
      <w:pPr>
        <w:pStyle w:val="0"/>
        <w:spacing w:before="240" w:lineRule="auto"/>
        <w:ind w:firstLine="540"/>
        <w:jc w:val="both"/>
      </w:pPr>
      <w:hyperlink w:history="0" r:id="rId3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spacing w:before="240" w:lineRule="auto"/>
        <w:ind w:firstLine="540"/>
        <w:jc w:val="both"/>
      </w:pPr>
      <w:hyperlink w:history="0" r:id="rId39"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w:t>
      </w:r>
    </w:p>
    <w:p>
      <w:pPr>
        <w:pStyle w:val="0"/>
        <w:spacing w:before="240" w:lineRule="auto"/>
        <w:ind w:firstLine="540"/>
        <w:jc w:val="both"/>
      </w:pPr>
      <w:hyperlink w:history="0" r:id="rId4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w:t>
      </w:r>
    </w:p>
    <w:p>
      <w:pPr>
        <w:pStyle w:val="0"/>
        <w:spacing w:before="240" w:lineRule="auto"/>
        <w:ind w:firstLine="540"/>
        <w:jc w:val="both"/>
      </w:pPr>
      <w:hyperlink w:history="0" r:id="rId41"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113.13330.2023</w:t>
        </w:r>
      </w:hyperlink>
      <w:r>
        <w:rPr>
          <w:sz w:val="24"/>
        </w:rPr>
        <w:t xml:space="preserve"> "СНиП 21-02-99* Стоянки автомобилей"</w:t>
      </w:r>
    </w:p>
    <w:p>
      <w:pPr>
        <w:pStyle w:val="0"/>
        <w:spacing w:before="240" w:lineRule="auto"/>
        <w:ind w:firstLine="540"/>
        <w:jc w:val="both"/>
      </w:pPr>
      <w:hyperlink w:history="0" r:id="rId42"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w:t>
      </w:r>
    </w:p>
    <w:p>
      <w:pPr>
        <w:pStyle w:val="0"/>
        <w:spacing w:before="240" w:lineRule="auto"/>
        <w:ind w:firstLine="540"/>
        <w:jc w:val="both"/>
      </w:pPr>
      <w:hyperlink w:history="0" r:id="rId43"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0.12.2024) {КонсультантПлюс}">
        <w:r>
          <w:rPr>
            <w:sz w:val="24"/>
            <w:color w:val="0000ff"/>
          </w:rPr>
          <w:t xml:space="preserve">СП 252.1325800.2016</w:t>
        </w:r>
      </w:hyperlink>
      <w:r>
        <w:rPr>
          <w:sz w:val="24"/>
        </w:rPr>
        <w:t xml:space="preserve"> Здания дошкольных образовательных организаций. Правила проектирования (с изменениями N 1, N 2)</w:t>
      </w:r>
    </w:p>
    <w:p>
      <w:pPr>
        <w:pStyle w:val="0"/>
        <w:spacing w:before="240" w:lineRule="auto"/>
        <w:ind w:firstLine="540"/>
        <w:jc w:val="both"/>
      </w:pPr>
      <w:hyperlink w:history="0" r:id="rId44"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253.1325800.2016</w:t>
        </w:r>
      </w:hyperlink>
      <w:r>
        <w:rPr>
          <w:sz w:val="24"/>
        </w:rPr>
        <w:t xml:space="preserve"> Инженерные системы высотных зданий (с изменением N 1)</w:t>
      </w:r>
    </w:p>
    <w:p>
      <w:pPr>
        <w:pStyle w:val="0"/>
        <w:spacing w:before="240" w:lineRule="auto"/>
        <w:ind w:firstLine="540"/>
        <w:jc w:val="both"/>
      </w:pPr>
      <w:hyperlink w:history="0" r:id="rId45"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w:t>
      </w:r>
    </w:p>
    <w:p>
      <w:pPr>
        <w:pStyle w:val="0"/>
        <w:spacing w:before="240" w:lineRule="auto"/>
        <w:ind w:firstLine="540"/>
        <w:jc w:val="both"/>
      </w:pPr>
      <w:hyperlink w:history="0" r:id="rId46"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267.1325800.2016</w:t>
        </w:r>
      </w:hyperlink>
      <w:r>
        <w:rPr>
          <w:sz w:val="24"/>
        </w:rPr>
        <w:t xml:space="preserve"> Здания и комплексы высотные. Правила проектирования (с изменением N 1)</w:t>
      </w:r>
    </w:p>
    <w:p>
      <w:pPr>
        <w:pStyle w:val="0"/>
        <w:spacing w:before="240" w:lineRule="auto"/>
        <w:ind w:firstLine="540"/>
        <w:jc w:val="both"/>
      </w:pPr>
      <w:hyperlink w:history="0" r:id="rId47"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48"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49"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hyperlink w:history="0" r:id="rId50"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522.1325800.2023</w:t>
        </w:r>
      </w:hyperlink>
      <w:r>
        <w:rPr>
          <w:sz w:val="24"/>
        </w:rPr>
        <w:t xml:space="preserve"> Системы фасадные навесные вентилируемые. Правила проектирования, производства работ и эксплуатации</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и определения</w:t>
      </w:r>
    </w:p>
    <w:p>
      <w:pPr>
        <w:pStyle w:val="0"/>
        <w:jc w:val="both"/>
      </w:pPr>
      <w:r>
        <w:rPr>
          <w:sz w:val="24"/>
        </w:rPr>
      </w:r>
    </w:p>
    <w:p>
      <w:pPr>
        <w:pStyle w:val="0"/>
        <w:jc w:val="both"/>
      </w:pPr>
      <w:r>
        <w:rPr>
          <w:sz w:val="24"/>
        </w:rPr>
        <w:t xml:space="preserve">(раздел 3 в ред. </w:t>
      </w:r>
      <w:hyperlink w:history="0" r:id="rId5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ind w:firstLine="540"/>
        <w:jc w:val="both"/>
      </w:pPr>
      <w:r>
        <w:rPr>
          <w:sz w:val="24"/>
        </w:rPr>
      </w:r>
    </w:p>
    <w:p>
      <w:pPr>
        <w:pStyle w:val="0"/>
        <w:ind w:firstLine="540"/>
        <w:jc w:val="both"/>
      </w:pPr>
      <w:r>
        <w:rPr>
          <w:sz w:val="24"/>
        </w:rPr>
        <w:t xml:space="preserve">В настоящем своде правил применены термины и определения по </w:t>
      </w:r>
      <w:hyperlink w:history="0" w:anchor="P597"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r:id="rId52"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СП 267.1325800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атриум</w:t>
            </w:r>
            <w:r>
              <w:rPr>
                <w:sz w:val="24"/>
              </w:rPr>
              <w:t xml:space="preserve">: Часть здания в виде многосветного пространства (три и более этажей), развитого по вертикали, смежного с поэтажными частями здания (галереями, коридорами, помещениями и т.п.), имеющего верхнее освещение.</w:t>
            </w:r>
          </w:p>
          <w:p>
            <w:pPr>
              <w:pStyle w:val="0"/>
              <w:ind w:firstLine="567"/>
              <w:jc w:val="both"/>
            </w:pPr>
            <w:r>
              <w:rPr>
                <w:sz w:val="24"/>
              </w:rPr>
              <w:t xml:space="preserve">Примечание - Атриум, развитый по горизонтали (при длине более высоты) над проходом, называется пассажем.</w:t>
            </w:r>
          </w:p>
          <w:p>
            <w:pPr>
              <w:pStyle w:val="0"/>
            </w:pPr>
            <w:r>
              <w:rPr>
                <w:sz w:val="24"/>
              </w:rPr>
            </w:r>
          </w:p>
          <w:p>
            <w:pPr>
              <w:pStyle w:val="0"/>
              <w:ind w:firstLine="567"/>
              <w:jc w:val="both"/>
            </w:pPr>
            <w:r>
              <w:rPr>
                <w:sz w:val="24"/>
              </w:rPr>
              <w:t xml:space="preserve">[СП 118.13330.2022, </w:t>
            </w:r>
            <w:hyperlink w:history="0" r:id="rId53"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3.1.3</w:t>
              </w:r>
            </w:hyperlink>
            <w:r>
              <w:rPr>
                <w:sz w:val="24"/>
              </w:rPr>
              <w:t xml:space="preserve">]</w:t>
            </w:r>
          </w:p>
        </w:tc>
      </w:tr>
    </w:tbl>
    <w:p>
      <w:pPr>
        <w:pStyle w:val="0"/>
        <w:spacing w:before="240" w:lineRule="auto"/>
        <w:ind w:firstLine="540"/>
        <w:jc w:val="both"/>
      </w:pPr>
      <w:r>
        <w:rPr>
          <w:sz w:val="24"/>
        </w:rPr>
        <w:t xml:space="preserve">3.2 </w:t>
      </w:r>
      <w:r>
        <w:rPr>
          <w:sz w:val="24"/>
          <w:b w:val="on"/>
        </w:rPr>
        <w:t xml:space="preserve">безопасная (пожаробезопасная) зона</w:t>
      </w:r>
      <w:r>
        <w:rPr>
          <w:sz w:val="24"/>
        </w:rPr>
        <w:t xml:space="preserve">: Зона, в которой люди защищены от воздействия опасных факторов пожара или в которой опасные факторы пожара отсутствуют.</w:t>
      </w:r>
    </w:p>
    <w:p>
      <w:pPr>
        <w:pStyle w:val="0"/>
        <w:spacing w:before="240" w:lineRule="auto"/>
        <w:ind w:firstLine="540"/>
        <w:jc w:val="both"/>
      </w:pPr>
      <w:r>
        <w:rPr>
          <w:sz w:val="24"/>
        </w:rPr>
        <w:t xml:space="preserve">3.3 </w:t>
      </w:r>
      <w:r>
        <w:rPr>
          <w:sz w:val="24"/>
          <w:b w:val="on"/>
        </w:rPr>
        <w:t xml:space="preserve">высота пожарного отсека</w:t>
      </w:r>
      <w:r>
        <w:rPr>
          <w:sz w:val="24"/>
        </w:rPr>
        <w:t xml:space="preserve">: Максимальная разница по высоте от отметки поверхности проездов для мобильных средств пожаротушения или верхней отметки противопожарного перекрытия, отделяющего нижерасположенный пожарный отсек, до верхней отметки противопожарного перекрытия, отделяющего вышерасположенный пожарный отсек, или бесчердачного покрытия (чердачного перекрытия).</w:t>
      </w:r>
    </w:p>
    <w:p>
      <w:pPr>
        <w:pStyle w:val="0"/>
        <w:spacing w:before="240" w:lineRule="auto"/>
        <w:ind w:firstLine="540"/>
        <w:jc w:val="both"/>
      </w:pPr>
      <w:r>
        <w:rPr>
          <w:sz w:val="24"/>
        </w:rPr>
        <w:t xml:space="preserve">3.4 </w:t>
      </w:r>
      <w:r>
        <w:rPr>
          <w:sz w:val="24"/>
          <w:b w:val="on"/>
        </w:rPr>
        <w:t xml:space="preserve">высотное здание</w:t>
      </w:r>
      <w:r>
        <w:rPr>
          <w:sz w:val="24"/>
        </w:rPr>
        <w:t xml:space="preserve">: Здание, имеющее высоту, определяемую в соответствии с </w:t>
      </w:r>
      <w:hyperlink w:history="0" r:id="rId54"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более 75 м - класса функциональной пожарной опасности Ф1.3; более 50 м - других классов функциональной пожарной опасности.</w:t>
      </w:r>
    </w:p>
    <w:p>
      <w:pPr>
        <w:pStyle w:val="0"/>
        <w:spacing w:before="240" w:lineRule="auto"/>
        <w:ind w:firstLine="540"/>
        <w:jc w:val="both"/>
      </w:pPr>
      <w:r>
        <w:rPr>
          <w:sz w:val="24"/>
        </w:rPr>
        <w:t xml:space="preserve">3.5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высотный комплекс</w:t>
            </w:r>
            <w:r>
              <w:rPr>
                <w:sz w:val="24"/>
              </w:rPr>
              <w:t xml:space="preserve">: Группа из двух и более зданий различной высоты (включающая в себя не менее одного высотного здания), взаимосвязанных друг с другом с помощью архитектурно-планировочных приемов (могут иметь общую подземную или стилобатную часть, объединяющие переходы и т.п.).</w:t>
            </w:r>
          </w:p>
          <w:p>
            <w:pPr>
              <w:pStyle w:val="0"/>
              <w:ind w:firstLine="567"/>
              <w:jc w:val="both"/>
            </w:pPr>
            <w:r>
              <w:rPr>
                <w:sz w:val="24"/>
              </w:rPr>
              <w:t xml:space="preserve">[СП 267.1325800.2016, </w:t>
            </w:r>
            <w:hyperlink w:history="0" r:id="rId55" w:tooltip="&quot;СП 267.1325800.2016. Свод правил. Здания и комплексы высотные. Правила проектирования&quot; (утв. Приказом Минстроя России от 30.12.2016 N 1032/пр) (ред. от 27.12.2024) {КонсультантПлюс}">
              <w:r>
                <w:rPr>
                  <w:sz w:val="24"/>
                  <w:color w:val="0000ff"/>
                </w:rPr>
                <w:t xml:space="preserve">пункт 3.6</w:t>
              </w:r>
            </w:hyperlink>
            <w:r>
              <w:rPr>
                <w:sz w:val="24"/>
              </w:rPr>
              <w:t xml:space="preserve">]</w:t>
            </w:r>
          </w:p>
        </w:tc>
      </w:tr>
    </w:tbl>
    <w:p>
      <w:pPr>
        <w:pStyle w:val="0"/>
        <w:spacing w:before="240" w:lineRule="auto"/>
        <w:ind w:firstLine="540"/>
        <w:jc w:val="both"/>
      </w:pPr>
      <w:r>
        <w:rPr>
          <w:sz w:val="24"/>
        </w:rPr>
        <w:t xml:space="preserve">3.6 </w:t>
      </w:r>
      <w:r>
        <w:rPr>
          <w:sz w:val="24"/>
          <w:b w:val="on"/>
        </w:rPr>
        <w:t xml:space="preserve">зонная организация работы лифтов</w:t>
      </w:r>
      <w:r>
        <w:rPr>
          <w:sz w:val="24"/>
        </w:rPr>
        <w:t xml:space="preserve">: Обслуживание одной группой (одними группами) лифтов нижней части здания, другой группой (другими группами) - вышележащих частей здания.</w:t>
      </w:r>
    </w:p>
    <w:p>
      <w:pPr>
        <w:pStyle w:val="0"/>
        <w:spacing w:before="240" w:lineRule="auto"/>
        <w:ind w:firstLine="540"/>
        <w:jc w:val="both"/>
      </w:pPr>
      <w:r>
        <w:rPr>
          <w:sz w:val="24"/>
        </w:rPr>
        <w:t xml:space="preserve">3.7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пожарная секция</w:t>
            </w:r>
            <w:r>
              <w:rPr>
                <w:sz w:val="24"/>
              </w:rPr>
              <w:t xml:space="preserve">: Часть пожарного отсека, выделенная противопожарными преградами и (или) зоной, свободной от пожарной нагрузки.</w:t>
            </w:r>
          </w:p>
          <w:p>
            <w:pPr>
              <w:pStyle w:val="0"/>
              <w:ind w:firstLine="567"/>
              <w:jc w:val="both"/>
            </w:pPr>
            <w:r>
              <w:rPr>
                <w:sz w:val="24"/>
              </w:rPr>
              <w:t xml:space="preserve">[</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пункт 22.1</w:t>
              </w:r>
            </w:hyperlink>
            <w:r>
              <w:rPr>
                <w:sz w:val="24"/>
              </w:rPr>
              <w:t xml:space="preserve">]</w:t>
            </w:r>
          </w:p>
        </w:tc>
      </w:tr>
    </w:tbl>
    <w:p>
      <w:pPr>
        <w:pStyle w:val="0"/>
        <w:spacing w:before="240" w:lineRule="auto"/>
        <w:ind w:firstLine="540"/>
        <w:jc w:val="both"/>
      </w:pPr>
      <w:r>
        <w:rPr>
          <w:sz w:val="24"/>
        </w:rPr>
        <w:t xml:space="preserve">3.8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система противодымной защиты</w:t>
            </w:r>
            <w:r>
              <w:rPr>
                <w:sz w:val="24"/>
              </w:rPr>
              <w:t xml:space="preserve">: Комплекс организационных мероприятий, объемно-планировочных решений, инженерных систем и технических средств, направленных на предотвращение или ограничение опасности задымления зданий и сооружений при пожаре, а также воздействия опасных факторов пожара на людей и материальные ценности.</w:t>
            </w:r>
          </w:p>
          <w:p>
            <w:pPr>
              <w:pStyle w:val="0"/>
              <w:ind w:firstLine="567"/>
              <w:jc w:val="both"/>
            </w:pPr>
            <w:r>
              <w:rPr>
                <w:sz w:val="24"/>
              </w:rPr>
              <w:t xml:space="preserve">[</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пункт 40</w:t>
              </w:r>
            </w:hyperlink>
            <w:r>
              <w:rPr>
                <w:sz w:val="24"/>
              </w:rPr>
              <w:t xml:space="preserve">]</w:t>
            </w:r>
          </w:p>
        </w:tc>
      </w:tr>
    </w:tbl>
    <w:p>
      <w:pPr>
        <w:pStyle w:val="0"/>
        <w:spacing w:before="240" w:lineRule="auto"/>
        <w:ind w:firstLine="540"/>
        <w:jc w:val="both"/>
      </w:pPr>
      <w:r>
        <w:rPr>
          <w:sz w:val="24"/>
        </w:rPr>
        <w:t xml:space="preserve">3.9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система противопожарной защиты</w:t>
            </w:r>
            <w:r>
              <w:rPr>
                <w:sz w:val="24"/>
              </w:rPr>
              <w:t xml:space="preserve">: Комплекс организационных мероприятий и технических средств, направленных на защиту людей и имущества от воздействия опасных факторов пожара и (или) ограничение последствий воздействия опасных факторов пожара на объект защиты (продукцию).</w:t>
            </w:r>
          </w:p>
          <w:p>
            <w:pPr>
              <w:pStyle w:val="0"/>
              <w:ind w:firstLine="567"/>
              <w:jc w:val="both"/>
            </w:pPr>
            <w:r>
              <w:rPr>
                <w:sz w:val="24"/>
              </w:rPr>
              <w:t xml:space="preserve">[</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пункт 41</w:t>
              </w:r>
            </w:hyperlink>
            <w:r>
              <w:rPr>
                <w:sz w:val="24"/>
              </w:rPr>
              <w:t xml:space="preserve">]</w:t>
            </w:r>
          </w:p>
        </w:tc>
      </w:tr>
    </w:tbl>
    <w:p>
      <w:pPr>
        <w:pStyle w:val="0"/>
        <w:spacing w:before="240" w:lineRule="auto"/>
        <w:ind w:firstLine="540"/>
        <w:jc w:val="both"/>
      </w:pPr>
      <w:r>
        <w:rPr>
          <w:sz w:val="24"/>
        </w:rPr>
        <w:t xml:space="preserve">3.10 </w:t>
      </w:r>
      <w:r>
        <w:rPr>
          <w:sz w:val="24"/>
          <w:b w:val="on"/>
        </w:rPr>
        <w:t xml:space="preserve">техническое пространство высотного общественного здания:</w:t>
      </w:r>
      <w:r>
        <w:rPr>
          <w:sz w:val="24"/>
        </w:rPr>
        <w:t xml:space="preserve"> Пространство между перекрытиями высотного здания для размещения трубопроводов инженерных систем и прокладки коммуникаций (без размещения оборудования) высотой менее 1,8 м.</w:t>
      </w:r>
    </w:p>
    <w:p>
      <w:pPr>
        <w:pStyle w:val="0"/>
        <w:spacing w:before="240" w:lineRule="auto"/>
        <w:ind w:firstLine="540"/>
        <w:jc w:val="both"/>
      </w:pPr>
      <w:r>
        <w:rPr>
          <w:sz w:val="24"/>
        </w:rPr>
        <w:t xml:space="preserve">Примечание - Этажом не является.</w:t>
      </w:r>
    </w:p>
    <w:p>
      <w:pPr>
        <w:pStyle w:val="0"/>
        <w:jc w:val="both"/>
      </w:pPr>
      <w:r>
        <w:rPr>
          <w:sz w:val="24"/>
        </w:rPr>
      </w:r>
    </w:p>
    <w:p>
      <w:pPr>
        <w:pStyle w:val="0"/>
        <w:ind w:firstLine="540"/>
        <w:jc w:val="both"/>
      </w:pPr>
      <w:r>
        <w:rPr>
          <w:sz w:val="24"/>
        </w:rPr>
        <w:t xml:space="preserve">3.11 </w:t>
      </w:r>
      <w:r>
        <w:rPr>
          <w:sz w:val="24"/>
          <w:b w:val="on"/>
        </w:rPr>
        <w:t xml:space="preserve">техническое пространство высотного многоквартирного жилого здания</w:t>
      </w:r>
      <w:r>
        <w:rPr>
          <w:sz w:val="24"/>
        </w:rPr>
        <w:t xml:space="preserve">: Пространство между перекрытиями здания для размещения трубопроводов инженерных систем, прокладки коммуникаций и размещения оборудования, работающего в автоматическом режиме, без постоянного присутствия персонала службы эксплуатации, высотой менее 2,1 м.</w:t>
      </w:r>
    </w:p>
    <w:p>
      <w:pPr>
        <w:pStyle w:val="0"/>
        <w:spacing w:before="240" w:lineRule="auto"/>
        <w:ind w:firstLine="540"/>
        <w:jc w:val="both"/>
      </w:pPr>
      <w:r>
        <w:rPr>
          <w:sz w:val="24"/>
        </w:rPr>
        <w:t xml:space="preserve">Примечание - Этажом не является. Может размещаться над перекрытием верхнего жилого этажа здания, под перекрытием нижнего жилого этажа, по высоте здания.</w:t>
      </w:r>
    </w:p>
    <w:p>
      <w:pPr>
        <w:pStyle w:val="0"/>
        <w:jc w:val="both"/>
      </w:pPr>
      <w:r>
        <w:rPr>
          <w:sz w:val="24"/>
        </w:rPr>
      </w:r>
    </w:p>
    <w:p>
      <w:pPr>
        <w:pStyle w:val="0"/>
        <w:ind w:firstLine="540"/>
        <w:jc w:val="both"/>
      </w:pPr>
      <w:r>
        <w:rPr>
          <w:sz w:val="24"/>
        </w:rPr>
        <w:t xml:space="preserve">3.12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эвакуационный выход</w:t>
            </w:r>
            <w:r>
              <w:rPr>
                <w:sz w:val="24"/>
              </w:rPr>
              <w:t xml:space="preserve">: Выход, ведущий на путь эвакуации, непосредственно наружу или в безопасную зону.</w:t>
            </w:r>
          </w:p>
          <w:p>
            <w:pPr>
              <w:pStyle w:val="0"/>
              <w:ind w:firstLine="567"/>
              <w:jc w:val="both"/>
            </w:pPr>
            <w:r>
              <w:rPr>
                <w:sz w:val="24"/>
              </w:rPr>
              <w:t xml:space="preserve">[</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пункт 48</w:t>
              </w:r>
            </w:hyperlink>
            <w:r>
              <w:rPr>
                <w:sz w:val="24"/>
              </w:rPr>
              <w:t xml:space="preserve">]</w:t>
            </w:r>
          </w:p>
        </w:tc>
      </w:tr>
    </w:tbl>
    <w:p>
      <w:pPr>
        <w:pStyle w:val="0"/>
        <w:spacing w:before="240" w:lineRule="auto"/>
        <w:ind w:firstLine="540"/>
        <w:jc w:val="both"/>
      </w:pPr>
      <w:r>
        <w:rPr>
          <w:sz w:val="24"/>
        </w:rPr>
        <w:t xml:space="preserve">3.13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эвакуационный путь (путь эвакуации):</w:t>
            </w:r>
            <w:r>
              <w:rPr>
                <w:sz w:val="24"/>
              </w:rPr>
              <w:t xml:space="preserve"> Путь движения и (или) перемещения людей, ведущий непосредственно наружу или в безопасную зону, удовлетворяющий требованиям безопасной эвакуации людей при пожаре.</w:t>
            </w:r>
          </w:p>
          <w:p>
            <w:pPr>
              <w:pStyle w:val="0"/>
              <w:ind w:firstLine="567"/>
              <w:jc w:val="both"/>
            </w:pPr>
            <w:r>
              <w:rPr>
                <w:sz w:val="24"/>
              </w:rPr>
              <w:t xml:space="preserve">[</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6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пункт 49</w:t>
              </w:r>
            </w:hyperlink>
            <w:r>
              <w:rPr>
                <w:sz w:val="24"/>
              </w:rPr>
              <w:t xml:space="preserve">]</w:t>
            </w:r>
          </w:p>
        </w:tc>
      </w:tr>
    </w:tbl>
    <w:p>
      <w:pPr>
        <w:pStyle w:val="0"/>
        <w:spacing w:before="240" w:lineRule="auto"/>
        <w:ind w:firstLine="540"/>
        <w:jc w:val="both"/>
      </w:pPr>
      <w:r>
        <w:rPr>
          <w:sz w:val="24"/>
        </w:rPr>
        <w:t xml:space="preserve">3.14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эвакуация:</w:t>
            </w:r>
            <w:r>
              <w:rPr>
                <w:sz w:val="24"/>
              </w:rPr>
              <w:t xml:space="preserve"> Процесс организованного самостоятельного движения людей непосредственно наружу или в безопасную зону по путям эвакуации через эвакуационные выходы.</w:t>
            </w:r>
          </w:p>
          <w:p>
            <w:pPr>
              <w:pStyle w:val="0"/>
              <w:ind w:firstLine="567"/>
              <w:jc w:val="both"/>
            </w:pPr>
            <w:r>
              <w:rPr>
                <w:sz w:val="24"/>
              </w:rPr>
              <w:t xml:space="preserve">[</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6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пункт 50</w:t>
              </w:r>
            </w:hyperlink>
            <w:r>
              <w:rPr>
                <w:sz w:val="24"/>
              </w:rPr>
              <w:t xml:space="preserve">]</w:t>
            </w:r>
          </w:p>
        </w:tc>
      </w:tr>
    </w:tbl>
    <w:p>
      <w:pPr>
        <w:pStyle w:val="0"/>
        <w:jc w:val="both"/>
      </w:pPr>
      <w:r>
        <w:rPr>
          <w:sz w:val="24"/>
        </w:rPr>
      </w:r>
    </w:p>
    <w:p>
      <w:pPr>
        <w:pStyle w:val="2"/>
        <w:outlineLvl w:val="1"/>
        <w:ind w:firstLine="540"/>
        <w:jc w:val="both"/>
      </w:pPr>
      <w:r>
        <w:rPr>
          <w:sz w:val="24"/>
          <w:b w:val="on"/>
        </w:rPr>
        <w:t xml:space="preserve">4 Сокращения</w:t>
      </w:r>
    </w:p>
    <w:p>
      <w:pPr>
        <w:pStyle w:val="0"/>
        <w:spacing w:before="240" w:lineRule="auto"/>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АПЗ - автоматическая противопожарная защита;</w:t>
      </w:r>
    </w:p>
    <w:p>
      <w:pPr>
        <w:pStyle w:val="0"/>
        <w:spacing w:before="240" w:lineRule="auto"/>
        <w:ind w:firstLine="540"/>
        <w:jc w:val="both"/>
      </w:pPr>
      <w:r>
        <w:rPr>
          <w:sz w:val="24"/>
        </w:rPr>
        <w:t xml:space="preserve">АПС - автоматическая система пожарной сигнализации;</w:t>
      </w:r>
    </w:p>
    <w:p>
      <w:pPr>
        <w:pStyle w:val="0"/>
        <w:spacing w:before="240" w:lineRule="auto"/>
        <w:ind w:firstLine="540"/>
        <w:jc w:val="both"/>
      </w:pPr>
      <w:r>
        <w:rPr>
          <w:sz w:val="24"/>
        </w:rPr>
        <w:t xml:space="preserve">АУП - автоматическая установка пожаротушения;</w:t>
      </w:r>
    </w:p>
    <w:p>
      <w:pPr>
        <w:pStyle w:val="0"/>
        <w:spacing w:before="240" w:lineRule="auto"/>
        <w:ind w:firstLine="540"/>
        <w:jc w:val="both"/>
      </w:pPr>
      <w:r>
        <w:rPr>
          <w:sz w:val="24"/>
        </w:rPr>
        <w:t xml:space="preserve">АУПА - автоматическая установка пожаротушения автономная;</w:t>
      </w:r>
    </w:p>
    <w:p>
      <w:pPr>
        <w:pStyle w:val="0"/>
        <w:jc w:val="both"/>
      </w:pPr>
      <w:r>
        <w:rPr>
          <w:sz w:val="24"/>
        </w:rPr>
        <w:t xml:space="preserve">(введено </w:t>
      </w:r>
      <w:hyperlink w:history="0" r:id="rId6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АУСП - автоматическая установка сдерживания пожара;</w:t>
      </w:r>
    </w:p>
    <w:p>
      <w:pPr>
        <w:pStyle w:val="0"/>
        <w:spacing w:before="240" w:lineRule="auto"/>
        <w:ind w:firstLine="540"/>
        <w:jc w:val="both"/>
      </w:pPr>
      <w:r>
        <w:rPr>
          <w:sz w:val="24"/>
        </w:rPr>
        <w:t xml:space="preserve">БЗ - безопасная (пожаробезопасная) зона;</w:t>
      </w:r>
    </w:p>
    <w:p>
      <w:pPr>
        <w:pStyle w:val="0"/>
        <w:jc w:val="both"/>
      </w:pPr>
      <w:r>
        <w:rPr>
          <w:sz w:val="24"/>
        </w:rPr>
        <w:t xml:space="preserve">(введено </w:t>
      </w:r>
      <w:hyperlink w:history="0" r:id="rId6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МГН - маломобильные группы населения;</w:t>
      </w:r>
    </w:p>
    <w:p>
      <w:pPr>
        <w:pStyle w:val="0"/>
        <w:spacing w:before="240" w:lineRule="auto"/>
        <w:ind w:firstLine="540"/>
        <w:jc w:val="both"/>
      </w:pPr>
      <w:r>
        <w:rPr>
          <w:sz w:val="24"/>
        </w:rPr>
        <w:t xml:space="preserve">ПДВ - противодымная вентиляция;</w:t>
      </w:r>
    </w:p>
    <w:p>
      <w:pPr>
        <w:pStyle w:val="0"/>
        <w:spacing w:before="240" w:lineRule="auto"/>
        <w:ind w:firstLine="540"/>
        <w:jc w:val="both"/>
      </w:pPr>
      <w:r>
        <w:rPr>
          <w:sz w:val="24"/>
        </w:rPr>
        <w:t xml:space="preserve">ПТП - план тушения пожара;</w:t>
      </w:r>
    </w:p>
    <w:p>
      <w:pPr>
        <w:pStyle w:val="0"/>
        <w:spacing w:before="240" w:lineRule="auto"/>
        <w:ind w:firstLine="540"/>
        <w:jc w:val="both"/>
      </w:pPr>
      <w:r>
        <w:rPr>
          <w:sz w:val="24"/>
        </w:rPr>
        <w:t xml:space="preserve">СОУЭ - система оповещения и управления эвакуацией людей;</w:t>
      </w:r>
    </w:p>
    <w:p>
      <w:pPr>
        <w:pStyle w:val="0"/>
        <w:spacing w:before="240" w:lineRule="auto"/>
        <w:ind w:firstLine="540"/>
        <w:jc w:val="both"/>
      </w:pPr>
      <w:r>
        <w:rPr>
          <w:sz w:val="24"/>
        </w:rPr>
        <w:t xml:space="preserve">СПДЗ - система противодымной защиты;</w:t>
      </w:r>
    </w:p>
    <w:p>
      <w:pPr>
        <w:pStyle w:val="0"/>
        <w:spacing w:before="240" w:lineRule="auto"/>
        <w:ind w:firstLine="540"/>
        <w:jc w:val="both"/>
      </w:pPr>
      <w:r>
        <w:rPr>
          <w:sz w:val="24"/>
        </w:rPr>
        <w:t xml:space="preserve">СПЗ - система противопожарной защиты;</w:t>
      </w:r>
    </w:p>
    <w:p>
      <w:pPr>
        <w:pStyle w:val="0"/>
        <w:spacing w:before="240" w:lineRule="auto"/>
        <w:ind w:firstLine="540"/>
        <w:jc w:val="both"/>
      </w:pPr>
      <w:r>
        <w:rPr>
          <w:sz w:val="24"/>
        </w:rPr>
        <w:t xml:space="preserve">СПС - система пожарной сигнализации;</w:t>
      </w:r>
    </w:p>
    <w:p>
      <w:pPr>
        <w:pStyle w:val="0"/>
        <w:jc w:val="both"/>
      </w:pPr>
      <w:r>
        <w:rPr>
          <w:sz w:val="24"/>
        </w:rPr>
        <w:t xml:space="preserve">(в ред. </w:t>
      </w:r>
      <w:hyperlink w:history="0" r:id="rId6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УПА - устройство пожаротушения.</w:t>
      </w:r>
    </w:p>
    <w:p>
      <w:pPr>
        <w:pStyle w:val="0"/>
        <w:jc w:val="both"/>
      </w:pPr>
      <w:r>
        <w:rPr>
          <w:sz w:val="24"/>
        </w:rPr>
        <w:t xml:space="preserve">(введено </w:t>
      </w:r>
      <w:hyperlink w:history="0" r:id="rId65"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jc w:val="both"/>
      </w:pPr>
      <w:r>
        <w:rPr>
          <w:sz w:val="24"/>
        </w:rPr>
      </w:r>
    </w:p>
    <w:p>
      <w:pPr>
        <w:pStyle w:val="2"/>
        <w:outlineLvl w:val="1"/>
        <w:ind w:firstLine="540"/>
        <w:jc w:val="both"/>
      </w:pPr>
      <w:r>
        <w:rPr>
          <w:sz w:val="24"/>
          <w:b w:val="on"/>
        </w:rPr>
        <w:t xml:space="preserve">5 Требования к объемно-планировочным решениям</w:t>
      </w:r>
    </w:p>
    <w:bookmarkStart w:id="154" w:name="P154"/>
    <w:bookmarkEnd w:id="154"/>
    <w:p>
      <w:pPr>
        <w:pStyle w:val="0"/>
        <w:spacing w:before="240" w:lineRule="auto"/>
        <w:ind w:firstLine="540"/>
        <w:jc w:val="both"/>
      </w:pPr>
      <w:r>
        <w:rPr>
          <w:sz w:val="24"/>
        </w:rPr>
        <w:t xml:space="preserve">5.1 Части высотных зданий (комплексов), относящихся к различным классам функциональной пожарной опасности, следует выделять противопожарными преградами (стены, перекрытия) в самостоятельные пожарные отсеки.</w:t>
      </w:r>
    </w:p>
    <w:p>
      <w:pPr>
        <w:pStyle w:val="0"/>
        <w:spacing w:before="240" w:lineRule="auto"/>
        <w:ind w:firstLine="540"/>
        <w:jc w:val="both"/>
      </w:pPr>
      <w:r>
        <w:rPr>
          <w:sz w:val="24"/>
        </w:rPr>
        <w:t xml:space="preserve">Деление на пожарные отсеки следует осуществлять противопожарными стенами и (или) противопожарными перекрытиями 1-го типа с повышенными пределами огнестойкости согласно </w:t>
      </w:r>
      <w:hyperlink w:history="0" w:anchor="P226" w:tooltip="Пределы огнестойкости строительных конструкций">
        <w:r>
          <w:rPr>
            <w:sz w:val="24"/>
            <w:color w:val="0000ff"/>
          </w:rPr>
          <w:t xml:space="preserve">таблице 6.1</w:t>
        </w:r>
      </w:hyperlink>
      <w:r>
        <w:rPr>
          <w:sz w:val="24"/>
        </w:rPr>
        <w:t xml:space="preserve"> или техническими этажами, выделенными противопожарными перекрытиями. Деление на пожарные секции может проводиться другими типами противопожарных преград, в т.ч. в виде объемных элементов здания или иного инженерного решения, согласно </w:t>
      </w:r>
      <w:hyperlink w:history="0" w:anchor="P592" w:tooltip="БИБЛИОГРАФИЯ">
        <w:r>
          <w:rPr>
            <w:sz w:val="24"/>
            <w:color w:val="0000ff"/>
          </w:rPr>
          <w:t xml:space="preserve">[2]</w:t>
        </w:r>
      </w:hyperlink>
      <w:r>
        <w:rPr>
          <w:sz w:val="24"/>
        </w:rPr>
        <w:t xml:space="preserve">.</w:t>
      </w:r>
    </w:p>
    <w:p>
      <w:pPr>
        <w:pStyle w:val="0"/>
        <w:spacing w:before="240" w:lineRule="auto"/>
        <w:ind w:firstLine="540"/>
        <w:jc w:val="both"/>
      </w:pPr>
      <w:r>
        <w:rPr>
          <w:sz w:val="24"/>
        </w:rPr>
        <w:t xml:space="preserve">Технический этаж или каждая его часть, а также техническое пространство в соответствии с заданием на проектирование должны входить в состав одного из пожарных отсеков либо быть выделенными в отдельный пожарный отсек.</w:t>
      </w:r>
    </w:p>
    <w:p>
      <w:pPr>
        <w:pStyle w:val="0"/>
        <w:jc w:val="both"/>
      </w:pPr>
      <w:r>
        <w:rPr>
          <w:sz w:val="24"/>
        </w:rPr>
        <w:t xml:space="preserve">(в ред. </w:t>
      </w:r>
      <w:hyperlink w:history="0" r:id="rId6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Технический этаж, а также техническое пространство многоквартирного высотного жилого здания (полностью или частично) следует использовать для размещения сетей и систем инженерно-технического обеспечения здания, комплекса, в т.ч. оборудования для смежных вертикальных пожарных отсеков. При размещении в их части нежилых помещений их следует выделять противопожарными стенами, перекрытиями 1-го типа; при этом допускается их относить к одному из смежных вертикальных пожарных отсеков.</w:t>
      </w:r>
    </w:p>
    <w:p>
      <w:pPr>
        <w:pStyle w:val="0"/>
        <w:jc w:val="both"/>
      </w:pPr>
      <w:r>
        <w:rPr>
          <w:sz w:val="24"/>
        </w:rPr>
        <w:t xml:space="preserve">(в ред. </w:t>
      </w:r>
      <w:hyperlink w:history="0" r:id="rId6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bookmarkStart w:id="160" w:name="P160"/>
    <w:bookmarkEnd w:id="160"/>
    <w:p>
      <w:pPr>
        <w:pStyle w:val="0"/>
        <w:spacing w:before="240" w:lineRule="auto"/>
        <w:ind w:firstLine="540"/>
        <w:jc w:val="both"/>
      </w:pPr>
      <w:r>
        <w:rPr>
          <w:sz w:val="24"/>
        </w:rPr>
        <w:t xml:space="preserve">5.2 Наибольшая площадь надземного этажа в пределах пожарного отсека в зависимости от класса функциональной пожарной опасности помещений (кроме стилобатной части) должна быть:</w:t>
      </w:r>
    </w:p>
    <w:p>
      <w:pPr>
        <w:pStyle w:val="0"/>
        <w:spacing w:before="240" w:lineRule="auto"/>
        <w:ind w:firstLine="540"/>
        <w:jc w:val="both"/>
      </w:pPr>
      <w:r>
        <w:rPr>
          <w:sz w:val="24"/>
        </w:rPr>
        <w:t xml:space="preserve">- до 1500 м</w:t>
      </w:r>
      <w:r>
        <w:rPr>
          <w:sz w:val="24"/>
          <w:vertAlign w:val="superscript"/>
        </w:rPr>
        <w:t xml:space="preserve">2</w:t>
      </w:r>
      <w:r>
        <w:rPr>
          <w:sz w:val="24"/>
        </w:rPr>
        <w:t xml:space="preserve"> - для класса Ф1.2 (гостиниц, общежитий);</w:t>
      </w:r>
    </w:p>
    <w:p>
      <w:pPr>
        <w:pStyle w:val="0"/>
        <w:spacing w:before="240" w:lineRule="auto"/>
        <w:ind w:firstLine="540"/>
        <w:jc w:val="both"/>
      </w:pPr>
      <w:r>
        <w:rPr>
          <w:sz w:val="24"/>
        </w:rPr>
        <w:t xml:space="preserve">- до 2000 м</w:t>
      </w:r>
      <w:r>
        <w:rPr>
          <w:sz w:val="24"/>
          <w:vertAlign w:val="superscript"/>
        </w:rPr>
        <w:t xml:space="preserve">2</w:t>
      </w:r>
      <w:r>
        <w:rPr>
          <w:sz w:val="24"/>
        </w:rPr>
        <w:t xml:space="preserve"> - для класса Ф1.3 (жилых помещений, в т.ч. общежитий квартирного типа);</w:t>
      </w:r>
    </w:p>
    <w:p>
      <w:pPr>
        <w:pStyle w:val="0"/>
        <w:spacing w:before="240" w:lineRule="auto"/>
        <w:ind w:firstLine="540"/>
        <w:jc w:val="both"/>
      </w:pPr>
      <w:r>
        <w:rPr>
          <w:sz w:val="24"/>
        </w:rPr>
        <w:t xml:space="preserve">- до 2500 м</w:t>
      </w:r>
      <w:r>
        <w:rPr>
          <w:sz w:val="24"/>
          <w:vertAlign w:val="superscript"/>
        </w:rPr>
        <w:t xml:space="preserve">2</w:t>
      </w:r>
      <w:r>
        <w:rPr>
          <w:sz w:val="24"/>
        </w:rPr>
        <w:t xml:space="preserve"> - в остальных случаях.</w:t>
      </w:r>
    </w:p>
    <w:p>
      <w:pPr>
        <w:pStyle w:val="0"/>
        <w:jc w:val="both"/>
      </w:pPr>
      <w:r>
        <w:rPr>
          <w:sz w:val="24"/>
        </w:rPr>
        <w:t xml:space="preserve">(в ред. </w:t>
      </w:r>
      <w:hyperlink w:history="0" r:id="rId6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Абзац исключен с 03.09.2024. - </w:t>
      </w:r>
      <w:hyperlink w:history="0" r:id="rId6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5.3 Высота нижнего пожарного отсека надземной части здания, комплекса не должна превышать: предназначенного для размещения жилых помещений класса функциональной пожарной опасности Ф1.3 - 75 м, для размещения общественных помещений других классов функциональной пожарной опасности - 50 м. Высоту каждого из вышерасположенных пожарных отсеков следует принимать не более 50 м.</w:t>
      </w:r>
    </w:p>
    <w:p>
      <w:pPr>
        <w:pStyle w:val="0"/>
        <w:spacing w:before="240" w:lineRule="auto"/>
        <w:ind w:firstLine="540"/>
        <w:jc w:val="both"/>
      </w:pPr>
      <w:r>
        <w:rPr>
          <w:sz w:val="24"/>
        </w:rPr>
        <w:t xml:space="preserve">Высота здания определяется согласно </w:t>
      </w:r>
      <w:hyperlink w:history="0" r:id="rId7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Допустимую высоту (этажность) пожарных отсеков различных классов функциональной пожарной опасности (за исключением Ф1.3) следует принимать согласно </w:t>
      </w:r>
      <w:hyperlink w:history="0" r:id="rId71"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как для соответствующих зданий степени огнестойкости I класса конструктивной пожарной опасности С0, при соблюдении требований </w:t>
      </w:r>
      <w:hyperlink w:history="0" w:anchor="P154" w:tooltip="5.1 Части высотных зданий (комплексов), относящихся к различным классам функциональной пожарной опасности, следует выделять противопожарными преградами (стены, перекрытия) в самостоятельные пожарные отсеки.">
        <w:r>
          <w:rPr>
            <w:sz w:val="24"/>
            <w:color w:val="0000ff"/>
          </w:rPr>
          <w:t xml:space="preserve">5.1</w:t>
        </w:r>
      </w:hyperlink>
      <w:r>
        <w:rPr>
          <w:sz w:val="24"/>
        </w:rPr>
        <w:t xml:space="preserve"> настоящего свода правил.</w:t>
      </w:r>
    </w:p>
    <w:p>
      <w:pPr>
        <w:pStyle w:val="0"/>
        <w:spacing w:before="240" w:lineRule="auto"/>
        <w:ind w:firstLine="540"/>
        <w:jc w:val="both"/>
      </w:pPr>
      <w:r>
        <w:rPr>
          <w:sz w:val="24"/>
        </w:rPr>
        <w:t xml:space="preserve">В высотных зданиях, комплексах не размещаются помещения классов функциональной пожарной опасности Ф1.1, Ф4.1.</w:t>
      </w:r>
    </w:p>
    <w:p>
      <w:pPr>
        <w:pStyle w:val="0"/>
        <w:jc w:val="both"/>
      </w:pPr>
      <w:r>
        <w:rPr>
          <w:sz w:val="24"/>
        </w:rPr>
        <w:t xml:space="preserve">(в ред. </w:t>
      </w:r>
      <w:hyperlink w:history="0" r:id="rId7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bookmarkStart w:id="171" w:name="P171"/>
    <w:bookmarkEnd w:id="171"/>
    <w:p>
      <w:pPr>
        <w:pStyle w:val="0"/>
        <w:spacing w:before="240" w:lineRule="auto"/>
        <w:ind w:firstLine="540"/>
        <w:jc w:val="both"/>
      </w:pPr>
      <w:r>
        <w:rPr>
          <w:sz w:val="24"/>
        </w:rPr>
        <w:t xml:space="preserve">5.4 Стилобат в составе высотных зданий, комплексов может предусматриваться многофункционального назначения или иного класса функциональной пожарной опасности по отношению к основному зданию. Стилобат должен выделяться в самостоятельный пожарный отсек площадью до 3000 м</w:t>
      </w:r>
      <w:r>
        <w:rPr>
          <w:sz w:val="24"/>
          <w:vertAlign w:val="superscript"/>
        </w:rPr>
        <w:t xml:space="preserve">2</w:t>
      </w:r>
      <w:r>
        <w:rPr>
          <w:sz w:val="24"/>
        </w:rPr>
        <w:t xml:space="preserve"> или состоять из нескольких пожарных отсеков площадью до 3000 м</w:t>
      </w:r>
      <w:r>
        <w:rPr>
          <w:sz w:val="24"/>
          <w:vertAlign w:val="superscript"/>
        </w:rPr>
        <w:t xml:space="preserve">2</w:t>
      </w:r>
      <w:r>
        <w:rPr>
          <w:sz w:val="24"/>
        </w:rPr>
        <w:t xml:space="preserve"> каждый, за исключением случаев, когда суммарная площадь этажа основного здания и стилобата не превышает допустимой площади этажа в пределах пожарного отсека, и смежные помещения вышерасположенного этажа здания и стилобата относятся к одному классу функциональной пожарной опасности.</w:t>
      </w:r>
    </w:p>
    <w:p>
      <w:pPr>
        <w:pStyle w:val="0"/>
        <w:jc w:val="both"/>
      </w:pPr>
      <w:r>
        <w:rPr>
          <w:sz w:val="24"/>
        </w:rPr>
        <w:t xml:space="preserve">(в ред. </w:t>
      </w:r>
      <w:hyperlink w:history="0" r:id="rId7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В соответствии с заданием на проектирование во встроенно-пристроенной части высотных комплексов допускается размещение дошкольных образовательных организаций, а также образовательных организаций класса Ф4.1 с соблюдением требований </w:t>
      </w:r>
      <w:hyperlink w:history="0" r:id="rId74"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 </w:t>
      </w:r>
      <w:hyperlink w:history="0" r:id="rId75"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0.12.2024) {КонсультантПлюс}">
        <w:r>
          <w:rPr>
            <w:sz w:val="24"/>
            <w:color w:val="0000ff"/>
          </w:rPr>
          <w:t xml:space="preserve">СП 252.1325800</w:t>
        </w:r>
      </w:hyperlink>
      <w:r>
        <w:rPr>
          <w:sz w:val="24"/>
        </w:rPr>
        <w:t xml:space="preserve"> и выделением соответствующих групп помещений в отдельный пожарный отсек.</w:t>
      </w:r>
    </w:p>
    <w:p>
      <w:pPr>
        <w:pStyle w:val="0"/>
        <w:jc w:val="both"/>
      </w:pPr>
      <w:r>
        <w:rPr>
          <w:sz w:val="24"/>
        </w:rPr>
        <w:t xml:space="preserve">(в ред. </w:t>
      </w:r>
      <w:hyperlink w:history="0" r:id="rId7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Эксплуатируемая крыша пристроенной части (стилобата) высотного здания должна выполняться в соответствии с требованиями </w:t>
      </w:r>
      <w:hyperlink w:history="0" r:id="rId77"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 При этом допускается предусматривать укладку по защитному слою из негорючих материалов функционального покрытия класса пожарной опасности не ниже Г1, В1, РП1.</w:t>
      </w:r>
    </w:p>
    <w:p>
      <w:pPr>
        <w:pStyle w:val="0"/>
        <w:jc w:val="both"/>
      </w:pPr>
      <w:r>
        <w:rPr>
          <w:sz w:val="24"/>
        </w:rPr>
        <w:t xml:space="preserve">(в ред. </w:t>
      </w:r>
      <w:hyperlink w:history="0" r:id="rId7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Абзац исключен с 03.09.2024. - </w:t>
      </w:r>
      <w:hyperlink w:history="0" r:id="rId7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5.5 В высотных зданиях зальные помещения в соответствии с требованиями СП 2.13130.2020 </w:t>
      </w:r>
      <w:hyperlink w:history="0" r:id="rId80"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(таблица 6.14)</w:t>
        </w:r>
      </w:hyperlink>
      <w:r>
        <w:rPr>
          <w:sz w:val="24"/>
        </w:rPr>
        <w:t xml:space="preserve"> с числом мест от 300 до 600 должны располагаться на высоте не более 12 м, с числом мест до 300 - не более 50 м.</w:t>
      </w:r>
    </w:p>
    <w:p>
      <w:pPr>
        <w:pStyle w:val="0"/>
        <w:jc w:val="both"/>
      </w:pPr>
      <w:r>
        <w:rPr>
          <w:sz w:val="24"/>
        </w:rPr>
        <w:t xml:space="preserve">(в ред. </w:t>
      </w:r>
      <w:hyperlink w:history="0" r:id="rId8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Вместимость зальных помещений, а также расчетное число людей на смотровых и иных площадках на покрытии жилых и общественных зданий высотой более 50 м не должны превышать 100 чел.</w:t>
      </w:r>
    </w:p>
    <w:p>
      <w:pPr>
        <w:pStyle w:val="0"/>
        <w:spacing w:before="240" w:lineRule="auto"/>
        <w:ind w:firstLine="540"/>
        <w:jc w:val="both"/>
      </w:pPr>
      <w:r>
        <w:rPr>
          <w:sz w:val="24"/>
        </w:rPr>
        <w:t xml:space="preserve">5.6 Исключен с 03.09.2024. - </w:t>
      </w:r>
      <w:hyperlink w:history="0" r:id="rId8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5.7 Исключен с 03.09.2024. - </w:t>
      </w:r>
      <w:hyperlink w:history="0" r:id="rId8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5.8 Безопасные зоны должны предусматриваться в соответствии с </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84"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w:t>
      </w:r>
      <w:hyperlink w:history="0" r:id="rId85"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и </w:t>
      </w:r>
      <w:hyperlink w:history="0" w:anchor="P494" w:tooltip="8 Требования к обеспечению безопасной эвакуации людей">
        <w:r>
          <w:rPr>
            <w:sz w:val="24"/>
            <w:color w:val="0000ff"/>
          </w:rPr>
          <w:t xml:space="preserve">разделом 8</w:t>
        </w:r>
      </w:hyperlink>
      <w:r>
        <w:rPr>
          <w:sz w:val="24"/>
        </w:rPr>
        <w:t xml:space="preserve">.</w:t>
      </w:r>
    </w:p>
    <w:p>
      <w:pPr>
        <w:pStyle w:val="0"/>
        <w:spacing w:before="240" w:lineRule="auto"/>
        <w:ind w:firstLine="540"/>
        <w:jc w:val="both"/>
      </w:pPr>
      <w:r>
        <w:rPr>
          <w:sz w:val="24"/>
        </w:rPr>
        <w:t xml:space="preserve">При этом помещение БЗ должно отделяться от других помещений, коридоров строительными конструкциями с пределами огнестойкости не менее пределов огнестойкости внутренних стен лестничных клеток по </w:t>
      </w:r>
      <w:hyperlink w:history="0" w:anchor="P226" w:tooltip="Пределы огнестойкости строительных конструкций">
        <w:r>
          <w:rPr>
            <w:sz w:val="24"/>
            <w:color w:val="0000ff"/>
          </w:rPr>
          <w:t xml:space="preserve">таблице 6.1</w:t>
        </w:r>
      </w:hyperlink>
      <w:r>
        <w:rPr>
          <w:sz w:val="24"/>
        </w:rPr>
        <w:t xml:space="preserve">. Предел огнестойкости дверей пожаробезопасной зоны должен предусматриваться не менее EI 60.</w:t>
      </w:r>
    </w:p>
    <w:p>
      <w:pPr>
        <w:pStyle w:val="0"/>
        <w:spacing w:before="240" w:lineRule="auto"/>
        <w:ind w:firstLine="540"/>
        <w:jc w:val="both"/>
      </w:pPr>
      <w:r>
        <w:rPr>
          <w:sz w:val="24"/>
        </w:rPr>
        <w:t xml:space="preserve">В случае расположения пожаробезопасной зоны смежно с эвакуационной лестничной клеткой следует предусматривать их разделение противопожарной перегородкой 1-го типа.</w:t>
      </w:r>
    </w:p>
    <w:p>
      <w:pPr>
        <w:pStyle w:val="0"/>
        <w:jc w:val="both"/>
      </w:pPr>
      <w:r>
        <w:rPr>
          <w:sz w:val="24"/>
        </w:rPr>
        <w:t xml:space="preserve">(п. 5.8 в ред. </w:t>
      </w:r>
      <w:hyperlink w:history="0" r:id="rId8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bookmarkStart w:id="187" w:name="P187"/>
    <w:bookmarkEnd w:id="187"/>
    <w:p>
      <w:pPr>
        <w:pStyle w:val="0"/>
        <w:spacing w:before="240" w:lineRule="auto"/>
        <w:ind w:firstLine="540"/>
        <w:jc w:val="both"/>
      </w:pPr>
      <w:r>
        <w:rPr>
          <w:sz w:val="24"/>
        </w:rPr>
        <w:t xml:space="preserve">5.9 Атриумы (пассажи) следует предусматривать согласно заданию на проектирование в пределах нижнего пожарного отсека надземной части здания или во встроенно-пристроенной части (стилобате).</w:t>
      </w:r>
    </w:p>
    <w:p>
      <w:pPr>
        <w:pStyle w:val="0"/>
        <w:spacing w:before="240" w:lineRule="auto"/>
        <w:ind w:firstLine="540"/>
        <w:jc w:val="both"/>
      </w:pPr>
      <w:r>
        <w:rPr>
          <w:sz w:val="24"/>
        </w:rPr>
        <w:t xml:space="preserve">Проектирование в здании, комплексе одного или нескольких атриумов, в т.ч. с устройством в его объеме открытых лестниц, траволаторов, эскалаторов, панорамных лифтов и др., а также помещений с открытыми проемами на галереях следует предусматривать при выполнении следующих требований:</w:t>
      </w:r>
    </w:p>
    <w:p>
      <w:pPr>
        <w:pStyle w:val="0"/>
        <w:spacing w:before="240" w:lineRule="auto"/>
        <w:ind w:firstLine="540"/>
        <w:jc w:val="both"/>
      </w:pPr>
      <w:r>
        <w:rPr>
          <w:sz w:val="24"/>
        </w:rPr>
        <w:t xml:space="preserve">- атриум должен располагаться в объеме одного пожарного отсека, в проемах междуэтажных перекрытий которого могут размещаться эскалаторы, открытые лестницы и лифты (в т.ч. панорамные);</w:t>
      </w:r>
    </w:p>
    <w:p>
      <w:pPr>
        <w:pStyle w:val="0"/>
        <w:spacing w:before="240" w:lineRule="auto"/>
        <w:ind w:firstLine="540"/>
        <w:jc w:val="both"/>
      </w:pPr>
      <w:r>
        <w:rPr>
          <w:sz w:val="24"/>
        </w:rPr>
        <w:t xml:space="preserve">- ограждающие конструкции помещений и коридоров, в местах примыкания к атриуму, должны быть с пределом огнестойкости не менее EI (EIW) 60 или из закаленного стекла толщиной не менее 6 мм с ненормируемыми пределами огнестойкости с установкой спринклерных оросителей АУП, обеспечивающих их орошение и расположенных со стороны прилегающих помещений (коридоров) не далее 0,5 м от перегородки с шагом не более 2 м;</w:t>
      </w:r>
    </w:p>
    <w:p>
      <w:pPr>
        <w:pStyle w:val="0"/>
        <w:spacing w:before="240" w:lineRule="auto"/>
        <w:ind w:firstLine="540"/>
        <w:jc w:val="both"/>
      </w:pPr>
      <w:r>
        <w:rPr>
          <w:sz w:val="24"/>
        </w:rPr>
        <w:t xml:space="preserve">- в открытых проемах, ведущих в атриум, включая открытые проемы эскалаторов и помещений на галереях, устройство опускающихся при пожаре противодымных штор, экранов, занавесов с пределом огнестойкости не менее E45, которые должны быть оборудованы автоматическими и дистанционно управляемыми приводами (без термоэлементов) или стационарными противодымными экранами. Рабочая высота выпускаемых штор (экранов, занавесов) должна быть не менее толщины образующегося при пожаре дымового слоя, что следует определить расчетными методами на стадии проектирования; при этом их нижняя граница должна располагаться на высоте не менее 2,5 м от отметки пола;</w:t>
      </w:r>
    </w:p>
    <w:p>
      <w:pPr>
        <w:pStyle w:val="0"/>
        <w:spacing w:before="240" w:lineRule="auto"/>
        <w:ind w:firstLine="540"/>
        <w:jc w:val="both"/>
      </w:pPr>
      <w:r>
        <w:rPr>
          <w:sz w:val="24"/>
        </w:rPr>
        <w:t xml:space="preserve">- площадь этажа в пределах пожарного отсека с атриумом определяется в соответствии с </w:t>
      </w:r>
      <w:hyperlink w:history="0" w:anchor="P160" w:tooltip="5.2 Наибольшая площадь надземного этажа в пределах пожарного отсека в зависимости от класса функциональной пожарной опасности помещений (кроме стилобатной части) должна быть:">
        <w:r>
          <w:rPr>
            <w:sz w:val="24"/>
            <w:color w:val="0000ff"/>
          </w:rPr>
          <w:t xml:space="preserve">5.2</w:t>
        </w:r>
      </w:hyperlink>
      <w:r>
        <w:rPr>
          <w:sz w:val="24"/>
        </w:rPr>
        <w:t xml:space="preserve">;</w:t>
      </w:r>
    </w:p>
    <w:p>
      <w:pPr>
        <w:pStyle w:val="0"/>
        <w:jc w:val="both"/>
      </w:pPr>
      <w:r>
        <w:rPr>
          <w:sz w:val="24"/>
        </w:rPr>
        <w:t xml:space="preserve">(в ред. </w:t>
      </w:r>
      <w:hyperlink w:history="0" r:id="rId8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 устройство системы вытяжной ПДВ из объема атриума допускается предусматривать с естественным побуждением при соответствующем расчетном обосновании;</w:t>
      </w:r>
    </w:p>
    <w:p>
      <w:pPr>
        <w:pStyle w:val="0"/>
        <w:spacing w:before="240" w:lineRule="auto"/>
        <w:ind w:firstLine="540"/>
        <w:jc w:val="both"/>
      </w:pPr>
      <w:r>
        <w:rPr>
          <w:sz w:val="24"/>
        </w:rPr>
        <w:t xml:space="preserve">- светопрозрачное заполнение в покрытии атриума следует выполнять из негорючих материалов. Допускается применение светопрозрачных материалов группы горючести не ниже Г1, не образующих горячих капель и расплавов;</w:t>
      </w:r>
    </w:p>
    <w:p>
      <w:pPr>
        <w:pStyle w:val="0"/>
        <w:jc w:val="both"/>
      </w:pPr>
      <w:r>
        <w:rPr>
          <w:sz w:val="24"/>
        </w:rPr>
        <w:t xml:space="preserve">(в ред. </w:t>
      </w:r>
      <w:hyperlink w:history="0" r:id="rId8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 для пожаротушения в атриумном пространстве спринклерные оросители АУП допускается устанавливать под выступающими конструкциями междуэтажных перекрытий, балконов (в т.ч. с эскалаторами, траволаторами, лифтами и др.) на расстоянии не более 0,5 м от края проема и с шагом 1,5 - 2 м (без установки спринклерных оросителей в уровне остекленного покрытия атриума). При этом должно обеспечиваться орошение всех поверхностей атриума с требуемой интенсивностью.</w:t>
      </w:r>
    </w:p>
    <w:p>
      <w:pPr>
        <w:pStyle w:val="0"/>
        <w:jc w:val="both"/>
      </w:pPr>
      <w:r>
        <w:rPr>
          <w:sz w:val="24"/>
        </w:rPr>
        <w:t xml:space="preserve">(в ред. </w:t>
      </w:r>
      <w:hyperlink w:history="0" r:id="rId8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5.10 Кладовые, книгохранилища, архивы допускается размещать на высоте не более 50 м, а также под помещениями, в которых находятся не более 50 чел.</w:t>
      </w:r>
    </w:p>
    <w:p>
      <w:pPr>
        <w:pStyle w:val="0"/>
        <w:jc w:val="both"/>
      </w:pPr>
      <w:r>
        <w:rPr>
          <w:sz w:val="24"/>
        </w:rPr>
        <w:t xml:space="preserve">(п. 5.10 в ред. </w:t>
      </w:r>
      <w:hyperlink w:history="0" r:id="rId90"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5.11 В пределах высотного здания, комплекса размещать взрывоопасные помещения категорий А и Б не допускается.</w:t>
      </w:r>
    </w:p>
    <w:p>
      <w:pPr>
        <w:pStyle w:val="0"/>
        <w:jc w:val="both"/>
      </w:pPr>
      <w:r>
        <w:rPr>
          <w:sz w:val="24"/>
        </w:rPr>
        <w:t xml:space="preserve">(п. 5.11 в ред. </w:t>
      </w:r>
      <w:hyperlink w:history="0" r:id="rId9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5.12 Трансформаторы встроенных и (или) пристроенных подстанций высотных зданий, комплексов должны быть сухими или с негорючим заполнителем и размещаться на первом, цокольном, первом подземном или любом из технических этажей.</w:t>
      </w:r>
    </w:p>
    <w:p>
      <w:pPr>
        <w:pStyle w:val="0"/>
        <w:jc w:val="both"/>
      </w:pPr>
      <w:r>
        <w:rPr>
          <w:sz w:val="24"/>
        </w:rPr>
        <w:t xml:space="preserve">(в ред. </w:t>
      </w:r>
      <w:hyperlink w:history="0" r:id="rId9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Трансформаторные подстанции должны выделяться строительными конструкциями с пределом огнестойкости согласно </w:t>
      </w:r>
      <w:hyperlink w:history="0" w:anchor="P221" w:tooltip="6.1 Пределы огнестойкости строительных конструкций должны быть не менее указанных в таблице 6.1, с учетом требований СП 2.13130.">
        <w:r>
          <w:rPr>
            <w:sz w:val="24"/>
            <w:color w:val="0000ff"/>
          </w:rPr>
          <w:t xml:space="preserve">6.1</w:t>
        </w:r>
      </w:hyperlink>
      <w:r>
        <w:rPr>
          <w:sz w:val="24"/>
        </w:rPr>
        <w:t xml:space="preserve">.</w:t>
      </w:r>
    </w:p>
    <w:p>
      <w:pPr>
        <w:pStyle w:val="0"/>
        <w:spacing w:before="240" w:lineRule="auto"/>
        <w:ind w:firstLine="540"/>
        <w:jc w:val="both"/>
      </w:pPr>
      <w:r>
        <w:rPr>
          <w:sz w:val="24"/>
        </w:rPr>
        <w:t xml:space="preserve">5.13 Выходы из лифтов на этажах следует предусматривать через лифтовые холлы, которые должны отделяться от примыкающих коридоров и помещений противопожарными перегородками, в т.ч. остекленными, согласно </w:t>
      </w:r>
      <w:hyperlink w:history="0" w:anchor="P226" w:tooltip="Пределы огнестойкости строительных конструкций">
        <w:r>
          <w:rPr>
            <w:sz w:val="24"/>
            <w:color w:val="0000ff"/>
          </w:rPr>
          <w:t xml:space="preserve">таблице 6.1</w:t>
        </w:r>
      </w:hyperlink>
      <w:r>
        <w:rPr>
          <w:sz w:val="24"/>
        </w:rPr>
        <w:t xml:space="preserve">.</w:t>
      </w:r>
    </w:p>
    <w:p>
      <w:pPr>
        <w:pStyle w:val="0"/>
        <w:jc w:val="both"/>
      </w:pPr>
      <w:r>
        <w:rPr>
          <w:sz w:val="24"/>
        </w:rPr>
        <w:t xml:space="preserve">(в ред. </w:t>
      </w:r>
      <w:hyperlink w:history="0" r:id="rId9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5.14 Пределы огнестойкости конструкций шахт и машинных отделений лифтов должны соответствовать требованиям </w:t>
      </w:r>
      <w:hyperlink w:history="0" w:anchor="P226" w:tooltip="Пределы огнестойкости строительных конструкций">
        <w:r>
          <w:rPr>
            <w:sz w:val="24"/>
            <w:color w:val="0000ff"/>
          </w:rPr>
          <w:t xml:space="preserve">таблицы 6.1</w:t>
        </w:r>
      </w:hyperlink>
      <w:r>
        <w:rPr>
          <w:sz w:val="24"/>
        </w:rPr>
        <w:t xml:space="preserve">.</w:t>
      </w:r>
    </w:p>
    <w:p>
      <w:pPr>
        <w:pStyle w:val="0"/>
        <w:jc w:val="both"/>
      </w:pPr>
      <w:r>
        <w:rPr>
          <w:sz w:val="24"/>
        </w:rPr>
        <w:t xml:space="preserve">(в ред. </w:t>
      </w:r>
      <w:hyperlink w:history="0" r:id="rId9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5.15 Исключен с 03.09.2024. - </w:t>
      </w:r>
      <w:hyperlink w:history="0" r:id="rId95"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5.16 Исключен с 03.09.2024. - </w:t>
      </w:r>
      <w:hyperlink w:history="0" r:id="rId9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5.17 Техническое пространство высотного здания используют для прокладки сетей инженерно-технического обеспечения с размещением оборудования, работающего в автоматическом режиме без постоянного присутствия персонала службы эксплуатации. При этом:</w:t>
      </w:r>
    </w:p>
    <w:p>
      <w:pPr>
        <w:pStyle w:val="0"/>
        <w:spacing w:before="240" w:lineRule="auto"/>
        <w:ind w:firstLine="540"/>
        <w:jc w:val="both"/>
      </w:pPr>
      <w:r>
        <w:rPr>
          <w:sz w:val="24"/>
        </w:rPr>
        <w:t xml:space="preserve">- техническое пространство отделяется от этажей строительными конструкциями с пределом огнестойкости междуэтажных перекрытий или противопожарными стенами и (или) перекрытиями с пределом огнестойкости REI 240, если пространство разделяет объект на пожарные отсеки;</w:t>
      </w:r>
    </w:p>
    <w:p>
      <w:pPr>
        <w:pStyle w:val="0"/>
        <w:spacing w:before="240" w:lineRule="auto"/>
        <w:ind w:firstLine="540"/>
        <w:jc w:val="both"/>
      </w:pPr>
      <w:r>
        <w:rPr>
          <w:sz w:val="24"/>
        </w:rPr>
        <w:t xml:space="preserve">- техническое пространство при наличии горючих материалов (за исключением: кабелей, не распространяющих горение, трубопроводов систем канализации, водоснабжения и систем холодоснабжения, выполненных из полимерных материалов или с применением таких изоляционных материалов, воздуховодов и трубопроводов, относящихся к материалам группы горючести не выше Г1) оборудуется системами противопожарной защиты (внутреннего противопожарного водопровода, системами пожарной сигнализации, автоматической установкой пожаротушения). Допускается обеспечивать защиту технического пространства спринклерными оросителями, запитанными от сети внутреннего противопожарного водопровода с установкой сигнализаторов потока жидкости с параметрами (интенсивность орошения, расход воды, время работы, минимальная площадь, расстояние между оросителями) согласно </w:t>
      </w:r>
      <w:hyperlink w:history="0" r:id="rId9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по 1-й группе помещений. При отсутствии в пространствах горючих материалов, за исключением вышеизложенных, указанные пространства оборудовать только системой автоматической пожарной сигнализации. Хранение горючих веществ и материалов в указанных пространствах не допускается.</w:t>
      </w:r>
    </w:p>
    <w:p>
      <w:pPr>
        <w:pStyle w:val="0"/>
        <w:jc w:val="both"/>
      </w:pPr>
      <w:r>
        <w:rPr>
          <w:sz w:val="24"/>
        </w:rPr>
        <w:t xml:space="preserve">(п. 5.17 введен </w:t>
      </w:r>
      <w:hyperlink w:history="0" r:id="rId9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5.18 Системы противопожарной защиты, инженерные системы и оборудование встроенных (пристроенных) в высотное здание и комплекс стоянок автомобилей следует предусматривать с учетом требований </w:t>
      </w:r>
      <w:hyperlink w:history="0" r:id="rId99"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100"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10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10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10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104"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105"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w:t>
      </w:r>
      <w:hyperlink w:history="0" r:id="rId106"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10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и </w:t>
      </w:r>
      <w:hyperlink w:history="0" r:id="rId10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Предел огнестойкости конструкций, допустимую этажность и площадь этажа в пределах пожарного отсека для встроенных (пристроенных) в высотное здание и комплекс стоянок автомобилей следует принимать в соответствии с требованиями </w:t>
      </w:r>
      <w:hyperlink w:history="0" r:id="rId109"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jc w:val="both"/>
      </w:pPr>
      <w:r>
        <w:rPr>
          <w:sz w:val="24"/>
        </w:rPr>
        <w:t xml:space="preserve">(п. 5.18 введен </w:t>
      </w:r>
      <w:hyperlink w:history="0" r:id="rId110"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jc w:val="both"/>
      </w:pPr>
      <w:r>
        <w:rPr>
          <w:sz w:val="24"/>
        </w:rPr>
      </w:r>
    </w:p>
    <w:p>
      <w:pPr>
        <w:pStyle w:val="2"/>
        <w:outlineLvl w:val="1"/>
        <w:ind w:firstLine="540"/>
        <w:jc w:val="both"/>
      </w:pPr>
      <w:r>
        <w:rPr>
          <w:sz w:val="24"/>
          <w:b w:val="on"/>
        </w:rPr>
        <w:t xml:space="preserve">6 Требования</w:t>
      </w:r>
      <w:r>
        <w:rPr>
          <w:sz w:val="24"/>
        </w:rPr>
        <w:t xml:space="preserve"> </w:t>
      </w:r>
      <w:r>
        <w:rPr>
          <w:sz w:val="24"/>
          <w:b w:val="on"/>
          <w:i w:val="on"/>
        </w:rPr>
        <w:t xml:space="preserve">к</w:t>
      </w:r>
      <w:r>
        <w:rPr>
          <w:sz w:val="24"/>
        </w:rPr>
        <w:t xml:space="preserve"> </w:t>
      </w:r>
      <w:r>
        <w:rPr>
          <w:sz w:val="24"/>
          <w:b w:val="on"/>
        </w:rPr>
        <w:t xml:space="preserve">конструктивным решениям</w:t>
      </w:r>
    </w:p>
    <w:bookmarkStart w:id="221" w:name="P221"/>
    <w:bookmarkEnd w:id="221"/>
    <w:p>
      <w:pPr>
        <w:pStyle w:val="0"/>
        <w:spacing w:before="240" w:lineRule="auto"/>
        <w:ind w:firstLine="540"/>
        <w:jc w:val="both"/>
      </w:pPr>
      <w:r>
        <w:rPr>
          <w:sz w:val="24"/>
        </w:rPr>
        <w:t xml:space="preserve">6.1 Пределы огнестойкости строительных конструкций должны быть не менее указанных в таблице 6.1, с учетом требований </w:t>
      </w:r>
      <w:hyperlink w:history="0" r:id="rId111"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jc w:val="both"/>
      </w:pPr>
      <w:r>
        <w:rPr>
          <w:sz w:val="24"/>
        </w:rPr>
        <w:t xml:space="preserve">(в ред. </w:t>
      </w:r>
      <w:hyperlink w:history="0" r:id="rId11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jc w:val="both"/>
      </w:pPr>
      <w:r>
        <w:rPr>
          <w:sz w:val="24"/>
        </w:rPr>
      </w:r>
    </w:p>
    <w:p>
      <w:pPr>
        <w:pStyle w:val="0"/>
        <w:jc w:val="right"/>
      </w:pPr>
      <w:r>
        <w:rPr>
          <w:sz w:val="24"/>
        </w:rPr>
        <w:t xml:space="preserve">Таблица 6.1</w:t>
      </w:r>
    </w:p>
    <w:p>
      <w:pPr>
        <w:pStyle w:val="0"/>
        <w:jc w:val="both"/>
      </w:pPr>
      <w:r>
        <w:rPr>
          <w:sz w:val="24"/>
        </w:rPr>
      </w:r>
    </w:p>
    <w:bookmarkStart w:id="226" w:name="P226"/>
    <w:bookmarkEnd w:id="226"/>
    <w:p>
      <w:pPr>
        <w:pStyle w:val="0"/>
        <w:jc w:val="center"/>
      </w:pPr>
      <w:r>
        <w:rPr>
          <w:sz w:val="24"/>
          <w:b w:val="on"/>
        </w:rPr>
        <w:t xml:space="preserve">Пределы огнестойкости строительных конструкций</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309"/>
        <w:gridCol w:w="1587"/>
        <w:gridCol w:w="1587"/>
        <w:gridCol w:w="1587"/>
      </w:tblGrid>
      <w:tr>
        <w:tblPrEx>
          <w:tblBorders>
            <w:insideH w:val="single" w:sz="4"/>
          </w:tblBorders>
        </w:tblPrEx>
        <w:tc>
          <w:tcPr>
            <w:tcW w:w="4309" w:type="dxa"/>
            <w:tcBorders>
              <w:top w:val="single" w:sz="4"/>
              <w:bottom w:val="single" w:sz="4"/>
            </w:tcBorders>
            <w:vMerge w:val="restart"/>
          </w:tcPr>
          <w:p>
            <w:pPr>
              <w:pStyle w:val="0"/>
              <w:jc w:val="center"/>
            </w:pPr>
            <w:r>
              <w:rPr>
                <w:sz w:val="24"/>
              </w:rPr>
              <w:t xml:space="preserve">Наименование конструкций (элементов зданий)</w:t>
            </w:r>
          </w:p>
        </w:tc>
        <w:tc>
          <w:tcPr>
            <w:gridSpan w:val="3"/>
            <w:tcW w:w="4761" w:type="dxa"/>
            <w:tcBorders>
              <w:top w:val="single" w:sz="4"/>
              <w:bottom w:val="single" w:sz="4"/>
            </w:tcBorders>
          </w:tcPr>
          <w:p>
            <w:pPr>
              <w:pStyle w:val="0"/>
              <w:jc w:val="center"/>
            </w:pPr>
            <w:r>
              <w:rPr>
                <w:sz w:val="24"/>
              </w:rPr>
              <w:t xml:space="preserve">Минимальный предел огнестойкости, мин</w:t>
            </w:r>
          </w:p>
        </w:tc>
      </w:tr>
      <w:tr>
        <w:tblPrEx>
          <w:tblBorders>
            <w:insideH w:val="single" w:sz="4"/>
          </w:tblBorders>
        </w:tblPrEx>
        <w:tc>
          <w:tcPr>
            <w:tcBorders>
              <w:top w:val="single" w:sz="4"/>
              <w:bottom w:val="single" w:sz="4"/>
            </w:tcBorders>
            <w:vMerge w:val="continue"/>
          </w:tcPr>
          <w:p/>
        </w:tc>
        <w:tc>
          <w:tcPr>
            <w:gridSpan w:val="3"/>
            <w:tcW w:w="4761" w:type="dxa"/>
            <w:tcBorders>
              <w:top w:val="single" w:sz="4"/>
              <w:bottom w:val="single" w:sz="4"/>
            </w:tcBorders>
          </w:tcPr>
          <w:p>
            <w:pPr>
              <w:pStyle w:val="0"/>
              <w:jc w:val="center"/>
            </w:pPr>
            <w:r>
              <w:rPr>
                <w:sz w:val="24"/>
              </w:rPr>
              <w:t xml:space="preserve">Высота здания, м</w:t>
            </w:r>
          </w:p>
        </w:tc>
      </w:tr>
      <w:tr>
        <w:tblPrEx>
          <w:tblBorders>
            <w:insideH w:val="single" w:sz="4"/>
          </w:tblBorders>
        </w:tblPrEx>
        <w:tc>
          <w:tcPr>
            <w:tcBorders>
              <w:top w:val="single" w:sz="4"/>
              <w:bottom w:val="single" w:sz="4"/>
            </w:tcBorders>
            <w:vMerge w:val="continue"/>
          </w:tcPr>
          <w:p/>
        </w:tc>
        <w:tc>
          <w:tcPr>
            <w:tcW w:w="1587" w:type="dxa"/>
            <w:tcBorders>
              <w:top w:val="single" w:sz="4"/>
              <w:bottom w:val="single" w:sz="4"/>
            </w:tcBorders>
          </w:tcPr>
          <w:p>
            <w:pPr>
              <w:pStyle w:val="0"/>
              <w:jc w:val="center"/>
            </w:pPr>
            <w:r>
              <w:rPr>
                <w:sz w:val="24"/>
              </w:rPr>
              <w:t xml:space="preserve">До 100 (включ.)</w:t>
            </w:r>
          </w:p>
        </w:tc>
        <w:tc>
          <w:tcPr>
            <w:tcW w:w="1587" w:type="dxa"/>
            <w:tcBorders>
              <w:top w:val="single" w:sz="4"/>
              <w:bottom w:val="single" w:sz="4"/>
            </w:tcBorders>
          </w:tcPr>
          <w:p>
            <w:pPr>
              <w:pStyle w:val="0"/>
              <w:jc w:val="center"/>
            </w:pPr>
            <w:r>
              <w:rPr>
                <w:sz w:val="24"/>
              </w:rPr>
              <w:t xml:space="preserve">Более 100 до 150 (включ.)</w:t>
            </w:r>
          </w:p>
        </w:tc>
        <w:tc>
          <w:tcPr>
            <w:tcW w:w="1587" w:type="dxa"/>
            <w:tcBorders>
              <w:top w:val="single" w:sz="4"/>
              <w:bottom w:val="single" w:sz="4"/>
            </w:tcBorders>
          </w:tcPr>
          <w:p>
            <w:pPr>
              <w:pStyle w:val="0"/>
              <w:jc w:val="center"/>
            </w:pPr>
            <w:r>
              <w:rPr>
                <w:sz w:val="24"/>
              </w:rPr>
              <w:t xml:space="preserve">Более 150</w:t>
            </w:r>
          </w:p>
        </w:tc>
      </w:tr>
      <w:tr>
        <w:tblPrEx>
          <w:tblBorders>
            <w:insideH w:val="single" w:sz="4"/>
          </w:tblBorders>
        </w:tblPrEx>
        <w:tc>
          <w:tcPr>
            <w:tcW w:w="4309" w:type="dxa"/>
            <w:tcBorders>
              <w:top w:val="single" w:sz="4"/>
              <w:bottom w:val="single" w:sz="4"/>
            </w:tcBorders>
          </w:tcPr>
          <w:p>
            <w:pPr>
              <w:pStyle w:val="0"/>
            </w:pPr>
            <w:r>
              <w:rPr>
                <w:sz w:val="24"/>
              </w:rPr>
              <w:t xml:space="preserve">1 Несущие колонны, стены, связи, диафрагмы жесткости, фермы, элементы перекрытий и бесчердачных покрытий (балки, ригели, плиты, настилы) </w:t>
            </w:r>
            <w:hyperlink w:history="0" w:anchor="P355"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в проектной документации на здание, комплекс.">
              <w:r>
                <w:rPr>
                  <w:sz w:val="24"/>
                  <w:color w:val="0000ff"/>
                </w:rPr>
                <w:t xml:space="preserve">&lt;*&gt;</w:t>
              </w:r>
            </w:hyperlink>
          </w:p>
        </w:tc>
        <w:tc>
          <w:tcPr>
            <w:tcW w:w="1587" w:type="dxa"/>
            <w:tcBorders>
              <w:top w:val="single" w:sz="4"/>
              <w:bottom w:val="single" w:sz="4"/>
            </w:tcBorders>
          </w:tcPr>
          <w:p>
            <w:pPr>
              <w:pStyle w:val="0"/>
              <w:jc w:val="center"/>
            </w:pPr>
            <w:r>
              <w:rPr>
                <w:sz w:val="24"/>
              </w:rPr>
              <w:t xml:space="preserve">R 150</w:t>
            </w:r>
          </w:p>
        </w:tc>
        <w:tc>
          <w:tcPr>
            <w:tcW w:w="1587" w:type="dxa"/>
            <w:tcBorders>
              <w:top w:val="single" w:sz="4"/>
              <w:bottom w:val="single" w:sz="4"/>
            </w:tcBorders>
          </w:tcPr>
          <w:p>
            <w:pPr>
              <w:pStyle w:val="0"/>
              <w:jc w:val="center"/>
            </w:pPr>
            <w:r>
              <w:rPr>
                <w:sz w:val="24"/>
              </w:rPr>
              <w:t xml:space="preserve">R 180</w:t>
            </w:r>
          </w:p>
        </w:tc>
        <w:tc>
          <w:tcPr>
            <w:tcW w:w="1587" w:type="dxa"/>
            <w:tcBorders>
              <w:top w:val="single" w:sz="4"/>
              <w:bottom w:val="single" w:sz="4"/>
            </w:tcBorders>
          </w:tcPr>
          <w:p>
            <w:pPr>
              <w:pStyle w:val="0"/>
              <w:jc w:val="center"/>
            </w:pPr>
            <w:r>
              <w:rPr>
                <w:sz w:val="24"/>
              </w:rPr>
              <w:t xml:space="preserve">R 240</w:t>
            </w:r>
          </w:p>
        </w:tc>
      </w:tr>
      <w:tr>
        <w:tblPrEx>
          <w:tblBorders>
            <w:insideH w:val="single" w:sz="4"/>
          </w:tblBorders>
        </w:tblPrEx>
        <w:tc>
          <w:tcPr>
            <w:tcW w:w="4309" w:type="dxa"/>
            <w:tcBorders>
              <w:top w:val="single" w:sz="4"/>
              <w:bottom w:val="single" w:sz="4"/>
            </w:tcBorders>
          </w:tcPr>
          <w:p>
            <w:pPr>
              <w:pStyle w:val="0"/>
            </w:pPr>
            <w:r>
              <w:rPr>
                <w:sz w:val="24"/>
              </w:rPr>
              <w:t xml:space="preserve">2 Наружные ненесущие стены</w:t>
            </w:r>
          </w:p>
        </w:tc>
        <w:tc>
          <w:tcPr>
            <w:tcW w:w="1587" w:type="dxa"/>
            <w:tcBorders>
              <w:top w:val="single" w:sz="4"/>
              <w:bottom w:val="single" w:sz="4"/>
            </w:tcBorders>
          </w:tcPr>
          <w:p>
            <w:pPr>
              <w:pStyle w:val="0"/>
              <w:jc w:val="center"/>
            </w:pPr>
            <w:r>
              <w:rPr>
                <w:sz w:val="24"/>
              </w:rPr>
              <w:t xml:space="preserve">E 60</w:t>
            </w:r>
          </w:p>
        </w:tc>
        <w:tc>
          <w:tcPr>
            <w:tcW w:w="1587" w:type="dxa"/>
            <w:tcBorders>
              <w:top w:val="single" w:sz="4"/>
              <w:bottom w:val="single" w:sz="4"/>
            </w:tcBorders>
          </w:tcPr>
          <w:p>
            <w:pPr>
              <w:pStyle w:val="0"/>
              <w:jc w:val="center"/>
            </w:pPr>
            <w:r>
              <w:rPr>
                <w:sz w:val="24"/>
              </w:rPr>
              <w:t xml:space="preserve">E 60</w:t>
            </w:r>
          </w:p>
        </w:tc>
        <w:tc>
          <w:tcPr>
            <w:tcW w:w="1587" w:type="dxa"/>
            <w:tcBorders>
              <w:top w:val="single" w:sz="4"/>
              <w:bottom w:val="single" w:sz="4"/>
            </w:tcBorders>
          </w:tcPr>
          <w:p>
            <w:pPr>
              <w:pStyle w:val="0"/>
              <w:jc w:val="center"/>
            </w:pPr>
            <w:r>
              <w:rPr>
                <w:sz w:val="24"/>
              </w:rPr>
              <w:t xml:space="preserve">E 60</w:t>
            </w:r>
          </w:p>
        </w:tc>
      </w:tr>
      <w:tr>
        <w:tblPrEx>
          <w:tblBorders>
            <w:insideH w:val="single" w:sz="4"/>
          </w:tblBorders>
        </w:tblPrEx>
        <w:tc>
          <w:tcPr>
            <w:tcW w:w="4309" w:type="dxa"/>
            <w:tcBorders>
              <w:top w:val="single" w:sz="4"/>
              <w:bottom w:val="single" w:sz="4"/>
            </w:tcBorders>
          </w:tcPr>
          <w:p>
            <w:pPr>
              <w:pStyle w:val="0"/>
            </w:pPr>
            <w:r>
              <w:rPr>
                <w:sz w:val="24"/>
              </w:rPr>
              <w:t xml:space="preserve">3 Перекрытия междуэтажные (в т.ч. чердачные и над подвалами)</w:t>
            </w:r>
          </w:p>
        </w:tc>
        <w:tc>
          <w:tcPr>
            <w:tcW w:w="1587" w:type="dxa"/>
            <w:tcBorders>
              <w:top w:val="single" w:sz="4"/>
              <w:bottom w:val="single" w:sz="4"/>
            </w:tcBorders>
          </w:tcPr>
          <w:p>
            <w:pPr>
              <w:pStyle w:val="0"/>
              <w:jc w:val="center"/>
            </w:pPr>
            <w:r>
              <w:rPr>
                <w:sz w:val="24"/>
              </w:rPr>
              <w:t xml:space="preserve">REI 120</w:t>
            </w:r>
          </w:p>
        </w:tc>
        <w:tc>
          <w:tcPr>
            <w:tcW w:w="1587" w:type="dxa"/>
            <w:tcBorders>
              <w:top w:val="single" w:sz="4"/>
              <w:bottom w:val="single" w:sz="4"/>
            </w:tcBorders>
          </w:tcPr>
          <w:p>
            <w:pPr>
              <w:pStyle w:val="0"/>
              <w:jc w:val="center"/>
            </w:pPr>
            <w:r>
              <w:rPr>
                <w:sz w:val="24"/>
              </w:rPr>
              <w:t xml:space="preserve">REI 120</w:t>
            </w:r>
          </w:p>
        </w:tc>
        <w:tc>
          <w:tcPr>
            <w:tcW w:w="1587" w:type="dxa"/>
            <w:tcBorders>
              <w:top w:val="single" w:sz="4"/>
              <w:bottom w:val="single" w:sz="4"/>
            </w:tcBorders>
          </w:tcPr>
          <w:p>
            <w:pPr>
              <w:pStyle w:val="0"/>
              <w:jc w:val="center"/>
            </w:pPr>
            <w:r>
              <w:rPr>
                <w:sz w:val="24"/>
              </w:rPr>
              <w:t xml:space="preserve">REI 120</w:t>
            </w:r>
          </w:p>
        </w:tc>
      </w:tr>
      <w:tr>
        <w:tc>
          <w:tcPr>
            <w:tcW w:w="4309" w:type="dxa"/>
            <w:tcBorders>
              <w:top w:val="single" w:sz="4"/>
              <w:bottom w:val="nil"/>
            </w:tcBorders>
          </w:tcPr>
          <w:p>
            <w:pPr>
              <w:pStyle w:val="0"/>
            </w:pPr>
            <w:r>
              <w:rPr>
                <w:sz w:val="24"/>
              </w:rPr>
              <w:t xml:space="preserve">4 Элементы покрытий:</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настилы</w:t>
            </w:r>
          </w:p>
        </w:tc>
        <w:tc>
          <w:tcPr>
            <w:tcW w:w="1587" w:type="dxa"/>
            <w:tcBorders>
              <w:top w:val="nil"/>
              <w:bottom w:val="nil"/>
            </w:tcBorders>
          </w:tcPr>
          <w:p>
            <w:pPr>
              <w:pStyle w:val="0"/>
              <w:jc w:val="center"/>
            </w:pPr>
            <w:r>
              <w:rPr>
                <w:sz w:val="24"/>
              </w:rPr>
              <w:t xml:space="preserve">RE 30</w:t>
            </w:r>
          </w:p>
        </w:tc>
        <w:tc>
          <w:tcPr>
            <w:tcW w:w="1587" w:type="dxa"/>
            <w:tcBorders>
              <w:top w:val="nil"/>
              <w:bottom w:val="nil"/>
            </w:tcBorders>
          </w:tcPr>
          <w:p>
            <w:pPr>
              <w:pStyle w:val="0"/>
              <w:jc w:val="center"/>
            </w:pPr>
            <w:r>
              <w:rPr>
                <w:sz w:val="24"/>
              </w:rPr>
              <w:t xml:space="preserve">RE 30</w:t>
            </w:r>
          </w:p>
        </w:tc>
        <w:tc>
          <w:tcPr>
            <w:tcW w:w="1587" w:type="dxa"/>
            <w:tcBorders>
              <w:top w:val="nil"/>
              <w:bottom w:val="nil"/>
            </w:tcBorders>
          </w:tcPr>
          <w:p>
            <w:pPr>
              <w:pStyle w:val="0"/>
              <w:jc w:val="center"/>
            </w:pPr>
            <w:r>
              <w:rPr>
                <w:sz w:val="24"/>
              </w:rPr>
              <w:t xml:space="preserve">RE 30</w:t>
            </w:r>
          </w:p>
        </w:tc>
      </w:tr>
      <w:tr>
        <w:tc>
          <w:tcPr>
            <w:tcW w:w="4309" w:type="dxa"/>
            <w:tcBorders>
              <w:top w:val="nil"/>
              <w:bottom w:val="single" w:sz="4"/>
            </w:tcBorders>
          </w:tcPr>
          <w:p>
            <w:pPr>
              <w:pStyle w:val="0"/>
            </w:pPr>
            <w:r>
              <w:rPr>
                <w:sz w:val="24"/>
              </w:rPr>
              <w:t xml:space="preserve">- балки, ригели, прогоны, рамы, фермы</w:t>
            </w:r>
          </w:p>
        </w:tc>
        <w:tc>
          <w:tcPr>
            <w:tcW w:w="1587" w:type="dxa"/>
            <w:tcBorders>
              <w:top w:val="nil"/>
              <w:bottom w:val="single" w:sz="4"/>
            </w:tcBorders>
          </w:tcPr>
          <w:p>
            <w:pPr>
              <w:pStyle w:val="0"/>
              <w:jc w:val="center"/>
            </w:pPr>
            <w:r>
              <w:rPr>
                <w:sz w:val="24"/>
              </w:rPr>
              <w:t xml:space="preserve">R 30</w:t>
            </w:r>
          </w:p>
        </w:tc>
        <w:tc>
          <w:tcPr>
            <w:tcW w:w="1587" w:type="dxa"/>
            <w:tcBorders>
              <w:top w:val="nil"/>
              <w:bottom w:val="single" w:sz="4"/>
            </w:tcBorders>
          </w:tcPr>
          <w:p>
            <w:pPr>
              <w:pStyle w:val="0"/>
              <w:jc w:val="center"/>
            </w:pPr>
            <w:r>
              <w:rPr>
                <w:sz w:val="24"/>
              </w:rPr>
              <w:t xml:space="preserve">R 30</w:t>
            </w:r>
          </w:p>
        </w:tc>
        <w:tc>
          <w:tcPr>
            <w:tcW w:w="1587" w:type="dxa"/>
            <w:tcBorders>
              <w:top w:val="nil"/>
              <w:bottom w:val="single" w:sz="4"/>
            </w:tcBorders>
          </w:tcPr>
          <w:p>
            <w:pPr>
              <w:pStyle w:val="0"/>
              <w:jc w:val="center"/>
            </w:pPr>
            <w:r>
              <w:rPr>
                <w:sz w:val="24"/>
              </w:rPr>
              <w:t xml:space="preserve">R 30</w:t>
            </w:r>
          </w:p>
        </w:tc>
      </w:tr>
      <w:tr>
        <w:tc>
          <w:tcPr>
            <w:tcW w:w="4309" w:type="dxa"/>
            <w:tcBorders>
              <w:top w:val="single" w:sz="4"/>
              <w:bottom w:val="nil"/>
            </w:tcBorders>
          </w:tcPr>
          <w:p>
            <w:pPr>
              <w:pStyle w:val="0"/>
            </w:pPr>
            <w:r>
              <w:rPr>
                <w:sz w:val="24"/>
              </w:rPr>
              <w:t xml:space="preserve">5 Элементы покрытий, предназначенных для эвакуации и спасения людей, а также размещения площадки для транспортно-спасательной кабины пожарного вертолета на кровле:</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gridSpan w:val="4"/>
            <w:tcW w:w="9070" w:type="dxa"/>
            <w:tcBorders>
              <w:top w:val="nil"/>
              <w:bottom w:val="nil"/>
            </w:tcBorders>
          </w:tcPr>
          <w:p>
            <w:pPr>
              <w:pStyle w:val="0"/>
              <w:jc w:val="both"/>
            </w:pPr>
            <w:r>
              <w:rPr>
                <w:sz w:val="24"/>
              </w:rPr>
              <w:t xml:space="preserve">(в ред. </w:t>
            </w:r>
            <w:hyperlink w:history="0" r:id="rId11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tc>
      </w:tr>
      <w:tr>
        <w:tc>
          <w:tcPr>
            <w:tcW w:w="4309" w:type="dxa"/>
            <w:tcBorders>
              <w:top w:val="nil"/>
              <w:bottom w:val="nil"/>
            </w:tcBorders>
          </w:tcPr>
          <w:p>
            <w:pPr>
              <w:pStyle w:val="0"/>
            </w:pPr>
            <w:r>
              <w:rPr>
                <w:sz w:val="24"/>
              </w:rPr>
              <w:t xml:space="preserve">- настилы</w:t>
            </w:r>
          </w:p>
        </w:tc>
        <w:tc>
          <w:tcPr>
            <w:tcW w:w="1587" w:type="dxa"/>
            <w:tcBorders>
              <w:top w:val="nil"/>
              <w:bottom w:val="nil"/>
            </w:tcBorders>
          </w:tcPr>
          <w:p>
            <w:pPr>
              <w:pStyle w:val="0"/>
              <w:jc w:val="center"/>
            </w:pPr>
            <w:r>
              <w:rPr>
                <w:sz w:val="24"/>
              </w:rPr>
              <w:t xml:space="preserve">RE 120</w:t>
            </w:r>
          </w:p>
        </w:tc>
        <w:tc>
          <w:tcPr>
            <w:tcW w:w="1587" w:type="dxa"/>
            <w:tcBorders>
              <w:top w:val="nil"/>
              <w:bottom w:val="nil"/>
            </w:tcBorders>
          </w:tcPr>
          <w:p>
            <w:pPr>
              <w:pStyle w:val="0"/>
              <w:jc w:val="center"/>
            </w:pPr>
            <w:r>
              <w:rPr>
                <w:sz w:val="24"/>
              </w:rPr>
              <w:t xml:space="preserve">RE 120</w:t>
            </w:r>
          </w:p>
        </w:tc>
        <w:tc>
          <w:tcPr>
            <w:tcW w:w="1587" w:type="dxa"/>
            <w:tcBorders>
              <w:top w:val="nil"/>
              <w:bottom w:val="nil"/>
            </w:tcBorders>
          </w:tcPr>
          <w:p>
            <w:pPr>
              <w:pStyle w:val="0"/>
              <w:jc w:val="center"/>
            </w:pPr>
            <w:r>
              <w:rPr>
                <w:sz w:val="24"/>
              </w:rPr>
              <w:t xml:space="preserve">RE 120</w:t>
            </w:r>
          </w:p>
        </w:tc>
      </w:tr>
      <w:tr>
        <w:tc>
          <w:tcPr>
            <w:tcW w:w="4309" w:type="dxa"/>
            <w:tcBorders>
              <w:top w:val="nil"/>
              <w:bottom w:val="single" w:sz="4"/>
            </w:tcBorders>
          </w:tcPr>
          <w:p>
            <w:pPr>
              <w:pStyle w:val="0"/>
            </w:pPr>
            <w:r>
              <w:rPr>
                <w:sz w:val="24"/>
              </w:rPr>
              <w:t xml:space="preserve">- балки, ригели, прогоны, рамы, фермы</w:t>
            </w:r>
          </w:p>
        </w:tc>
        <w:tc>
          <w:tcPr>
            <w:tcW w:w="1587" w:type="dxa"/>
            <w:tcBorders>
              <w:top w:val="nil"/>
              <w:bottom w:val="single" w:sz="4"/>
            </w:tcBorders>
          </w:tcPr>
          <w:p>
            <w:pPr>
              <w:pStyle w:val="0"/>
              <w:jc w:val="center"/>
            </w:pPr>
            <w:r>
              <w:rPr>
                <w:sz w:val="24"/>
              </w:rPr>
              <w:t xml:space="preserve">R 150</w:t>
            </w:r>
          </w:p>
        </w:tc>
        <w:tc>
          <w:tcPr>
            <w:tcW w:w="1587" w:type="dxa"/>
            <w:tcBorders>
              <w:top w:val="nil"/>
              <w:bottom w:val="single" w:sz="4"/>
            </w:tcBorders>
          </w:tcPr>
          <w:p>
            <w:pPr>
              <w:pStyle w:val="0"/>
              <w:jc w:val="center"/>
            </w:pPr>
            <w:r>
              <w:rPr>
                <w:sz w:val="24"/>
              </w:rPr>
              <w:t xml:space="preserve">R 180</w:t>
            </w:r>
          </w:p>
        </w:tc>
        <w:tc>
          <w:tcPr>
            <w:tcW w:w="1587" w:type="dxa"/>
            <w:tcBorders>
              <w:top w:val="nil"/>
              <w:bottom w:val="single" w:sz="4"/>
            </w:tcBorders>
          </w:tcPr>
          <w:p>
            <w:pPr>
              <w:pStyle w:val="0"/>
              <w:jc w:val="center"/>
            </w:pPr>
            <w:r>
              <w:rPr>
                <w:sz w:val="24"/>
              </w:rPr>
              <w:t xml:space="preserve">R 180</w:t>
            </w:r>
          </w:p>
        </w:tc>
      </w:tr>
      <w:tr>
        <w:tc>
          <w:tcPr>
            <w:tcW w:w="4309" w:type="dxa"/>
            <w:tcBorders>
              <w:top w:val="single" w:sz="4"/>
              <w:bottom w:val="nil"/>
            </w:tcBorders>
          </w:tcPr>
          <w:p>
            <w:pPr>
              <w:pStyle w:val="0"/>
            </w:pPr>
            <w:r>
              <w:rPr>
                <w:sz w:val="24"/>
              </w:rPr>
              <w:t xml:space="preserve">6 Конструкции лестничных клеток:</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внутренние стены</w:t>
            </w:r>
          </w:p>
        </w:tc>
        <w:tc>
          <w:tcPr>
            <w:tcW w:w="1587" w:type="dxa"/>
            <w:tcBorders>
              <w:top w:val="nil"/>
              <w:bottom w:val="nil"/>
            </w:tcBorders>
          </w:tcPr>
          <w:p>
            <w:pPr>
              <w:pStyle w:val="0"/>
              <w:jc w:val="center"/>
            </w:pPr>
            <w:r>
              <w:rPr>
                <w:sz w:val="24"/>
              </w:rPr>
              <w:t xml:space="preserve">REI 150</w:t>
            </w:r>
          </w:p>
        </w:tc>
        <w:tc>
          <w:tcPr>
            <w:tcW w:w="1587" w:type="dxa"/>
            <w:tcBorders>
              <w:top w:val="nil"/>
              <w:bottom w:val="nil"/>
            </w:tcBorders>
          </w:tcPr>
          <w:p>
            <w:pPr>
              <w:pStyle w:val="0"/>
              <w:jc w:val="center"/>
            </w:pPr>
            <w:r>
              <w:rPr>
                <w:sz w:val="24"/>
              </w:rPr>
              <w:t xml:space="preserve">REI 180</w:t>
            </w:r>
          </w:p>
        </w:tc>
        <w:tc>
          <w:tcPr>
            <w:tcW w:w="1587" w:type="dxa"/>
            <w:tcBorders>
              <w:top w:val="nil"/>
              <w:bottom w:val="nil"/>
            </w:tcBorders>
          </w:tcPr>
          <w:p>
            <w:pPr>
              <w:pStyle w:val="0"/>
              <w:jc w:val="center"/>
            </w:pPr>
            <w:r>
              <w:rPr>
                <w:sz w:val="24"/>
              </w:rPr>
              <w:t xml:space="preserve">REI 240</w:t>
            </w:r>
          </w:p>
        </w:tc>
      </w:tr>
      <w:tr>
        <w:tc>
          <w:tcPr>
            <w:tcW w:w="4309" w:type="dxa"/>
            <w:tcBorders>
              <w:top w:val="nil"/>
              <w:bottom w:val="single" w:sz="4"/>
            </w:tcBorders>
          </w:tcPr>
          <w:p>
            <w:pPr>
              <w:pStyle w:val="0"/>
            </w:pPr>
            <w:r>
              <w:rPr>
                <w:sz w:val="24"/>
              </w:rPr>
              <w:t xml:space="preserve">- марши и площадки</w:t>
            </w:r>
          </w:p>
        </w:tc>
        <w:tc>
          <w:tcPr>
            <w:tcW w:w="1587" w:type="dxa"/>
            <w:tcBorders>
              <w:top w:val="nil"/>
              <w:bottom w:val="single" w:sz="4"/>
            </w:tcBorders>
          </w:tcPr>
          <w:p>
            <w:pPr>
              <w:pStyle w:val="0"/>
              <w:jc w:val="center"/>
            </w:pPr>
            <w:r>
              <w:rPr>
                <w:sz w:val="24"/>
              </w:rPr>
              <w:t xml:space="preserve">R 60</w:t>
            </w:r>
          </w:p>
        </w:tc>
        <w:tc>
          <w:tcPr>
            <w:tcW w:w="1587" w:type="dxa"/>
            <w:tcBorders>
              <w:top w:val="nil"/>
              <w:bottom w:val="single" w:sz="4"/>
            </w:tcBorders>
          </w:tcPr>
          <w:p>
            <w:pPr>
              <w:pStyle w:val="0"/>
              <w:jc w:val="center"/>
            </w:pPr>
            <w:r>
              <w:rPr>
                <w:sz w:val="24"/>
              </w:rPr>
              <w:t xml:space="preserve">R 60</w:t>
            </w:r>
          </w:p>
        </w:tc>
        <w:tc>
          <w:tcPr>
            <w:tcW w:w="1587" w:type="dxa"/>
            <w:tcBorders>
              <w:top w:val="nil"/>
              <w:bottom w:val="single" w:sz="4"/>
            </w:tcBorders>
          </w:tcPr>
          <w:p>
            <w:pPr>
              <w:pStyle w:val="0"/>
              <w:jc w:val="center"/>
            </w:pPr>
            <w:r>
              <w:rPr>
                <w:sz w:val="24"/>
              </w:rPr>
              <w:t xml:space="preserve">R 60</w:t>
            </w:r>
          </w:p>
        </w:tc>
      </w:tr>
      <w:tr>
        <w:tblPrEx>
          <w:tblBorders>
            <w:insideH w:val="single" w:sz="4"/>
          </w:tblBorders>
        </w:tblPrEx>
        <w:tc>
          <w:tcPr>
            <w:tcW w:w="4309" w:type="dxa"/>
            <w:tcBorders>
              <w:top w:val="single" w:sz="4"/>
              <w:bottom w:val="single" w:sz="4"/>
            </w:tcBorders>
          </w:tcPr>
          <w:p>
            <w:pPr>
              <w:pStyle w:val="0"/>
            </w:pPr>
            <w:r>
              <w:rPr>
                <w:sz w:val="24"/>
              </w:rPr>
              <w:t xml:space="preserve">7 Противопожарные стены и перекрытия для деления здания на пожарные отсеки</w:t>
            </w:r>
          </w:p>
        </w:tc>
        <w:tc>
          <w:tcPr>
            <w:tcW w:w="1587" w:type="dxa"/>
            <w:tcBorders>
              <w:top w:val="single" w:sz="4"/>
              <w:bottom w:val="single" w:sz="4"/>
            </w:tcBorders>
          </w:tcPr>
          <w:p>
            <w:pPr>
              <w:pStyle w:val="0"/>
              <w:jc w:val="center"/>
            </w:pPr>
            <w:r>
              <w:rPr>
                <w:sz w:val="24"/>
              </w:rPr>
              <w:t xml:space="preserve">REI 150</w:t>
            </w:r>
          </w:p>
        </w:tc>
        <w:tc>
          <w:tcPr>
            <w:tcW w:w="1587" w:type="dxa"/>
            <w:tcBorders>
              <w:top w:val="single" w:sz="4"/>
              <w:bottom w:val="single" w:sz="4"/>
            </w:tcBorders>
          </w:tcPr>
          <w:p>
            <w:pPr>
              <w:pStyle w:val="0"/>
              <w:jc w:val="center"/>
            </w:pPr>
            <w:r>
              <w:rPr>
                <w:sz w:val="24"/>
              </w:rPr>
              <w:t xml:space="preserve">REI 180</w:t>
            </w:r>
          </w:p>
        </w:tc>
        <w:tc>
          <w:tcPr>
            <w:tcW w:w="1587" w:type="dxa"/>
            <w:tcBorders>
              <w:top w:val="single" w:sz="4"/>
              <w:bottom w:val="single" w:sz="4"/>
            </w:tcBorders>
          </w:tcPr>
          <w:p>
            <w:pPr>
              <w:pStyle w:val="0"/>
              <w:jc w:val="center"/>
            </w:pPr>
            <w:r>
              <w:rPr>
                <w:sz w:val="24"/>
              </w:rPr>
              <w:t xml:space="preserve">REI 240</w:t>
            </w:r>
          </w:p>
        </w:tc>
      </w:tr>
      <w:tr>
        <w:tc>
          <w:tcPr>
            <w:tcW w:w="4309" w:type="dxa"/>
            <w:tcBorders>
              <w:top w:val="single" w:sz="4"/>
              <w:bottom w:val="nil"/>
            </w:tcBorders>
          </w:tcPr>
          <w:p>
            <w:pPr>
              <w:pStyle w:val="0"/>
            </w:pPr>
            <w:r>
              <w:rPr>
                <w:sz w:val="24"/>
              </w:rPr>
              <w:t xml:space="preserve">8 Конструкции шахт:</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лифтовые и коммуникационные шахты, каналы и короба, не пересекающие границы пожарных отсеков</w:t>
            </w:r>
          </w:p>
        </w:tc>
        <w:tc>
          <w:tcPr>
            <w:tcW w:w="1587" w:type="dxa"/>
            <w:tcBorders>
              <w:top w:val="nil"/>
              <w:bottom w:val="nil"/>
            </w:tcBorders>
          </w:tcPr>
          <w:p>
            <w:pPr>
              <w:pStyle w:val="0"/>
              <w:jc w:val="center"/>
            </w:pPr>
            <w:r>
              <w:rPr>
                <w:sz w:val="24"/>
              </w:rPr>
              <w:t xml:space="preserve">REI 120</w:t>
            </w:r>
          </w:p>
        </w:tc>
        <w:tc>
          <w:tcPr>
            <w:tcW w:w="1587" w:type="dxa"/>
            <w:tcBorders>
              <w:top w:val="nil"/>
              <w:bottom w:val="nil"/>
            </w:tcBorders>
          </w:tcPr>
          <w:p>
            <w:pPr>
              <w:pStyle w:val="0"/>
              <w:jc w:val="center"/>
            </w:pPr>
            <w:r>
              <w:rPr>
                <w:sz w:val="24"/>
              </w:rPr>
              <w:t xml:space="preserve">REI 120</w:t>
            </w:r>
          </w:p>
        </w:tc>
        <w:tc>
          <w:tcPr>
            <w:tcW w:w="1587" w:type="dxa"/>
            <w:tcBorders>
              <w:top w:val="nil"/>
              <w:bottom w:val="nil"/>
            </w:tcBorders>
          </w:tcPr>
          <w:p>
            <w:pPr>
              <w:pStyle w:val="0"/>
              <w:jc w:val="center"/>
            </w:pPr>
            <w:r>
              <w:rPr>
                <w:sz w:val="24"/>
              </w:rPr>
              <w:t xml:space="preserve">REI 120</w:t>
            </w:r>
          </w:p>
        </w:tc>
      </w:tr>
      <w:tr>
        <w:tc>
          <w:tcPr>
            <w:tcW w:w="4309" w:type="dxa"/>
            <w:tcBorders>
              <w:top w:val="nil"/>
              <w:bottom w:val="nil"/>
            </w:tcBorders>
          </w:tcPr>
          <w:p>
            <w:pPr>
              <w:pStyle w:val="0"/>
            </w:pPr>
            <w:r>
              <w:rPr>
                <w:sz w:val="24"/>
              </w:rPr>
              <w:t xml:space="preserve">- лифтовые и коммуникационные шахты, каналы и короба, пересекающие границы пожарных отсеков; шахты лифтов для транспортирования пожарных подразделений</w:t>
            </w:r>
          </w:p>
        </w:tc>
        <w:tc>
          <w:tcPr>
            <w:tcW w:w="1587" w:type="dxa"/>
            <w:tcBorders>
              <w:top w:val="nil"/>
              <w:bottom w:val="nil"/>
            </w:tcBorders>
          </w:tcPr>
          <w:p>
            <w:pPr>
              <w:pStyle w:val="0"/>
              <w:jc w:val="center"/>
            </w:pPr>
            <w:r>
              <w:rPr>
                <w:sz w:val="24"/>
              </w:rPr>
              <w:t xml:space="preserve">REI 150 </w:t>
            </w:r>
            <w:hyperlink w:history="0" w:anchor="P355"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в проектной документации на здание, комплекс.">
              <w:r>
                <w:rPr>
                  <w:sz w:val="24"/>
                  <w:color w:val="0000ff"/>
                </w:rPr>
                <w:t xml:space="preserve">&lt;*&gt;</w:t>
              </w:r>
            </w:hyperlink>
          </w:p>
        </w:tc>
        <w:tc>
          <w:tcPr>
            <w:tcW w:w="1587" w:type="dxa"/>
            <w:tcBorders>
              <w:top w:val="nil"/>
              <w:bottom w:val="nil"/>
            </w:tcBorders>
          </w:tcPr>
          <w:p>
            <w:pPr>
              <w:pStyle w:val="0"/>
              <w:jc w:val="center"/>
            </w:pPr>
            <w:r>
              <w:rPr>
                <w:sz w:val="24"/>
              </w:rPr>
              <w:t xml:space="preserve">REI 180 </w:t>
            </w:r>
            <w:hyperlink w:history="0" w:anchor="P355"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в проектной документации на здание, комплекс.">
              <w:r>
                <w:rPr>
                  <w:sz w:val="24"/>
                  <w:color w:val="0000ff"/>
                </w:rPr>
                <w:t xml:space="preserve">&lt;*&gt;</w:t>
              </w:r>
            </w:hyperlink>
          </w:p>
        </w:tc>
        <w:tc>
          <w:tcPr>
            <w:tcW w:w="1587" w:type="dxa"/>
            <w:tcBorders>
              <w:top w:val="nil"/>
              <w:bottom w:val="nil"/>
            </w:tcBorders>
          </w:tcPr>
          <w:p>
            <w:pPr>
              <w:pStyle w:val="0"/>
              <w:jc w:val="center"/>
            </w:pPr>
            <w:r>
              <w:rPr>
                <w:sz w:val="24"/>
              </w:rPr>
              <w:t xml:space="preserve">REI 240 </w:t>
            </w:r>
            <w:hyperlink w:history="0" w:anchor="P355"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в проектной документации на здание, комплекс.">
              <w:r>
                <w:rPr>
                  <w:sz w:val="24"/>
                  <w:color w:val="0000ff"/>
                </w:rPr>
                <w:t xml:space="preserve">&lt;*&gt;</w:t>
              </w:r>
            </w:hyperlink>
          </w:p>
        </w:tc>
      </w:tr>
      <w:tr>
        <w:tc>
          <w:tcPr>
            <w:gridSpan w:val="4"/>
            <w:tcW w:w="9070" w:type="dxa"/>
            <w:tcBorders>
              <w:top w:val="nil"/>
              <w:bottom w:val="single" w:sz="4"/>
            </w:tcBorders>
          </w:tcPr>
          <w:p>
            <w:pPr>
              <w:pStyle w:val="0"/>
              <w:jc w:val="both"/>
            </w:pPr>
            <w:r>
              <w:rPr>
                <w:sz w:val="24"/>
              </w:rPr>
              <w:t xml:space="preserve">(в ред. </w:t>
            </w:r>
            <w:hyperlink w:history="0" r:id="rId11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tc>
      </w:tr>
      <w:tr>
        <w:tc>
          <w:tcPr>
            <w:tcW w:w="4309" w:type="dxa"/>
            <w:tcBorders>
              <w:top w:val="single" w:sz="4"/>
              <w:bottom w:val="nil"/>
            </w:tcBorders>
          </w:tcPr>
          <w:p>
            <w:pPr>
              <w:pStyle w:val="0"/>
            </w:pPr>
            <w:r>
              <w:rPr>
                <w:sz w:val="24"/>
              </w:rPr>
              <w:t xml:space="preserve">9 Внутренние ненесущие стены (перегородки):</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между гостиничными номерами, офисами и т.д.</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r>
      <w:tr>
        <w:tc>
          <w:tcPr>
            <w:tcW w:w="4309" w:type="dxa"/>
            <w:tcBorders>
              <w:top w:val="nil"/>
              <w:bottom w:val="nil"/>
            </w:tcBorders>
          </w:tcPr>
          <w:p>
            <w:pPr>
              <w:pStyle w:val="0"/>
            </w:pPr>
            <w:r>
              <w:rPr>
                <w:sz w:val="24"/>
              </w:rPr>
              <w:t xml:space="preserve">- отделяющие помещения от атриума; между коридорами и номерами гостиниц, офисами</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r>
      <w:tr>
        <w:tc>
          <w:tcPr>
            <w:tcW w:w="4309" w:type="dxa"/>
            <w:tcBorders>
              <w:top w:val="nil"/>
              <w:bottom w:val="nil"/>
            </w:tcBorders>
          </w:tcPr>
          <w:p>
            <w:pPr>
              <w:pStyle w:val="0"/>
            </w:pPr>
            <w:r>
              <w:rPr>
                <w:sz w:val="24"/>
              </w:rPr>
              <w:t xml:space="preserve">- отделяющие помещения для аварийного генератора и дизельных электростанций</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r>
      <w:tr>
        <w:tc>
          <w:tcPr>
            <w:tcW w:w="4309" w:type="dxa"/>
            <w:tcBorders>
              <w:top w:val="nil"/>
              <w:bottom w:val="nil"/>
            </w:tcBorders>
          </w:tcPr>
          <w:p>
            <w:pPr>
              <w:pStyle w:val="0"/>
            </w:pPr>
            <w:r>
              <w:rPr>
                <w:sz w:val="24"/>
              </w:rPr>
              <w:t xml:space="preserve">- отделяющие торговые залы площадью более 2000 м</w:t>
            </w:r>
            <w:r>
              <w:rPr>
                <w:sz w:val="24"/>
                <w:vertAlign w:val="superscript"/>
              </w:rPr>
              <w:t xml:space="preserve">2</w:t>
            </w:r>
            <w:r>
              <w:rPr>
                <w:sz w:val="24"/>
              </w:rPr>
              <w:t xml:space="preserve"> и другие помещения зального типа, предназначенные для одновременного пребывания более 500 чел.</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r>
      <w:tr>
        <w:tc>
          <w:tcPr>
            <w:tcW w:w="4309" w:type="dxa"/>
            <w:tcBorders>
              <w:top w:val="nil"/>
              <w:bottom w:val="nil"/>
            </w:tcBorders>
          </w:tcPr>
          <w:p>
            <w:pPr>
              <w:pStyle w:val="0"/>
            </w:pPr>
            <w:r>
              <w:rPr>
                <w:sz w:val="24"/>
              </w:rPr>
              <w:t xml:space="preserve">- отделяющие квартиры (апартаменты) друг от друга</w:t>
            </w:r>
          </w:p>
        </w:tc>
        <w:tc>
          <w:tcPr>
            <w:tcW w:w="1587" w:type="dxa"/>
            <w:tcBorders>
              <w:top w:val="nil"/>
              <w:bottom w:val="nil"/>
            </w:tcBorders>
          </w:tcPr>
          <w:p>
            <w:pPr>
              <w:pStyle w:val="0"/>
              <w:jc w:val="center"/>
            </w:pPr>
            <w:r>
              <w:rPr>
                <w:sz w:val="24"/>
              </w:rPr>
              <w:t xml:space="preserve">EI 90</w:t>
            </w:r>
          </w:p>
        </w:tc>
        <w:tc>
          <w:tcPr>
            <w:tcW w:w="1587" w:type="dxa"/>
            <w:tcBorders>
              <w:top w:val="nil"/>
              <w:bottom w:val="nil"/>
            </w:tcBorders>
          </w:tcPr>
          <w:p>
            <w:pPr>
              <w:pStyle w:val="0"/>
              <w:jc w:val="center"/>
            </w:pPr>
            <w:r>
              <w:rPr>
                <w:sz w:val="24"/>
              </w:rPr>
              <w:t xml:space="preserve">EI 90</w:t>
            </w:r>
          </w:p>
        </w:tc>
        <w:tc>
          <w:tcPr>
            <w:tcW w:w="1587" w:type="dxa"/>
            <w:tcBorders>
              <w:top w:val="nil"/>
              <w:bottom w:val="nil"/>
            </w:tcBorders>
          </w:tcPr>
          <w:p>
            <w:pPr>
              <w:pStyle w:val="0"/>
              <w:jc w:val="center"/>
            </w:pPr>
            <w:r>
              <w:rPr>
                <w:sz w:val="24"/>
              </w:rPr>
              <w:t xml:space="preserve">EI 90</w:t>
            </w:r>
          </w:p>
        </w:tc>
      </w:tr>
      <w:tr>
        <w:tc>
          <w:tcPr>
            <w:tcW w:w="4309" w:type="dxa"/>
            <w:tcBorders>
              <w:top w:val="nil"/>
              <w:bottom w:val="nil"/>
            </w:tcBorders>
          </w:tcPr>
          <w:p>
            <w:pPr>
              <w:pStyle w:val="0"/>
            </w:pPr>
            <w:r>
              <w:rPr>
                <w:sz w:val="24"/>
              </w:rPr>
              <w:t xml:space="preserve">- отделяющие квартиры от других помещений и коридоров</w:t>
            </w:r>
          </w:p>
        </w:tc>
        <w:tc>
          <w:tcPr>
            <w:tcW w:w="1587" w:type="dxa"/>
            <w:tcBorders>
              <w:top w:val="nil"/>
              <w:bottom w:val="nil"/>
            </w:tcBorders>
          </w:tcPr>
          <w:p>
            <w:pPr>
              <w:pStyle w:val="0"/>
              <w:jc w:val="center"/>
            </w:pPr>
            <w:r>
              <w:rPr>
                <w:sz w:val="24"/>
              </w:rPr>
              <w:t xml:space="preserve">EI 30</w:t>
            </w:r>
          </w:p>
          <w:p>
            <w:pPr>
              <w:pStyle w:val="0"/>
              <w:jc w:val="center"/>
            </w:pPr>
            <w:r>
              <w:rPr>
                <w:sz w:val="24"/>
              </w:rPr>
              <w:t xml:space="preserve">(EI 45 для жилых зданий)</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r>
      <w:tr>
        <w:tc>
          <w:tcPr>
            <w:gridSpan w:val="4"/>
            <w:tcW w:w="9070" w:type="dxa"/>
            <w:tcBorders>
              <w:top w:val="nil"/>
              <w:bottom w:val="nil"/>
            </w:tcBorders>
          </w:tcPr>
          <w:p>
            <w:pPr>
              <w:pStyle w:val="0"/>
              <w:jc w:val="both"/>
            </w:pPr>
            <w:r>
              <w:rPr>
                <w:sz w:val="24"/>
              </w:rPr>
              <w:t xml:space="preserve">(в ред. </w:t>
            </w:r>
            <w:hyperlink w:history="0" r:id="rId115"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tc>
      </w:tr>
      <w:tr>
        <w:tc>
          <w:tcPr>
            <w:tcW w:w="4309" w:type="dxa"/>
            <w:tcBorders>
              <w:top w:val="nil"/>
              <w:bottom w:val="nil"/>
            </w:tcBorders>
          </w:tcPr>
          <w:p>
            <w:pPr>
              <w:pStyle w:val="0"/>
            </w:pPr>
            <w:r>
              <w:rPr>
                <w:sz w:val="24"/>
              </w:rPr>
              <w:t xml:space="preserve">- отделяющие лифтовые холлы</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r>
      <w:tr>
        <w:tc>
          <w:tcPr>
            <w:tcW w:w="4309" w:type="dxa"/>
            <w:tcBorders>
              <w:top w:val="nil"/>
              <w:bottom w:val="nil"/>
            </w:tcBorders>
          </w:tcPr>
          <w:p>
            <w:pPr>
              <w:pStyle w:val="0"/>
            </w:pPr>
            <w:r>
              <w:rPr>
                <w:sz w:val="24"/>
              </w:rPr>
              <w:t xml:space="preserve">- отделяющие лифтовые холлы и тамбуры лифтов для транспортирования пожарных подразделений</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90, EIW 90</w:t>
            </w:r>
          </w:p>
        </w:tc>
        <w:tc>
          <w:tcPr>
            <w:tcW w:w="1587" w:type="dxa"/>
            <w:tcBorders>
              <w:top w:val="nil"/>
              <w:bottom w:val="nil"/>
            </w:tcBorders>
          </w:tcPr>
          <w:p>
            <w:pPr>
              <w:pStyle w:val="0"/>
              <w:jc w:val="center"/>
            </w:pPr>
            <w:r>
              <w:rPr>
                <w:sz w:val="24"/>
              </w:rPr>
              <w:t xml:space="preserve">EI 90, EIW 90</w:t>
            </w:r>
          </w:p>
        </w:tc>
      </w:tr>
      <w:tr>
        <w:tc>
          <w:tcPr>
            <w:gridSpan w:val="4"/>
            <w:tcW w:w="9070" w:type="dxa"/>
            <w:tcBorders>
              <w:top w:val="nil"/>
              <w:bottom w:val="nil"/>
            </w:tcBorders>
          </w:tcPr>
          <w:p>
            <w:pPr>
              <w:pStyle w:val="0"/>
              <w:jc w:val="both"/>
            </w:pPr>
            <w:r>
              <w:rPr>
                <w:sz w:val="24"/>
              </w:rPr>
              <w:t xml:space="preserve">(в ред. </w:t>
            </w:r>
            <w:hyperlink w:history="0" r:id="rId11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tc>
      </w:tr>
      <w:tr>
        <w:tc>
          <w:tcPr>
            <w:tcW w:w="4309" w:type="dxa"/>
            <w:tcBorders>
              <w:top w:val="nil"/>
              <w:bottom w:val="nil"/>
            </w:tcBorders>
          </w:tcPr>
          <w:p>
            <w:pPr>
              <w:pStyle w:val="0"/>
            </w:pPr>
            <w:r>
              <w:rPr>
                <w:sz w:val="24"/>
              </w:rPr>
              <w:t xml:space="preserve">- отделяющие встроенную баню сухого жара от других помещений</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r>
      <w:tr>
        <w:tc>
          <w:tcPr>
            <w:tcW w:w="4309" w:type="dxa"/>
            <w:tcBorders>
              <w:top w:val="nil"/>
              <w:bottom w:val="nil"/>
            </w:tcBorders>
          </w:tcPr>
          <w:p>
            <w:pPr>
              <w:pStyle w:val="0"/>
            </w:pPr>
            <w:r>
              <w:rPr>
                <w:sz w:val="24"/>
              </w:rPr>
              <w:t xml:space="preserve">- отделяющие помещения предприятий бытового обслуживания площадью более 300 м</w:t>
            </w:r>
            <w:r>
              <w:rPr>
                <w:sz w:val="24"/>
                <w:vertAlign w:val="superscript"/>
              </w:rPr>
              <w:t xml:space="preserve">2</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r>
      <w:tr>
        <w:tc>
          <w:tcPr>
            <w:tcW w:w="4309" w:type="dxa"/>
            <w:tcBorders>
              <w:top w:val="nil"/>
              <w:bottom w:val="nil"/>
            </w:tcBorders>
          </w:tcPr>
          <w:p>
            <w:pPr>
              <w:pStyle w:val="0"/>
            </w:pPr>
            <w:r>
              <w:rPr>
                <w:sz w:val="24"/>
              </w:rPr>
              <w:t xml:space="preserve">- отделяющие помещения для книгохранилищ, архивов</w:t>
            </w:r>
          </w:p>
        </w:tc>
        <w:tc>
          <w:tcPr>
            <w:tcW w:w="1587" w:type="dxa"/>
            <w:tcBorders>
              <w:top w:val="nil"/>
              <w:bottom w:val="nil"/>
            </w:tcBorders>
          </w:tcPr>
          <w:p>
            <w:pPr>
              <w:pStyle w:val="0"/>
              <w:jc w:val="center"/>
            </w:pPr>
            <w:r>
              <w:rPr>
                <w:sz w:val="24"/>
              </w:rPr>
              <w:t xml:space="preserve">EI 90</w:t>
            </w:r>
          </w:p>
        </w:tc>
        <w:tc>
          <w:tcPr>
            <w:tcW w:w="1587" w:type="dxa"/>
            <w:tcBorders>
              <w:top w:val="nil"/>
              <w:bottom w:val="nil"/>
            </w:tcBorders>
          </w:tcPr>
          <w:p>
            <w:pPr>
              <w:pStyle w:val="0"/>
              <w:jc w:val="center"/>
            </w:pPr>
            <w:r>
              <w:rPr>
                <w:sz w:val="24"/>
              </w:rPr>
              <w:t xml:space="preserve">EI 120</w:t>
            </w:r>
          </w:p>
        </w:tc>
        <w:tc>
          <w:tcPr>
            <w:tcW w:w="1587" w:type="dxa"/>
            <w:tcBorders>
              <w:top w:val="nil"/>
              <w:bottom w:val="nil"/>
            </w:tcBorders>
          </w:tcPr>
          <w:p>
            <w:pPr>
              <w:pStyle w:val="0"/>
              <w:jc w:val="center"/>
            </w:pPr>
            <w:r>
              <w:rPr>
                <w:sz w:val="24"/>
              </w:rPr>
              <w:t xml:space="preserve">EI 120</w:t>
            </w:r>
          </w:p>
        </w:tc>
      </w:tr>
      <w:tr>
        <w:tc>
          <w:tcPr>
            <w:tcW w:w="4309" w:type="dxa"/>
            <w:tcBorders>
              <w:top w:val="nil"/>
              <w:bottom w:val="single" w:sz="4"/>
            </w:tcBorders>
          </w:tcPr>
          <w:p>
            <w:pPr>
              <w:pStyle w:val="0"/>
            </w:pPr>
            <w:r>
              <w:rPr>
                <w:sz w:val="24"/>
              </w:rPr>
              <w:t xml:space="preserve">- отделяющие помещения трансформаторных подстанций</w:t>
            </w:r>
          </w:p>
        </w:tc>
        <w:tc>
          <w:tcPr>
            <w:tcW w:w="1587" w:type="dxa"/>
            <w:tcBorders>
              <w:top w:val="nil"/>
              <w:bottom w:val="single" w:sz="4"/>
            </w:tcBorders>
          </w:tcPr>
          <w:p>
            <w:pPr>
              <w:pStyle w:val="0"/>
              <w:jc w:val="center"/>
            </w:pPr>
            <w:r>
              <w:rPr>
                <w:sz w:val="24"/>
              </w:rPr>
              <w:t xml:space="preserve">EI 60</w:t>
            </w:r>
          </w:p>
        </w:tc>
        <w:tc>
          <w:tcPr>
            <w:tcW w:w="1587" w:type="dxa"/>
            <w:tcBorders>
              <w:top w:val="nil"/>
              <w:bottom w:val="single" w:sz="4"/>
            </w:tcBorders>
          </w:tcPr>
          <w:p>
            <w:pPr>
              <w:pStyle w:val="0"/>
              <w:jc w:val="center"/>
            </w:pPr>
            <w:r>
              <w:rPr>
                <w:sz w:val="24"/>
              </w:rPr>
              <w:t xml:space="preserve">EI 60</w:t>
            </w:r>
          </w:p>
        </w:tc>
        <w:tc>
          <w:tcPr>
            <w:tcW w:w="1587" w:type="dxa"/>
            <w:tcBorders>
              <w:top w:val="nil"/>
              <w:bottom w:val="single" w:sz="4"/>
            </w:tcBorders>
          </w:tcPr>
          <w:p>
            <w:pPr>
              <w:pStyle w:val="0"/>
              <w:jc w:val="center"/>
            </w:pPr>
            <w:r>
              <w:rPr>
                <w:sz w:val="24"/>
              </w:rPr>
              <w:t xml:space="preserve">EI 60</w:t>
            </w:r>
          </w:p>
        </w:tc>
      </w:tr>
      <w:tr>
        <w:tc>
          <w:tcPr>
            <w:gridSpan w:val="4"/>
            <w:tcW w:w="9070" w:type="dxa"/>
            <w:vAlign w:val="bottom"/>
            <w:tcBorders>
              <w:top w:val="single" w:sz="4"/>
              <w:bottom w:val="nil"/>
            </w:tcBorders>
          </w:tcPr>
          <w:bookmarkStart w:id="355" w:name="P355"/>
          <w:bookmarkEnd w:id="355"/>
          <w:p>
            <w:pPr>
              <w:pStyle w:val="0"/>
              <w:ind w:firstLine="283"/>
              <w:jc w:val="both"/>
            </w:pPr>
            <w:r>
              <w:rPr>
                <w:sz w:val="24"/>
              </w:rPr>
              <w:t xml:space="preserve">&lt;*&gt;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в проектной документации на здание, комплекс.</w:t>
            </w:r>
          </w:p>
        </w:tc>
      </w:tr>
      <w:tr>
        <w:tc>
          <w:tcPr>
            <w:gridSpan w:val="4"/>
            <w:tcW w:w="9070" w:type="dxa"/>
            <w:tcBorders>
              <w:top w:val="nil"/>
              <w:bottom w:val="nil"/>
            </w:tcBorders>
          </w:tcPr>
          <w:p>
            <w:pPr>
              <w:pStyle w:val="0"/>
              <w:jc w:val="both"/>
            </w:pPr>
            <w:r>
              <w:rPr>
                <w:sz w:val="24"/>
              </w:rPr>
              <w:t xml:space="preserve">(в ред. </w:t>
            </w:r>
            <w:hyperlink w:history="0" r:id="rId11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tc>
      </w:tr>
      <w:tr>
        <w:tc>
          <w:tcPr>
            <w:gridSpan w:val="4"/>
            <w:tcW w:w="9070" w:type="dxa"/>
            <w:tcBorders>
              <w:top w:val="nil"/>
              <w:bottom w:val="nil"/>
            </w:tcBorders>
          </w:tcPr>
          <w:p>
            <w:pPr>
              <w:pStyle w:val="0"/>
            </w:pPr>
            <w:r>
              <w:rPr>
                <w:sz w:val="24"/>
              </w:rPr>
            </w:r>
          </w:p>
          <w:p>
            <w:pPr>
              <w:pStyle w:val="0"/>
              <w:ind w:firstLine="540"/>
              <w:jc w:val="both"/>
            </w:pPr>
            <w:r>
              <w:rPr>
                <w:sz w:val="24"/>
              </w:rPr>
              <w:t xml:space="preserve">Примечания</w:t>
            </w:r>
          </w:p>
          <w:p>
            <w:pPr>
              <w:pStyle w:val="0"/>
              <w:ind w:firstLine="540"/>
              <w:jc w:val="both"/>
            </w:pPr>
            <w:r>
              <w:rPr>
                <w:sz w:val="24"/>
              </w:rPr>
              <w:t xml:space="preserve">1 Предел огнестойкости по признаку R несущих конструкций, являющихся опорой для противопожарных перекрытий, должен быть не менее предела огнестойкости самих перекрытий.</w:t>
            </w:r>
          </w:p>
          <w:p>
            <w:pPr>
              <w:pStyle w:val="0"/>
              <w:ind w:firstLine="540"/>
              <w:jc w:val="both"/>
            </w:pPr>
            <w:r>
              <w:rPr>
                <w:sz w:val="24"/>
              </w:rPr>
              <w:t xml:space="preserve">2 Предел огнестойкости наружных несущих стен по потере целостности (E) согласно </w:t>
            </w:r>
            <w:hyperlink w:history="0" r:id="rId118"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должен быть не менее требуемого предела огнестойкости для наружных ненесущих стен.</w:t>
            </w:r>
          </w:p>
        </w:tc>
      </w:tr>
      <w:tr>
        <w:tc>
          <w:tcPr>
            <w:gridSpan w:val="4"/>
            <w:tcW w:w="9070" w:type="dxa"/>
            <w:tcBorders>
              <w:top w:val="nil"/>
              <w:bottom w:val="single" w:sz="4"/>
            </w:tcBorders>
          </w:tcPr>
          <w:p>
            <w:pPr>
              <w:pStyle w:val="0"/>
              <w:jc w:val="both"/>
            </w:pPr>
            <w:r>
              <w:rPr>
                <w:sz w:val="24"/>
              </w:rPr>
              <w:t xml:space="preserve">(примечания в ред. </w:t>
            </w:r>
            <w:hyperlink w:history="0" r:id="rId11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tc>
      </w:tr>
    </w:tbl>
    <w:p>
      <w:pPr>
        <w:pStyle w:val="0"/>
        <w:jc w:val="both"/>
      </w:pPr>
      <w:r>
        <w:rPr>
          <w:sz w:val="24"/>
        </w:rPr>
      </w:r>
    </w:p>
    <w:p>
      <w:pPr>
        <w:pStyle w:val="0"/>
        <w:ind w:firstLine="540"/>
        <w:jc w:val="both"/>
      </w:pPr>
      <w:r>
        <w:rPr>
          <w:sz w:val="24"/>
        </w:rPr>
        <w:t xml:space="preserve">6.2 Для обеспечения требуемых пределов огнестойкости несущих конструкций (элементов здания) и коммуникаций систем инженерно-технического обеспечения следует применять конструктивную огнезащиту согласно </w:t>
      </w:r>
      <w:hyperlink w:history="0" r:id="rId120"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При размещении помещений для инженерного оборудования, других технических и вспомогательных помещений, в т.ч. кладовых, в части подземных этажей такие помещения следует отделять от помещений иного функционального назначения противопожарными преградами (стенами, перегородками) с пределом огнестойкости не менее REI 60 (EI 60) и тамбур-шлюзом 1-го типа.</w:t>
      </w:r>
    </w:p>
    <w:p>
      <w:pPr>
        <w:pStyle w:val="0"/>
        <w:spacing w:before="240" w:lineRule="auto"/>
        <w:ind w:firstLine="540"/>
        <w:jc w:val="both"/>
      </w:pPr>
      <w:r>
        <w:rPr>
          <w:sz w:val="24"/>
        </w:rPr>
        <w:t xml:space="preserve">6.3 Двери, люки и другие заполнения проемов в конструкциях с нормируемыми в </w:t>
      </w:r>
      <w:hyperlink w:history="0" w:anchor="P226" w:tooltip="Пределы огнестойкости строительных конструкций">
        <w:r>
          <w:rPr>
            <w:sz w:val="24"/>
            <w:color w:val="0000ff"/>
          </w:rPr>
          <w:t xml:space="preserve">таблице 6.1</w:t>
        </w:r>
      </w:hyperlink>
      <w:r>
        <w:rPr>
          <w:sz w:val="24"/>
        </w:rPr>
        <w:t xml:space="preserve"> пределами огнестойкости (за исключением наружных стен) должны быть противопожарными. Их предел огнестойкости должен составлять не менее EI 30 (EIS 30, EIWS 30) в случае применения конструкций с пределом огнестойкости EI 60 (EIW 60) и не менее EI 60 (EIS 60, EIWS 60) в остальных случаях.</w:t>
      </w:r>
    </w:p>
    <w:p>
      <w:pPr>
        <w:pStyle w:val="0"/>
        <w:spacing w:before="240" w:lineRule="auto"/>
        <w:ind w:firstLine="540"/>
        <w:jc w:val="both"/>
      </w:pPr>
      <w:r>
        <w:rPr>
          <w:sz w:val="24"/>
        </w:rPr>
        <w:t xml:space="preserve">Двери лифтовых холлов и двери машинных помещений лифтов следует предусматривать в дымогазонепроницаемом исполнении.</w:t>
      </w:r>
    </w:p>
    <w:p>
      <w:pPr>
        <w:pStyle w:val="0"/>
        <w:jc w:val="both"/>
      </w:pPr>
      <w:r>
        <w:rPr>
          <w:sz w:val="24"/>
        </w:rPr>
        <w:t xml:space="preserve">(в ред. </w:t>
      </w:r>
      <w:hyperlink w:history="0" r:id="rId12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В коммуникационных шахтах, предназначенных для прокладки водозаполненных трубопроводов инженерных систем, допускается применять противопожарные двери (люки и т.д.) 2-го типа.</w:t>
      </w:r>
    </w:p>
    <w:p>
      <w:pPr>
        <w:pStyle w:val="0"/>
        <w:spacing w:before="240" w:lineRule="auto"/>
        <w:ind w:firstLine="540"/>
        <w:jc w:val="both"/>
      </w:pPr>
      <w:r>
        <w:rPr>
          <w:sz w:val="24"/>
        </w:rPr>
        <w:t xml:space="preserve">Стены коммуникационных шахт и коробов для прокладки трубопроводов и инженерных коммуникаций должны иметь пределы огнестойкости, соответствующие пересекаемым перекрытиям. При пересечении данными шахтами границ пожарных отсеков их пределы огнестойкости должны соответствовать пределам огнестойкости пересекаемых перекрытий.</w:t>
      </w:r>
    </w:p>
    <w:p>
      <w:pPr>
        <w:pStyle w:val="0"/>
        <w:spacing w:before="240" w:lineRule="auto"/>
        <w:ind w:firstLine="540"/>
        <w:jc w:val="both"/>
      </w:pPr>
      <w:r>
        <w:rPr>
          <w:sz w:val="24"/>
        </w:rPr>
        <w:t xml:space="preserve">6.4 Наружные стены с внешней стороны с фасадными системами должны иметь класс пожарной опасности К0, с применением негорючих материалов облицовки, отделки и теплоизоляции, ветровлагозащиты (не должны относиться к группе слабогорючих материалов).</w:t>
      </w:r>
    </w:p>
    <w:p>
      <w:pPr>
        <w:pStyle w:val="0"/>
        <w:spacing w:before="240" w:lineRule="auto"/>
        <w:ind w:firstLine="540"/>
        <w:jc w:val="both"/>
      </w:pPr>
      <w:r>
        <w:rPr>
          <w:sz w:val="24"/>
        </w:rPr>
        <w:t xml:space="preserve">6.5 Противопожарные перекрытия высотных зданий следует выполнять в соответствии с </w:t>
      </w:r>
      <w:hyperlink w:history="0" r:id="rId122"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 требованиями настоящего свода правил.</w:t>
      </w:r>
    </w:p>
    <w:p>
      <w:pPr>
        <w:pStyle w:val="0"/>
        <w:jc w:val="both"/>
      </w:pPr>
      <w:r>
        <w:rPr>
          <w:sz w:val="24"/>
        </w:rPr>
        <w:t xml:space="preserve">(абзац введен </w:t>
      </w:r>
      <w:hyperlink w:history="0" r:id="rId12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Противопожарные перекрытия должны разделять наружные стены и выступать за наружную плоскость стены не менее чем на 30 см. При этом должен быть предусмотрен глухой участок стены междуэтажного заполнения (противопожарный пояс) высотой не менее 1,2 м, с пределом огнестойкости не менее E 60.</w:t>
      </w:r>
    </w:p>
    <w:p>
      <w:pPr>
        <w:pStyle w:val="0"/>
        <w:jc w:val="both"/>
      </w:pPr>
      <w:r>
        <w:rPr>
          <w:sz w:val="24"/>
        </w:rPr>
        <w:t xml:space="preserve">(в ред. </w:t>
      </w:r>
      <w:hyperlink w:history="0" r:id="rId12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Допускается не разделять противопожарными перекрытиями наружные стены, если одновременно выполняются следующие условия:</w:t>
      </w:r>
    </w:p>
    <w:p>
      <w:pPr>
        <w:pStyle w:val="0"/>
        <w:spacing w:before="240" w:lineRule="auto"/>
        <w:ind w:firstLine="540"/>
        <w:jc w:val="both"/>
      </w:pPr>
      <w:r>
        <w:rPr>
          <w:sz w:val="24"/>
        </w:rPr>
        <w:t xml:space="preserve">- участки наружных стен в местах примыкания к перекрытиям (противопожарные пояса) выполнены глухими при расстоянии между верхом окна нижележащего этажа и низом окна вышележащего этажа не менее 1,2 м;</w:t>
      </w:r>
    </w:p>
    <w:p>
      <w:pPr>
        <w:pStyle w:val="0"/>
        <w:spacing w:before="240" w:lineRule="auto"/>
        <w:ind w:firstLine="540"/>
        <w:jc w:val="both"/>
      </w:pPr>
      <w:r>
        <w:rPr>
          <w:sz w:val="24"/>
        </w:rPr>
        <w:t xml:space="preserve">- предел огнестойкости данных участков наружных стен (в т.ч. узлов примыкания) предусмотрен не менее, чем у противопожарного перекрытия по признакам (EI);</w:t>
      </w:r>
    </w:p>
    <w:p>
      <w:pPr>
        <w:pStyle w:val="0"/>
        <w:spacing w:before="240" w:lineRule="auto"/>
        <w:ind w:firstLine="540"/>
        <w:jc w:val="both"/>
      </w:pPr>
      <w:r>
        <w:rPr>
          <w:sz w:val="24"/>
        </w:rPr>
        <w:t xml:space="preserve">- класс пожарной опасности данных участков наружных стен (в т.ч. узлов примыкания) предусмотрен не менее К0;</w:t>
      </w:r>
    </w:p>
    <w:p>
      <w:pPr>
        <w:pStyle w:val="0"/>
        <w:spacing w:before="240" w:lineRule="auto"/>
        <w:ind w:firstLine="540"/>
        <w:jc w:val="both"/>
      </w:pPr>
      <w:r>
        <w:rPr>
          <w:sz w:val="24"/>
        </w:rPr>
        <w:t xml:space="preserve">- внешняя теплоизоляция, облицовка и отделка (толщиной более 0,5 мм) наружных стен зданий в уровне противопожарного перекрытия должна разделяться противопожарной отсечкой, выполненной из негорючих материалов вертикальным размером не менее толщины перекрытия.</w:t>
      </w:r>
    </w:p>
    <w:p>
      <w:pPr>
        <w:pStyle w:val="0"/>
        <w:spacing w:before="240" w:lineRule="auto"/>
        <w:ind w:firstLine="540"/>
        <w:jc w:val="both"/>
      </w:pPr>
      <w:r>
        <w:rPr>
          <w:sz w:val="24"/>
        </w:rPr>
        <w:t xml:space="preserve">6.6 Предел огнестойкости конструкций наружных светопрозрачных стен следует принимать в соответствии с </w:t>
      </w:r>
      <w:hyperlink w:history="0" r:id="rId125"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 требованиями настоящего свода правил.</w:t>
      </w:r>
    </w:p>
    <w:p>
      <w:pPr>
        <w:pStyle w:val="0"/>
        <w:jc w:val="both"/>
      </w:pPr>
      <w:r>
        <w:rPr>
          <w:sz w:val="24"/>
        </w:rPr>
        <w:t xml:space="preserve">(абзац введен </w:t>
      </w:r>
      <w:hyperlink w:history="0" r:id="rId12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Предел огнестойкости конструкций наружных светопрозрачных стен должен соответствовать требованиям, предъявляемым к наружным ненесущим стенам.</w:t>
      </w:r>
    </w:p>
    <w:p>
      <w:pPr>
        <w:pStyle w:val="0"/>
        <w:jc w:val="both"/>
      </w:pPr>
      <w:r>
        <w:rPr>
          <w:sz w:val="24"/>
        </w:rPr>
        <w:t xml:space="preserve">(в ред. </w:t>
      </w:r>
      <w:hyperlink w:history="0" r:id="rId12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Для наружных стен, имеющих проемы или участки с ненормируемым пределом огнестойкости (в т.ч. оконные проемы, ленточное остекление и т.п.), участки стен в местах примыкания к перекрытиям (междуэтажные пояса) следует выполнять сплошными (без проемов), высотой не менее 1,2 м между верхом окна нижележащего этажа и низом окна вышележащего этажа.</w:t>
      </w:r>
    </w:p>
    <w:p>
      <w:pPr>
        <w:pStyle w:val="0"/>
        <w:spacing w:before="240" w:lineRule="auto"/>
        <w:ind w:firstLine="540"/>
        <w:jc w:val="both"/>
      </w:pPr>
      <w:r>
        <w:rPr>
          <w:sz w:val="24"/>
        </w:rPr>
        <w:t xml:space="preserve">Предел огнестойкости данных участков наружных стен должен быть предусмотрен не менее E 60, узлов примыкания - не менее EI 60, узлов крепления - не менее R 60.</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Допускается указанные участки (междуэтажные пояса) выполнять частично или полностью светопрозрачными, в т.ч. в составе оконных конструкций, в случае если они до установленной высоты 1,2 м имеют соответствующий предел огнестойкости.</w:t>
      </w:r>
    </w:p>
    <w:p>
      <w:pPr>
        <w:pStyle w:val="0"/>
        <w:spacing w:before="240" w:lineRule="auto"/>
        <w:ind w:firstLine="540"/>
        <w:jc w:val="both"/>
      </w:pPr>
      <w:r>
        <w:rPr>
          <w:sz w:val="24"/>
        </w:rPr>
        <w:t xml:space="preserve">2 Указанные требования не распространяются на двери лоджий и балконов, имеющих выступ плиты балкона не менее 0,6 м, а также на эвакуационные выходы.</w:t>
      </w:r>
    </w:p>
    <w:p>
      <w:pPr>
        <w:pStyle w:val="0"/>
        <w:jc w:val="both"/>
      </w:pPr>
      <w:r>
        <w:rPr>
          <w:sz w:val="24"/>
        </w:rPr>
      </w:r>
    </w:p>
    <w:p>
      <w:pPr>
        <w:pStyle w:val="0"/>
        <w:ind w:firstLine="540"/>
        <w:jc w:val="both"/>
      </w:pPr>
      <w:r>
        <w:rPr>
          <w:sz w:val="24"/>
        </w:rPr>
        <w:t xml:space="preserve">6.7 При примыкании противопожарных стен или противопожарных перегородок 1-го типа одной части наружной стены здания к другой под углом менее 135° и расстоянии по горизонтали между ближайшими гранями проемов, расположенных в наружных стенах по разные стороны вершины угла менее 4 м, на соответствующем участке стены проемы должны иметь противопожарное заполнение с пределом огнестойкости не менее E 30 или систему орошения.</w:t>
      </w:r>
    </w:p>
    <w:p>
      <w:pPr>
        <w:pStyle w:val="0"/>
        <w:jc w:val="both"/>
      </w:pPr>
      <w:r>
        <w:rPr>
          <w:sz w:val="24"/>
        </w:rPr>
        <w:t xml:space="preserve">(в ред. </w:t>
      </w:r>
      <w:hyperlink w:history="0" r:id="rId12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6.8 Крыша высотных зданий должна выполняться из негорючих материалов с учетом требований </w:t>
      </w:r>
      <w:hyperlink w:history="0" w:anchor="P171" w:tooltip="5.4 Стилобат в составе высотных зданий, комплексов может предусматриваться многофункционального назначения или иного класса функциональной пожарной опасности по отношению к основному зданию. Стилобат должен выделяться в самостоятельный пожарный отсек площадью до 3000 м2 или состоять из нескольких пожарных отсеков площадью до 3000 м2 каждый, за исключением случаев, когда суммарная площадь этажа основного здания и стилобата не превышает допустимой площади этажа в пределах пожарного отсека, и смежные помеще...">
        <w:r>
          <w:rPr>
            <w:sz w:val="24"/>
            <w:color w:val="0000ff"/>
          </w:rPr>
          <w:t xml:space="preserve">5.4</w:t>
        </w:r>
      </w:hyperlink>
      <w:r>
        <w:rPr>
          <w:sz w:val="24"/>
        </w:rPr>
        <w:t xml:space="preserve">. В случае устройства горючего гидроизоляционного ковра, а также теплоизоляции с показателями пожарной опасности Г1, В2, Д2, Т2 он должен быть закрыт сверху негорючим материалом толщиной не менее 50 мм.</w:t>
      </w:r>
    </w:p>
    <w:p>
      <w:pPr>
        <w:pStyle w:val="0"/>
        <w:jc w:val="both"/>
      </w:pPr>
      <w:r>
        <w:rPr>
          <w:sz w:val="24"/>
        </w:rPr>
        <w:t xml:space="preserve">(в ред. </w:t>
      </w:r>
      <w:hyperlink w:history="0" r:id="rId12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6.9 Отделку, облицовку стен, потолков, покрытия полов на путях эвакуации (в общих коридорах, холлах, вестибюлях, фойе, лестничных клетках, лифтовых холлах) предусматривают из материалов с пожарной опасностью в соответствии с [</w:t>
      </w:r>
      <w:hyperlink w:history="0" w:anchor="P592" w:tooltip="БИБЛИОГРАФИЯ">
        <w:r>
          <w:rPr>
            <w:sz w:val="24"/>
            <w:color w:val="0000ff"/>
          </w:rPr>
          <w:t xml:space="preserve">2</w:t>
        </w:r>
      </w:hyperlink>
      <w:r>
        <w:rPr>
          <w:sz w:val="24"/>
        </w:rPr>
        <w:t xml:space="preserve">, </w:t>
      </w:r>
      <w:hyperlink w:history="0" r:id="rId13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таблица 28</w:t>
        </w:r>
      </w:hyperlink>
      <w:r>
        <w:rPr>
          <w:sz w:val="24"/>
        </w:rPr>
        <w:t xml:space="preserve">] как для зданий высотой более 17 этажей или более 50 м.</w:t>
      </w:r>
    </w:p>
    <w:p>
      <w:pPr>
        <w:pStyle w:val="0"/>
        <w:spacing w:before="240" w:lineRule="auto"/>
        <w:ind w:firstLine="540"/>
        <w:jc w:val="both"/>
      </w:pPr>
      <w:r>
        <w:rPr>
          <w:sz w:val="24"/>
        </w:rPr>
        <w:t xml:space="preserve">Материалы заполнения подвесных потолков на путях эвакуации (в общих коридорах, холлах, вестибюлях, фойе, лестничных клетках, лифтовых холлах) должны отвечать требованиям к материалам отделки, облицовки потолков в соответствии с [</w:t>
      </w:r>
      <w:hyperlink w:history="0" w:anchor="P592" w:tooltip="БИБЛИОГРАФИЯ">
        <w:r>
          <w:rPr>
            <w:sz w:val="24"/>
            <w:color w:val="0000ff"/>
          </w:rPr>
          <w:t xml:space="preserve">2</w:t>
        </w:r>
      </w:hyperlink>
      <w:r>
        <w:rPr>
          <w:sz w:val="24"/>
        </w:rPr>
        <w:t xml:space="preserve">, </w:t>
      </w:r>
      <w:hyperlink w:history="0" r:id="rId13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таблица 28</w:t>
        </w:r>
      </w:hyperlink>
      <w:r>
        <w:rPr>
          <w:sz w:val="24"/>
        </w:rPr>
        <w:t xml:space="preserve">].</w:t>
      </w:r>
    </w:p>
    <w:p>
      <w:pPr>
        <w:pStyle w:val="0"/>
        <w:spacing w:before="240" w:lineRule="auto"/>
        <w:ind w:firstLine="540"/>
        <w:jc w:val="both"/>
      </w:pPr>
      <w:r>
        <w:rPr>
          <w:sz w:val="24"/>
        </w:rPr>
        <w:t xml:space="preserve">Применение горючей облицовки в пределах внутренних объемов балконов, лоджий, переходов в незадымляемые лестничные клетки, при выполнении функций путей эвакуации или зон безопасности, а также по периметру всех эвакуационных выходов из здания ближе 1 м от каждого откоса такого выхода не допускается, за исключением кассет из стальных композитных панелей или таких панелей с завальцовкой согласно </w:t>
      </w:r>
      <w:hyperlink w:history="0" r:id="rId132"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w:t>
        </w:r>
      </w:hyperlink>
      <w:r>
        <w:rPr>
          <w:sz w:val="24"/>
        </w:rPr>
        <w:t xml:space="preserve">. Со стороны всех открытых торцов системы, независимо от наличия в системе утеплителя и защитных материалов, должны устанавливаться перекрывающие эти торцы системы крышки или заглушки, накладки, козырьки и т.п. из негорючих материалов.</w:t>
      </w:r>
    </w:p>
    <w:p>
      <w:pPr>
        <w:pStyle w:val="0"/>
        <w:jc w:val="both"/>
      </w:pPr>
      <w:r>
        <w:rPr>
          <w:sz w:val="24"/>
        </w:rPr>
        <w:t xml:space="preserve">(абзац введен </w:t>
      </w:r>
      <w:hyperlink w:history="0" r:id="rId13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6.10 Отделку, облицовку стен, потолков, покрытия полов в зальных помещениях предусматривают из материалов с пожарной опасностью в соответствии с [</w:t>
      </w:r>
      <w:hyperlink w:history="0" w:anchor="P592" w:tooltip="БИБЛИОГРАФИЯ">
        <w:r>
          <w:rPr>
            <w:sz w:val="24"/>
            <w:color w:val="0000ff"/>
          </w:rPr>
          <w:t xml:space="preserve">2</w:t>
        </w:r>
      </w:hyperlink>
      <w:r>
        <w:rPr>
          <w:sz w:val="24"/>
        </w:rPr>
        <w:t xml:space="preserve">, </w:t>
      </w:r>
      <w:hyperlink w:history="0" r:id="rId13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таблица 29</w:t>
        </w:r>
      </w:hyperlink>
      <w:r>
        <w:rPr>
          <w:sz w:val="24"/>
        </w:rPr>
        <w:t xml:space="preserve">]. Материалы заполнения подвесных потолков в зальных помещениях должны отвечать требованиям к материалам отделки, облицовки потолков в соответствии с [</w:t>
      </w:r>
      <w:hyperlink w:history="0" w:anchor="P592" w:tooltip="БИБЛИОГРАФИЯ">
        <w:r>
          <w:rPr>
            <w:sz w:val="24"/>
            <w:color w:val="0000ff"/>
          </w:rPr>
          <w:t xml:space="preserve">2</w:t>
        </w:r>
      </w:hyperlink>
      <w:r>
        <w:rPr>
          <w:sz w:val="24"/>
        </w:rPr>
        <w:t xml:space="preserve">, </w:t>
      </w:r>
      <w:hyperlink w:history="0" r:id="rId13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таблица 29</w:t>
        </w:r>
      </w:hyperlink>
      <w:r>
        <w:rPr>
          <w:sz w:val="24"/>
        </w:rPr>
        <w:t xml:space="preserve">].</w:t>
      </w:r>
    </w:p>
    <w:p>
      <w:pPr>
        <w:pStyle w:val="0"/>
        <w:spacing w:before="240" w:lineRule="auto"/>
        <w:ind w:firstLine="540"/>
        <w:jc w:val="both"/>
      </w:pPr>
      <w:r>
        <w:rPr>
          <w:sz w:val="24"/>
        </w:rPr>
        <w:t xml:space="preserve">6.11 В помещениях номеров гостиниц и спальных помещениях зданий других классов функциональной пожарной опасности применяют материалы для отделки, облицовки стен и потолков, заполнения подвесных потолков и покрытий полов с показателями пожарной опасности не ниже чем Г1, В2, Д2, Т2, РП1.</w:t>
      </w:r>
    </w:p>
    <w:p>
      <w:pPr>
        <w:pStyle w:val="0"/>
        <w:jc w:val="both"/>
      </w:pPr>
      <w:r>
        <w:rPr>
          <w:sz w:val="24"/>
        </w:rPr>
        <w:t xml:space="preserve">(в ред. </w:t>
      </w:r>
      <w:hyperlink w:history="0" r:id="rId13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6.12 В помещениях с массовым пребыванием людей (в которых может одновременно находиться 50 чел. и более) мягкая мебель, шторы и занавеси не должны относиться к легковоспламеняемым по </w:t>
      </w:r>
      <w:hyperlink w:history="0" r:id="rId137" w:tooltip="&quot;ГОСТ Р 53294-2009. Национальный стандарт Российской Федерации. Материалы текстильные. Постельные принадлежности. Мягкие элементы мебели. Шторы. Занавеси. Методы испытаний на воспламеняемость&quot; (утв. и введен в действие Приказом Ростехрегулирования от 18.02.2009 N 70-ст) {КонсультантПлюс}">
        <w:r>
          <w:rPr>
            <w:sz w:val="24"/>
            <w:color w:val="0000ff"/>
          </w:rPr>
          <w:t xml:space="preserve">ГОСТ Р 53294</w:t>
        </w:r>
      </w:hyperlink>
      <w:r>
        <w:rPr>
          <w:sz w:val="24"/>
        </w:rPr>
        <w:t xml:space="preserve">.</w:t>
      </w:r>
    </w:p>
    <w:p>
      <w:pPr>
        <w:pStyle w:val="0"/>
        <w:spacing w:before="240" w:lineRule="auto"/>
        <w:ind w:firstLine="540"/>
        <w:jc w:val="both"/>
      </w:pPr>
      <w:r>
        <w:rPr>
          <w:sz w:val="24"/>
        </w:rPr>
        <w:t xml:space="preserve">6.13 В помещениях с массовым пребыванием людей применяемые для мягкой мебели обивочные, набивочные и прокладочные материалы не должны относиться к чрезвычайно опасным по показателю токсичности продуктов горения.</w:t>
      </w:r>
    </w:p>
    <w:p>
      <w:pPr>
        <w:pStyle w:val="0"/>
        <w:spacing w:before="240" w:lineRule="auto"/>
        <w:ind w:firstLine="540"/>
        <w:jc w:val="both"/>
      </w:pPr>
      <w:r>
        <w:rPr>
          <w:sz w:val="24"/>
        </w:rPr>
        <w:t xml:space="preserve">6.14 Исключен с 03.09.2024. - </w:t>
      </w:r>
      <w:hyperlink w:history="0" r:id="rId13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jc w:val="both"/>
      </w:pPr>
      <w:r>
        <w:rPr>
          <w:sz w:val="24"/>
        </w:rPr>
      </w:r>
    </w:p>
    <w:p>
      <w:pPr>
        <w:pStyle w:val="2"/>
        <w:outlineLvl w:val="1"/>
        <w:ind w:firstLine="540"/>
        <w:jc w:val="both"/>
      </w:pPr>
      <w:r>
        <w:rPr>
          <w:sz w:val="24"/>
          <w:b w:val="on"/>
        </w:rPr>
        <w:t xml:space="preserve">7 Требования к системам предотвращения пожара и противопожарной защиты</w:t>
      </w:r>
    </w:p>
    <w:p>
      <w:pPr>
        <w:pStyle w:val="2"/>
        <w:spacing w:before="240" w:lineRule="auto"/>
        <w:outlineLvl w:val="2"/>
        <w:ind w:firstLine="540"/>
        <w:jc w:val="both"/>
      </w:pPr>
      <w:r>
        <w:rPr>
          <w:sz w:val="24"/>
          <w:b w:val="on"/>
        </w:rPr>
        <w:t xml:space="preserve">7.1 Требования к системам теплоснабжения, отопления (в т.ч. воздушного), вентиляции, кондиционирования</w:t>
      </w:r>
    </w:p>
    <w:p>
      <w:pPr>
        <w:pStyle w:val="0"/>
        <w:spacing w:before="240" w:lineRule="auto"/>
        <w:ind w:firstLine="540"/>
        <w:jc w:val="both"/>
      </w:pPr>
      <w:r>
        <w:rPr>
          <w:sz w:val="24"/>
        </w:rPr>
        <w:t xml:space="preserve">7.1.1 Пожарная безопасность систем теплоснабжения, отопления (в т.ч. воздушного), вентиляции, кондиционирования и холодоснабжения, а также систем ПДВ должна соответствовать требованиям, установленным в </w:t>
      </w:r>
      <w:hyperlink w:history="0" r:id="rId13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14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141"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w:t>
      </w:r>
    </w:p>
    <w:p>
      <w:pPr>
        <w:pStyle w:val="0"/>
        <w:jc w:val="both"/>
      </w:pPr>
      <w:r>
        <w:rPr>
          <w:sz w:val="24"/>
        </w:rPr>
        <w:t xml:space="preserve">(в ред. </w:t>
      </w:r>
      <w:hyperlink w:history="0" r:id="rId14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7.1.2 - 7.1.25 Исключены с 03.09.2024. - </w:t>
      </w:r>
      <w:hyperlink w:history="0" r:id="rId14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2"/>
        <w:spacing w:before="240" w:lineRule="auto"/>
        <w:outlineLvl w:val="2"/>
        <w:ind w:firstLine="540"/>
        <w:jc w:val="both"/>
      </w:pPr>
      <w:r>
        <w:rPr>
          <w:sz w:val="24"/>
          <w:b w:val="on"/>
        </w:rPr>
        <w:t xml:space="preserve">7.2 Требования к системам электроснабжения</w:t>
      </w:r>
    </w:p>
    <w:p>
      <w:pPr>
        <w:pStyle w:val="0"/>
        <w:spacing w:before="240" w:lineRule="auto"/>
        <w:ind w:firstLine="540"/>
        <w:jc w:val="both"/>
      </w:pPr>
      <w:r>
        <w:rPr>
          <w:sz w:val="24"/>
        </w:rPr>
        <w:t xml:space="preserve">7.2.1 Проектирование, монтаж и обслуживание электрооборудования объекта защиты, в том числе систем его противопожарной защиты, а также молниезащиты, должны соответствовать </w:t>
      </w:r>
      <w:hyperlink w:history="0" r:id="rId144"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 </w:t>
      </w:r>
      <w:hyperlink w:history="0" r:id="rId14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146"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 </w:t>
      </w:r>
      <w:hyperlink w:history="0" r:id="rId147"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w:t>
      </w:r>
      <w:hyperlink w:history="0" r:id="rId148"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jc w:val="both"/>
      </w:pPr>
      <w:r>
        <w:rPr>
          <w:sz w:val="24"/>
        </w:rPr>
        <w:t xml:space="preserve">(п. 7.2.1 в ред. </w:t>
      </w:r>
      <w:hyperlink w:history="0" r:id="rId14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7.2.2 - 7.2.10 Исключены с 03.09.2024. - </w:t>
      </w:r>
      <w:hyperlink w:history="0" r:id="rId150"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2"/>
        <w:spacing w:before="240" w:lineRule="auto"/>
        <w:outlineLvl w:val="2"/>
        <w:ind w:firstLine="540"/>
        <w:jc w:val="both"/>
      </w:pPr>
      <w:r>
        <w:rPr>
          <w:sz w:val="24"/>
          <w:b w:val="on"/>
        </w:rPr>
        <w:t xml:space="preserve">7.3 Требования к системе пожарной сигнализации</w:t>
      </w:r>
    </w:p>
    <w:p>
      <w:pPr>
        <w:pStyle w:val="0"/>
        <w:jc w:val="both"/>
      </w:pPr>
      <w:r>
        <w:rPr>
          <w:sz w:val="24"/>
        </w:rPr>
      </w:r>
    </w:p>
    <w:p>
      <w:pPr>
        <w:pStyle w:val="0"/>
        <w:jc w:val="both"/>
      </w:pPr>
      <w:r>
        <w:rPr>
          <w:sz w:val="24"/>
        </w:rPr>
        <w:t xml:space="preserve">(подраздел 7.3 в ред. </w:t>
      </w:r>
      <w:hyperlink w:history="0" r:id="rId15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7.3.1 Проектирование СПС должно осуществляться в соответствии с </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152"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153"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w:t>
      </w:r>
      <w:hyperlink w:history="0" r:id="rId154"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w:t>
      </w:r>
    </w:p>
    <w:p>
      <w:pPr>
        <w:pStyle w:val="0"/>
        <w:spacing w:before="240" w:lineRule="auto"/>
        <w:ind w:firstLine="540"/>
        <w:jc w:val="both"/>
      </w:pPr>
      <w:r>
        <w:rPr>
          <w:sz w:val="24"/>
        </w:rPr>
        <w:t xml:space="preserve">7.3.2 Высотные здания должны быть оснащены СПС адресного типа, позволяющими определить место возникновения возгорания с точностью до помещения (квартиры).</w:t>
      </w:r>
    </w:p>
    <w:p>
      <w:pPr>
        <w:pStyle w:val="0"/>
        <w:spacing w:before="240" w:lineRule="auto"/>
        <w:ind w:firstLine="540"/>
        <w:jc w:val="both"/>
      </w:pPr>
      <w:r>
        <w:rPr>
          <w:sz w:val="24"/>
        </w:rPr>
        <w:t xml:space="preserve">При повреждении линии связи в одном или нескольких помещениях, квартирах должна сохраняться связь с элементами системы, установленными в других помещениях, квартирах, путем автоматического отключения поврежденного участка линии путем применения кольцевых шлейфов СПС с ответвлениями в каждую квартиру с автоматической защитой от короткого замыкания в ответвлении.</w:t>
      </w:r>
    </w:p>
    <w:p>
      <w:pPr>
        <w:pStyle w:val="0"/>
        <w:spacing w:before="240" w:lineRule="auto"/>
        <w:ind w:firstLine="540"/>
        <w:jc w:val="both"/>
      </w:pPr>
      <w:r>
        <w:rPr>
          <w:sz w:val="24"/>
        </w:rPr>
        <w:t xml:space="preserve">7.3.3 СПС следует проектировать единой для всего здания с учетом деления по пожарным отсекам. При нарушении линий связи между оборудованием разных пожарных отсеков СПС должна обеспечивать и автономную работу системы в пределах каждого пожарного отсека. Данная система должна иметь возможность наращивания (резерв).</w:t>
      </w:r>
    </w:p>
    <w:p>
      <w:pPr>
        <w:pStyle w:val="2"/>
        <w:spacing w:before="240" w:lineRule="auto"/>
        <w:outlineLvl w:val="2"/>
        <w:ind w:firstLine="540"/>
        <w:jc w:val="both"/>
      </w:pPr>
      <w:r>
        <w:rPr>
          <w:sz w:val="24"/>
          <w:b w:val="on"/>
        </w:rPr>
        <w:t xml:space="preserve">7.4 Требования к системе оповещения и управления эвакуацией людей при пожаре</w:t>
      </w:r>
    </w:p>
    <w:p>
      <w:pPr>
        <w:pStyle w:val="0"/>
        <w:spacing w:before="240" w:lineRule="auto"/>
        <w:ind w:firstLine="540"/>
        <w:jc w:val="both"/>
      </w:pPr>
      <w:r>
        <w:rPr>
          <w:sz w:val="24"/>
        </w:rPr>
        <w:t xml:space="preserve">7.4.1 Система оповещения и управления эвакуацией (СОУЭ) должна предусматриваться в соответствии с требованиями </w:t>
      </w:r>
      <w:hyperlink w:history="0" r:id="rId155"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156"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 и таблицы 7.1.</w:t>
      </w:r>
    </w:p>
    <w:p>
      <w:pPr>
        <w:pStyle w:val="0"/>
        <w:jc w:val="both"/>
      </w:pPr>
      <w:r>
        <w:rPr>
          <w:sz w:val="24"/>
        </w:rPr>
        <w:t xml:space="preserve">(в ред. </w:t>
      </w:r>
      <w:hyperlink w:history="0" r:id="rId15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jc w:val="both"/>
      </w:pPr>
      <w:r>
        <w:rPr>
          <w:sz w:val="24"/>
        </w:rPr>
      </w:r>
    </w:p>
    <w:p>
      <w:pPr>
        <w:pStyle w:val="0"/>
        <w:jc w:val="right"/>
      </w:pPr>
      <w:r>
        <w:rPr>
          <w:sz w:val="24"/>
        </w:rPr>
        <w:t xml:space="preserve">Таблица 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2"/>
        <w:gridCol w:w="2041"/>
        <w:gridCol w:w="1928"/>
      </w:tblGrid>
      <w:tr>
        <w:tc>
          <w:tcPr>
            <w:tcW w:w="5102" w:type="dxa"/>
            <w:vAlign w:val="center"/>
            <w:vMerge w:val="restart"/>
          </w:tcPr>
          <w:p>
            <w:pPr>
              <w:pStyle w:val="0"/>
              <w:jc w:val="center"/>
            </w:pPr>
            <w:r>
              <w:rPr>
                <w:sz w:val="24"/>
              </w:rPr>
              <w:t xml:space="preserve">Пожарный отсек</w:t>
            </w:r>
          </w:p>
        </w:tc>
        <w:tc>
          <w:tcPr>
            <w:gridSpan w:val="2"/>
            <w:tcW w:w="3969" w:type="dxa"/>
            <w:vAlign w:val="center"/>
          </w:tcPr>
          <w:p>
            <w:pPr>
              <w:pStyle w:val="0"/>
              <w:jc w:val="center"/>
            </w:pPr>
            <w:r>
              <w:rPr>
                <w:sz w:val="24"/>
              </w:rPr>
              <w:t xml:space="preserve">Тип СОУЭ</w:t>
            </w:r>
          </w:p>
        </w:tc>
      </w:tr>
      <w:tr>
        <w:tc>
          <w:tcPr>
            <w:vMerge w:val="continue"/>
          </w:tcPr>
          <w:p/>
        </w:tc>
        <w:tc>
          <w:tcPr>
            <w:gridSpan w:val="2"/>
            <w:tcW w:w="3969" w:type="dxa"/>
            <w:vAlign w:val="center"/>
          </w:tcPr>
          <w:p>
            <w:pPr>
              <w:pStyle w:val="0"/>
              <w:jc w:val="center"/>
            </w:pPr>
            <w:r>
              <w:rPr>
                <w:sz w:val="24"/>
              </w:rPr>
              <w:t xml:space="preserve">Высота здания, м</w:t>
            </w:r>
          </w:p>
        </w:tc>
      </w:tr>
      <w:tr>
        <w:tc>
          <w:tcPr>
            <w:vMerge w:val="continue"/>
          </w:tcPr>
          <w:p/>
        </w:tc>
        <w:tc>
          <w:tcPr>
            <w:tcW w:w="2041" w:type="dxa"/>
            <w:vAlign w:val="center"/>
          </w:tcPr>
          <w:p>
            <w:pPr>
              <w:pStyle w:val="0"/>
              <w:jc w:val="center"/>
            </w:pPr>
            <w:r>
              <w:rPr>
                <w:sz w:val="24"/>
              </w:rPr>
              <w:t xml:space="preserve">До 150 включ.</w:t>
            </w:r>
          </w:p>
        </w:tc>
        <w:tc>
          <w:tcPr>
            <w:tcW w:w="1928" w:type="dxa"/>
            <w:vAlign w:val="center"/>
          </w:tcPr>
          <w:p>
            <w:pPr>
              <w:pStyle w:val="0"/>
              <w:jc w:val="center"/>
            </w:pPr>
            <w:r>
              <w:rPr>
                <w:sz w:val="24"/>
              </w:rPr>
              <w:t xml:space="preserve">Более 150</w:t>
            </w:r>
          </w:p>
        </w:tc>
      </w:tr>
      <w:tr>
        <w:tblPrEx>
          <w:tblBorders>
            <w:insideH w:val="nil"/>
          </w:tblBorders>
        </w:tblPrEx>
        <w:tc>
          <w:tcPr>
            <w:tcW w:w="5102" w:type="dxa"/>
            <w:tcBorders>
              <w:bottom w:val="nil"/>
            </w:tcBorders>
          </w:tcPr>
          <w:p>
            <w:pPr>
              <w:pStyle w:val="0"/>
            </w:pPr>
            <w:r>
              <w:rPr>
                <w:sz w:val="24"/>
              </w:rPr>
              <w:t xml:space="preserve">1 С помещениями жилого назначения, а также с помещениями жилого назначения и встроенно-пристроенными помещениями общественного назначения</w:t>
            </w:r>
          </w:p>
        </w:tc>
        <w:tc>
          <w:tcPr>
            <w:tcW w:w="2041" w:type="dxa"/>
            <w:vAlign w:val="bottom"/>
            <w:tcBorders>
              <w:bottom w:val="nil"/>
            </w:tcBorders>
          </w:tcPr>
          <w:p>
            <w:pPr>
              <w:pStyle w:val="0"/>
              <w:jc w:val="center"/>
            </w:pPr>
            <w:r>
              <w:rPr>
                <w:sz w:val="24"/>
              </w:rPr>
              <w:t xml:space="preserve">3</w:t>
            </w:r>
          </w:p>
        </w:tc>
        <w:tc>
          <w:tcPr>
            <w:tcW w:w="1928" w:type="dxa"/>
            <w:vAlign w:val="bottom"/>
            <w:tcBorders>
              <w:bottom w:val="nil"/>
            </w:tcBorders>
          </w:tcPr>
          <w:p>
            <w:pPr>
              <w:pStyle w:val="0"/>
              <w:jc w:val="center"/>
            </w:pPr>
            <w:r>
              <w:rPr>
                <w:sz w:val="24"/>
              </w:rPr>
              <w:t xml:space="preserve">4</w:t>
            </w:r>
          </w:p>
        </w:tc>
      </w:tr>
      <w:tr>
        <w:tblPrEx>
          <w:tblBorders>
            <w:insideH w:val="nil"/>
          </w:tblBorders>
        </w:tblPrEx>
        <w:tc>
          <w:tcPr>
            <w:gridSpan w:val="3"/>
            <w:tcW w:w="9071" w:type="dxa"/>
            <w:tcBorders>
              <w:top w:val="nil"/>
            </w:tcBorders>
          </w:tcPr>
          <w:p>
            <w:pPr>
              <w:pStyle w:val="0"/>
              <w:jc w:val="both"/>
            </w:pPr>
            <w:r>
              <w:rPr>
                <w:sz w:val="24"/>
              </w:rPr>
              <w:t xml:space="preserve">(в ред. </w:t>
            </w:r>
            <w:hyperlink w:history="0" r:id="rId15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tc>
      </w:tr>
      <w:tr>
        <w:tc>
          <w:tcPr>
            <w:tcW w:w="5102" w:type="dxa"/>
          </w:tcPr>
          <w:p>
            <w:pPr>
              <w:pStyle w:val="0"/>
            </w:pPr>
            <w:r>
              <w:rPr>
                <w:sz w:val="24"/>
              </w:rPr>
              <w:t xml:space="preserve">2 С помещениями общественного назначения</w:t>
            </w:r>
          </w:p>
        </w:tc>
        <w:tc>
          <w:tcPr>
            <w:tcW w:w="2041" w:type="dxa"/>
            <w:vAlign w:val="bottom"/>
          </w:tcPr>
          <w:p>
            <w:pPr>
              <w:pStyle w:val="0"/>
              <w:jc w:val="center"/>
            </w:pPr>
            <w:r>
              <w:rPr>
                <w:sz w:val="24"/>
              </w:rPr>
              <w:t xml:space="preserve">4</w:t>
            </w:r>
          </w:p>
        </w:tc>
        <w:tc>
          <w:tcPr>
            <w:tcW w:w="1928" w:type="dxa"/>
            <w:vAlign w:val="bottom"/>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Допускается по заданию на проектирование применение СОУЭ в сочетании с элементами интерьерной навигации (настенные, подвесные, напольные).</w:t>
      </w:r>
    </w:p>
    <w:p>
      <w:pPr>
        <w:pStyle w:val="0"/>
        <w:spacing w:before="240" w:lineRule="auto"/>
        <w:ind w:firstLine="540"/>
        <w:jc w:val="both"/>
      </w:pPr>
      <w:r>
        <w:rPr>
          <w:sz w:val="24"/>
        </w:rPr>
        <w:t xml:space="preserve">7.4.2 Речевые оповещатели должны быть установлены в помещениях с постоянным пребыванием людей (в т.ч. помещениях жилого назначения), на путях эвакуации людей, включая лестничные клетки. В жилых квартирах допускается устанавливать оповещатель только в прихожей квартиры при площади квартиры не более 150 м</w:t>
      </w:r>
      <w:r>
        <w:rPr>
          <w:sz w:val="24"/>
          <w:vertAlign w:val="superscript"/>
        </w:rPr>
        <w:t xml:space="preserve">2</w:t>
      </w:r>
      <w:r>
        <w:rPr>
          <w:sz w:val="24"/>
        </w:rPr>
        <w:t xml:space="preserve">.</w:t>
      </w:r>
    </w:p>
    <w:p>
      <w:pPr>
        <w:pStyle w:val="0"/>
        <w:spacing w:before="240" w:lineRule="auto"/>
        <w:ind w:firstLine="540"/>
        <w:jc w:val="both"/>
      </w:pPr>
      <w:r>
        <w:rPr>
          <w:sz w:val="24"/>
        </w:rPr>
        <w:t xml:space="preserve">7.4.3 Для обеспечения оповещения и управления поэтапной эвакуацией людей из пожарных отсеков, оснащенных СОУЭ 4-го и 5-го типов, в лифтовых холлах, БЗ для МГН, на путях эвакуации людей должны быть установлены переговорные устройства, связанные с пожарным постом (диспетчерской).</w:t>
      </w:r>
    </w:p>
    <w:p>
      <w:pPr>
        <w:pStyle w:val="0"/>
        <w:jc w:val="both"/>
      </w:pPr>
      <w:r>
        <w:rPr>
          <w:sz w:val="24"/>
        </w:rPr>
        <w:t xml:space="preserve">(в ред. </w:t>
      </w:r>
      <w:hyperlink w:history="0" r:id="rId15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7.4.4 Управление СОУЭ высотного комплекса должно осуществляться из помещения пожарного поста (диспетчерской).</w:t>
      </w:r>
    </w:p>
    <w:p>
      <w:pPr>
        <w:pStyle w:val="0"/>
        <w:spacing w:before="240" w:lineRule="auto"/>
        <w:ind w:firstLine="540"/>
        <w:jc w:val="both"/>
      </w:pPr>
      <w:r>
        <w:rPr>
          <w:sz w:val="24"/>
        </w:rPr>
        <w:t xml:space="preserve">Система оповещения и управления эвакуацией должна поддерживать автономность работы в пределах каждого пожарного отсека. В случае повреждения линий связи с пожарным постом (диспетчерской) СОУЭ должна запускаться от сигналов управления АПС соответствующего пожарного отсека.</w:t>
      </w:r>
    </w:p>
    <w:p>
      <w:pPr>
        <w:pStyle w:val="2"/>
        <w:spacing w:before="240" w:lineRule="auto"/>
        <w:outlineLvl w:val="2"/>
        <w:ind w:firstLine="540"/>
        <w:jc w:val="both"/>
      </w:pPr>
      <w:r>
        <w:rPr>
          <w:sz w:val="24"/>
          <w:b w:val="on"/>
        </w:rPr>
        <w:t xml:space="preserve">7.5 Требования к противопожарному водоснабжению и системам пожаротушения</w:t>
      </w:r>
    </w:p>
    <w:p>
      <w:pPr>
        <w:pStyle w:val="0"/>
        <w:spacing w:before="240" w:lineRule="auto"/>
        <w:ind w:firstLine="540"/>
        <w:jc w:val="both"/>
      </w:pPr>
      <w:r>
        <w:rPr>
          <w:sz w:val="24"/>
        </w:rPr>
        <w:t xml:space="preserve">7.5.1 Наружное противопожарное водоснабжение следует обеспечивать с учетом требований </w:t>
      </w:r>
      <w:hyperlink w:history="0" r:id="rId160"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161"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 </w:t>
      </w:r>
      <w:hyperlink w:history="0" r:id="rId162"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и </w:t>
      </w:r>
      <w:hyperlink w:history="0" r:id="rId163"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 от кольцевых водопроводных сетей, обеспечивающих расход воды на хозяйственно-питьевые и противопожарные нужды, с установкой не менее трех пожарных гидрантов на расстоянии не более 150 м от продольных сторон здания, комплекса.</w:t>
      </w:r>
    </w:p>
    <w:p>
      <w:pPr>
        <w:pStyle w:val="0"/>
        <w:jc w:val="both"/>
      </w:pPr>
      <w:r>
        <w:rPr>
          <w:sz w:val="24"/>
        </w:rPr>
        <w:t xml:space="preserve">(в ред. </w:t>
      </w:r>
      <w:hyperlink w:history="0" r:id="rId16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Размещение пожарных гидрантов должно обеспечивать возможность подачи огнетушащих веществ, в том числе и со стилобата.</w:t>
      </w:r>
    </w:p>
    <w:p>
      <w:pPr>
        <w:pStyle w:val="0"/>
        <w:jc w:val="both"/>
      </w:pPr>
      <w:r>
        <w:rPr>
          <w:sz w:val="24"/>
        </w:rPr>
        <w:t xml:space="preserve">(абзац введен </w:t>
      </w:r>
      <w:hyperlink w:history="0" r:id="rId165"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Расход воды на наружное пожаротушение (на один пожар) высотных зданий для расчета соединительных и распределительных линий водопроводной сети, а также водопроводной сети внутри микрорайона или квартала следует принимать по СП 8.13130 </w:t>
      </w:r>
      <w:hyperlink w:history="0" r:id="rId166"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(таблица 2)</w:t>
        </w:r>
      </w:hyperlink>
      <w:r>
        <w:rPr>
          <w:sz w:val="24"/>
        </w:rPr>
        <w:t xml:space="preserve">.</w:t>
      </w:r>
    </w:p>
    <w:p>
      <w:pPr>
        <w:pStyle w:val="0"/>
        <w:jc w:val="both"/>
      </w:pPr>
      <w:r>
        <w:rPr>
          <w:sz w:val="24"/>
        </w:rPr>
        <w:t xml:space="preserve">(абзац введен </w:t>
      </w:r>
      <w:hyperlink w:history="0" r:id="rId16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7.5.2 Внутренний противопожарный водопровод и системы автоматического пожаротушения должны проектироваться в соответствии с </w:t>
      </w:r>
      <w:hyperlink w:history="0" r:id="rId168"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169"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w:t>
      </w:r>
    </w:p>
    <w:p>
      <w:pPr>
        <w:pStyle w:val="0"/>
        <w:jc w:val="both"/>
      </w:pPr>
      <w:r>
        <w:rPr>
          <w:sz w:val="24"/>
        </w:rPr>
        <w:t xml:space="preserve">(абзац введен </w:t>
      </w:r>
      <w:hyperlink w:history="0" r:id="rId170"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Внутренний противопожарный водопровод (сети и агрегаты) высотных зданий, комплексов может быть как самостоятельным, со своими насосными станциями (установками), так и совмещенным с АУП.</w:t>
      </w:r>
    </w:p>
    <w:p>
      <w:pPr>
        <w:pStyle w:val="0"/>
        <w:jc w:val="both"/>
      </w:pPr>
      <w:r>
        <w:rPr>
          <w:sz w:val="24"/>
        </w:rPr>
        <w:t xml:space="preserve">(в ред. </w:t>
      </w:r>
      <w:hyperlink w:history="0" r:id="rId17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7.5.3 - 7.5.7 Исключены с 03.09.2024. - </w:t>
      </w:r>
      <w:hyperlink w:history="0" r:id="rId17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7.5.8 Высотные здания подлежат оборудованию АУП в соответствии с требованиями </w:t>
      </w:r>
      <w:hyperlink w:history="0" r:id="rId173"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и </w:t>
      </w:r>
      <w:hyperlink w:history="0" r:id="rId174"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 В целях исключения ложных срабатываний по заданию на проектирование применяются спринклерные АУП с контролем срабатывания.</w:t>
      </w:r>
    </w:p>
    <w:p>
      <w:pPr>
        <w:pStyle w:val="0"/>
        <w:jc w:val="both"/>
      </w:pPr>
      <w:r>
        <w:rPr>
          <w:sz w:val="24"/>
        </w:rPr>
        <w:t xml:space="preserve">(в ред. </w:t>
      </w:r>
      <w:hyperlink w:history="0" r:id="rId175"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7.5.9 Высотные здания, включая жилые, допускается дополнительно оборудовать согласно требованиям </w:t>
      </w:r>
      <w:hyperlink w:history="0" w:anchor="P592" w:tooltip="БИБЛИОГРАФИЯ">
        <w:r>
          <w:rPr>
            <w:sz w:val="24"/>
            <w:color w:val="0000ff"/>
          </w:rPr>
          <w:t xml:space="preserve">[2]</w:t>
        </w:r>
      </w:hyperlink>
      <w:r>
        <w:rPr>
          <w:sz w:val="24"/>
        </w:rPr>
        <w:t xml:space="preserve">. В АУСП рекомендуется применять оросители (распылители) с принудительным пуском от сигналов СПС или пожарных сателлитных извещателей; при этом оросители следует устанавливать над дверными проемами помещений, а также в коридорах с параметрами интенсивности орошения и расхода воды в соответствии с </w:t>
      </w:r>
      <w:hyperlink w:history="0" r:id="rId176"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для помещений 1-й группы по степени опасности развития пожара.</w:t>
      </w:r>
    </w:p>
    <w:p>
      <w:pPr>
        <w:pStyle w:val="0"/>
        <w:jc w:val="both"/>
      </w:pPr>
      <w:r>
        <w:rPr>
          <w:sz w:val="24"/>
        </w:rPr>
        <w:t xml:space="preserve">(в ред. </w:t>
      </w:r>
      <w:hyperlink w:history="0" r:id="rId17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Размещение оросителей (распылителей) должно также обеспечивать защиту фасадного остекления здания общественного назначения. При этом необходимо предусмотреть возможность дистанционного пуска АУСП от устройств, располагаемых у входа в защищаемое помещение, и из помещения пожарного поста.</w:t>
      </w:r>
    </w:p>
    <w:p>
      <w:pPr>
        <w:pStyle w:val="0"/>
        <w:spacing w:before="240" w:lineRule="auto"/>
        <w:ind w:firstLine="540"/>
        <w:jc w:val="both"/>
      </w:pPr>
      <w:r>
        <w:rPr>
          <w:sz w:val="24"/>
        </w:rPr>
        <w:t xml:space="preserve">7.5.10 Исключен с 03.09.2024. - </w:t>
      </w:r>
      <w:hyperlink w:history="0" r:id="rId17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7.5.11 Исключен с 03.09.2024. - </w:t>
      </w:r>
      <w:hyperlink w:history="0" r:id="rId17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7.5.12 Для зданий высотой более 100 м в технических помещениях на этажах из расчета на каждые 50 м высоты или в каждом из вертикальных пожарных отсеков допускается размещение модульных установок пожаротушения (агрегатного или модульного типа) с емкостями заводской готовности для огнетушащей жидкости.</w:t>
      </w:r>
    </w:p>
    <w:p>
      <w:pPr>
        <w:pStyle w:val="0"/>
        <w:jc w:val="both"/>
      </w:pPr>
      <w:r>
        <w:rPr>
          <w:sz w:val="24"/>
        </w:rPr>
        <w:t xml:space="preserve">(в ред. </w:t>
      </w:r>
      <w:hyperlink w:history="0" r:id="rId180"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Допускается данные установки использовать в качестве первичных средств пожаротушения с использованием ручных устройств подачи, хранящихся в предназначенных для этого пожарных шкафах.</w:t>
      </w:r>
    </w:p>
    <w:p>
      <w:pPr>
        <w:pStyle w:val="0"/>
        <w:jc w:val="both"/>
      </w:pPr>
      <w:r>
        <w:rPr>
          <w:sz w:val="24"/>
        </w:rPr>
        <w:t xml:space="preserve">(абзац введен </w:t>
      </w:r>
      <w:hyperlink w:history="0" r:id="rId18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7.5.13 Исключен с 03.09.2024. - </w:t>
      </w:r>
      <w:hyperlink w:history="0" r:id="rId18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7.5.14 При проектировании в зданиях систем мусороудаления (в т.ч. при пакетированной системе сбора мусора на этажах) следует предусматривать АУП в таких помещениях на этажах, а для мусоросборных камер - по всей площади и ствола мусоропровода с размещением оросителей через каждые два-три этажа (при отсутствии мусоропровода - СПС независимо от площади). Участок распределительного трубопровода оросителей должен быть кольцевым, подключенным к сети хозяйственно-питьевого водопровода многоквартирного здания и оснащенным теплоизоляцией из негорючих материалов согласно требованиям </w:t>
      </w:r>
      <w:hyperlink w:history="0" r:id="rId183"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w:t>
      </w:r>
    </w:p>
    <w:p>
      <w:pPr>
        <w:pStyle w:val="0"/>
        <w:jc w:val="both"/>
      </w:pPr>
      <w:r>
        <w:rPr>
          <w:sz w:val="24"/>
        </w:rPr>
        <w:t xml:space="preserve">(в ред. </w:t>
      </w:r>
      <w:hyperlink w:history="0" r:id="rId18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2"/>
        <w:spacing w:before="240" w:lineRule="auto"/>
        <w:outlineLvl w:val="2"/>
        <w:ind w:firstLine="540"/>
        <w:jc w:val="both"/>
      </w:pPr>
      <w:r>
        <w:rPr>
          <w:sz w:val="24"/>
          <w:b w:val="on"/>
        </w:rPr>
        <w:t xml:space="preserve">7.6 Требования к лифтовому оборудованию</w:t>
      </w:r>
    </w:p>
    <w:p>
      <w:pPr>
        <w:pStyle w:val="0"/>
        <w:spacing w:before="240" w:lineRule="auto"/>
        <w:ind w:firstLine="540"/>
        <w:jc w:val="both"/>
      </w:pPr>
      <w:r>
        <w:rPr>
          <w:sz w:val="24"/>
        </w:rPr>
        <w:t xml:space="preserve">7.6.1 Для обеспечения деятельности пожарных подразделений и спасения МГН в высотном здании (в высотном комплексе - в каждом из зданий) следует предусматривать не менее двух лифтов (при зонной схеме организации работы лифтов - в каждой из зон) для транспортирования подразделений пожарной охраны в соответствии с требованиями </w:t>
      </w:r>
      <w:hyperlink w:history="0" r:id="rId185"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w:t>
      </w:r>
      <w:hyperlink w:history="0" r:id="rId186"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w:t>
        </w:r>
      </w:hyperlink>
      <w:r>
        <w:rPr>
          <w:sz w:val="24"/>
        </w:rPr>
        <w:t xml:space="preserve">, </w:t>
      </w:r>
      <w:hyperlink w:history="0" r:id="rId187"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w:t>
        </w:r>
      </w:hyperlink>
      <w:r>
        <w:rPr>
          <w:sz w:val="24"/>
        </w:rPr>
        <w:t xml:space="preserve">.</w:t>
      </w:r>
    </w:p>
    <w:p>
      <w:pPr>
        <w:pStyle w:val="0"/>
        <w:jc w:val="both"/>
      </w:pPr>
      <w:r>
        <w:rPr>
          <w:sz w:val="24"/>
        </w:rPr>
        <w:t xml:space="preserve">(в ред. </w:t>
      </w:r>
      <w:hyperlink w:history="0" r:id="rId18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В подземной части высотного здания, комплекса, при ее разделении на несколько пожарных отсеков (секций) и наличии одной группы лифтов, следует предусматривать на этаж (уровень) два лифта для транспортирования пожарных подразделений, а при наличии нескольких групп лифтов - в каждой из таких групп не менее одного лифта.</w:t>
      </w:r>
    </w:p>
    <w:p>
      <w:pPr>
        <w:pStyle w:val="0"/>
        <w:spacing w:before="240" w:lineRule="auto"/>
        <w:ind w:firstLine="540"/>
        <w:jc w:val="both"/>
      </w:pPr>
      <w:r>
        <w:rPr>
          <w:sz w:val="24"/>
        </w:rPr>
        <w:t xml:space="preserve">Лифты для транспортирования подразделений пожарной охраны следует предусматривать в обособленных шахтах с самостоятельными лифтовыми холлами на всех этажах.</w:t>
      </w:r>
    </w:p>
    <w:p>
      <w:pPr>
        <w:pStyle w:val="0"/>
        <w:jc w:val="both"/>
      </w:pPr>
      <w:r>
        <w:rPr>
          <w:sz w:val="24"/>
        </w:rPr>
        <w:t xml:space="preserve">(в ред. </w:t>
      </w:r>
      <w:hyperlink w:history="0" r:id="rId18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Допускается устройство общих с другими лифтами лифтовых шахт и лифтовых холлов при выполнении требований </w:t>
      </w:r>
      <w:hyperlink w:history="0" r:id="rId190"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Предел огнестойкости общих для таких групп лифтов ограждающих строительных конструкций лифтовых шахт, лифтовых холлов должен соответствовать требованиям </w:t>
      </w:r>
      <w:hyperlink w:history="0" w:anchor="P221" w:tooltip="6.1 Пределы огнестойкости строительных конструкций должны быть не менее указанных в таблице 6.1, с учетом требований СП 2.13130.">
        <w:r>
          <w:rPr>
            <w:sz w:val="24"/>
            <w:color w:val="0000ff"/>
          </w:rPr>
          <w:t xml:space="preserve">6.1</w:t>
        </w:r>
      </w:hyperlink>
      <w:r>
        <w:rPr>
          <w:sz w:val="24"/>
        </w:rPr>
        <w:t xml:space="preserve">.</w:t>
      </w:r>
    </w:p>
    <w:p>
      <w:pPr>
        <w:pStyle w:val="0"/>
        <w:spacing w:before="240" w:lineRule="auto"/>
        <w:ind w:firstLine="540"/>
        <w:jc w:val="both"/>
      </w:pPr>
      <w:r>
        <w:rPr>
          <w:sz w:val="24"/>
        </w:rPr>
        <w:t xml:space="preserve">Абзац исключен с 03.09.2024. - </w:t>
      </w:r>
      <w:hyperlink w:history="0" r:id="rId19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Грузоподъемность каждого из лифтов для транспортирования подразделений пожарной охраны в высотных зданиях и комплексах должна быть не менее 1000 кг.</w:t>
      </w:r>
    </w:p>
    <w:p>
      <w:pPr>
        <w:pStyle w:val="0"/>
        <w:jc w:val="both"/>
      </w:pPr>
      <w:r>
        <w:rPr>
          <w:sz w:val="24"/>
        </w:rPr>
        <w:t xml:space="preserve">(в ред. </w:t>
      </w:r>
      <w:hyperlink w:history="0" r:id="rId192"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7.6.2 Шахты лифтов, связывающие подземные этажи с надземной частью здания, следует проектировать не выше 1-го надземного этажа.</w:t>
      </w:r>
    </w:p>
    <w:p>
      <w:pPr>
        <w:pStyle w:val="0"/>
        <w:spacing w:before="240" w:lineRule="auto"/>
        <w:ind w:firstLine="540"/>
        <w:jc w:val="both"/>
      </w:pPr>
      <w:r>
        <w:rPr>
          <w:sz w:val="24"/>
        </w:rPr>
        <w:t xml:space="preserve">При обосновании технологической необходимости связи лифтами подземной и надземной частей высотного здания (комплекса) указанные лифты должны соответствовать требованиям, предъявляемым к лифтам транспортирования пожарных подразделений в соответствии с </w:t>
      </w:r>
      <w:hyperlink w:history="0" r:id="rId193"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с учетом требований </w:t>
      </w:r>
      <w:hyperlink w:history="0" w:anchor="P221" w:tooltip="6.1 Пределы огнестойкости строительных конструкций должны быть не менее указанных в таблице 6.1, с учетом требований СП 2.13130.">
        <w:r>
          <w:rPr>
            <w:sz w:val="24"/>
            <w:color w:val="0000ff"/>
          </w:rPr>
          <w:t xml:space="preserve">6.1</w:t>
        </w:r>
      </w:hyperlink>
      <w:r>
        <w:rPr>
          <w:sz w:val="24"/>
        </w:rPr>
        <w:t xml:space="preserve">.</w:t>
      </w:r>
    </w:p>
    <w:p>
      <w:pPr>
        <w:pStyle w:val="0"/>
        <w:jc w:val="both"/>
      </w:pPr>
      <w:r>
        <w:rPr>
          <w:sz w:val="24"/>
        </w:rPr>
        <w:t xml:space="preserve">(в ред. </w:t>
      </w:r>
      <w:hyperlink w:history="0" r:id="rId19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При сообщении указанных лифтов на подземных этажах с помещениями для хранения автомобилей (стоянками автомобилей) должно быть предусмотрено устройство на выходах из этих лифтов (в подземной части) двух последовательно расположенных тамбур-шлюзов 1-го типа, защищенных приточной ПДВ согласно </w:t>
      </w:r>
      <w:hyperlink w:history="0" r:id="rId195"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7.6.3 Пожарно-технические характеристики материалов отделки кабин пассажирских и грузовых лифтов, а также ограждающие конструкции (стены, пол, потолок, двери) купе кабин таких лифтов должны соответствовать требованиям, установленным </w:t>
      </w:r>
      <w:hyperlink w:history="0" r:id="rId196"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w:t>
        </w:r>
      </w:hyperlink>
      <w:r>
        <w:rPr>
          <w:sz w:val="24"/>
        </w:rPr>
        <w:t xml:space="preserve">, </w:t>
      </w:r>
      <w:hyperlink w:history="0" r:id="rId197"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предъявляемым к лифтам транспортирования пожарных подразделений.</w:t>
      </w:r>
    </w:p>
    <w:p>
      <w:pPr>
        <w:pStyle w:val="0"/>
        <w:jc w:val="both"/>
      </w:pPr>
      <w:r>
        <w:rPr>
          <w:sz w:val="24"/>
        </w:rPr>
        <w:t xml:space="preserve">(в ред. </w:t>
      </w:r>
      <w:hyperlink w:history="0" r:id="rId19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7.6.4 Входы в лифты, расположенные в высотной части здания или комплекса на основных посадочных этажах (назначенных этажах), должны оборудоваться лифтовыми холлами, которые должны соответствовать требованиям </w:t>
      </w:r>
      <w:hyperlink w:history="0" w:anchor="P221" w:tooltip="6.1 Пределы огнестойкости строительных конструкций должны быть не менее указанных в таблице 6.1, с учетом требований СП 2.13130.">
        <w:r>
          <w:rPr>
            <w:sz w:val="24"/>
            <w:color w:val="0000ff"/>
          </w:rPr>
          <w:t xml:space="preserve">6.1</w:t>
        </w:r>
      </w:hyperlink>
      <w:r>
        <w:rPr>
          <w:sz w:val="24"/>
        </w:rPr>
        <w:t xml:space="preserve">.</w:t>
      </w:r>
    </w:p>
    <w:p>
      <w:pPr>
        <w:pStyle w:val="0"/>
        <w:jc w:val="both"/>
      </w:pPr>
      <w:r>
        <w:rPr>
          <w:sz w:val="24"/>
        </w:rPr>
        <w:t xml:space="preserve">(в ред. </w:t>
      </w:r>
      <w:hyperlink w:history="0" r:id="rId19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2"/>
        <w:spacing w:before="240" w:lineRule="auto"/>
        <w:outlineLvl w:val="2"/>
        <w:ind w:firstLine="540"/>
        <w:jc w:val="both"/>
      </w:pPr>
      <w:r>
        <w:rPr>
          <w:sz w:val="24"/>
          <w:b w:val="on"/>
        </w:rPr>
        <w:t xml:space="preserve">7.7 Система пожарной автоматики</w:t>
      </w:r>
    </w:p>
    <w:p>
      <w:pPr>
        <w:pStyle w:val="0"/>
        <w:jc w:val="both"/>
      </w:pPr>
      <w:r>
        <w:rPr>
          <w:sz w:val="24"/>
        </w:rPr>
        <w:t xml:space="preserve">(подраздел 7.7 введен </w:t>
      </w:r>
      <w:hyperlink w:history="0" r:id="rId200"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7.7.1 Проектирование систем пожарной автоматики (СПА) следует осуществлять в соответствии с </w:t>
      </w:r>
      <w:hyperlink w:history="0" r:id="rId201"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02"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w:t>
      </w:r>
    </w:p>
    <w:p>
      <w:pPr>
        <w:pStyle w:val="0"/>
        <w:jc w:val="both"/>
      </w:pPr>
      <w:r>
        <w:rPr>
          <w:sz w:val="24"/>
        </w:rPr>
      </w:r>
    </w:p>
    <w:bookmarkStart w:id="494" w:name="P494"/>
    <w:bookmarkEnd w:id="494"/>
    <w:p>
      <w:pPr>
        <w:pStyle w:val="2"/>
        <w:outlineLvl w:val="1"/>
        <w:ind w:firstLine="540"/>
        <w:jc w:val="both"/>
      </w:pPr>
      <w:r>
        <w:rPr>
          <w:sz w:val="24"/>
          <w:b w:val="on"/>
        </w:rPr>
        <w:t xml:space="preserve">8 Требования к обеспечению безопасной эвакуации людей</w:t>
      </w:r>
    </w:p>
    <w:p>
      <w:pPr>
        <w:pStyle w:val="0"/>
        <w:jc w:val="both"/>
      </w:pPr>
      <w:r>
        <w:rPr>
          <w:sz w:val="24"/>
        </w:rPr>
      </w:r>
    </w:p>
    <w:p>
      <w:pPr>
        <w:pStyle w:val="0"/>
        <w:jc w:val="both"/>
      </w:pPr>
      <w:r>
        <w:rPr>
          <w:sz w:val="24"/>
        </w:rPr>
        <w:t xml:space="preserve">(раздел 8 в ред. </w:t>
      </w:r>
      <w:hyperlink w:history="0" r:id="rId20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ind w:firstLine="540"/>
        <w:jc w:val="both"/>
      </w:pPr>
      <w:r>
        <w:rPr>
          <w:sz w:val="24"/>
        </w:rPr>
      </w:r>
    </w:p>
    <w:p>
      <w:pPr>
        <w:pStyle w:val="0"/>
        <w:ind w:firstLine="540"/>
        <w:jc w:val="both"/>
      </w:pPr>
      <w:r>
        <w:rPr>
          <w:sz w:val="24"/>
        </w:rPr>
        <w:t xml:space="preserve">8.1 Требования пожарной безопасности к путям эвакуации и эвакуационным выходам должны соответствовать </w:t>
      </w:r>
      <w:hyperlink w:history="0" r:id="rId204"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применительно к части здания соответствующего класса функциональной пожарной опасности, кроме случаев, установленных настоящим сводом правил.</w:t>
      </w:r>
    </w:p>
    <w:p>
      <w:pPr>
        <w:pStyle w:val="0"/>
        <w:spacing w:before="240" w:lineRule="auto"/>
        <w:ind w:firstLine="540"/>
        <w:jc w:val="both"/>
      </w:pPr>
      <w:r>
        <w:rPr>
          <w:sz w:val="24"/>
        </w:rPr>
        <w:t xml:space="preserve">Эвакуационные пути и выходы должны быть обеспечены навигационными, фотолюминесцентными, фотоэмиссионными эвакуационными системами согласно требованиям </w:t>
      </w:r>
      <w:hyperlink w:history="0" r:id="rId205"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w:t>
        </w:r>
      </w:hyperlink>
      <w:r>
        <w:rPr>
          <w:sz w:val="24"/>
        </w:rPr>
        <w:t xml:space="preserve">, </w:t>
      </w:r>
      <w:hyperlink w:history="0" r:id="rId206"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и настоящего свода правил.</w:t>
      </w:r>
    </w:p>
    <w:p>
      <w:pPr>
        <w:pStyle w:val="0"/>
        <w:spacing w:before="240" w:lineRule="auto"/>
        <w:ind w:firstLine="540"/>
        <w:jc w:val="both"/>
      </w:pPr>
      <w:r>
        <w:rPr>
          <w:sz w:val="24"/>
        </w:rPr>
        <w:t xml:space="preserve">8.2 Проектные решения должны обеспечивать при пожаре беспрепятственную и своевременную эвакуацию людей наружу или в БЗ.</w:t>
      </w:r>
    </w:p>
    <w:p>
      <w:pPr>
        <w:pStyle w:val="0"/>
        <w:spacing w:before="240" w:lineRule="auto"/>
        <w:ind w:firstLine="540"/>
        <w:jc w:val="both"/>
      </w:pPr>
      <w:r>
        <w:rPr>
          <w:sz w:val="24"/>
        </w:rPr>
        <w:t xml:space="preserve">Требования к устройству и размещению БЗ и их площади принимаются в соответствии с </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207"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8.3 Площадь пожаробезопасной зоны должна быть предусмотрена исходя из максимального количества людей, относящихся к МГН, для которых предусмотрена указанная зона, при условии возможности их маневрирования согласно </w:t>
      </w:r>
      <w:hyperlink w:history="0" r:id="rId20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Площадь БЗ в жилой части высотных зданий определяется заданием на проектирование, но не менее 1 человека на этаж (этаж секции) при площади не более 550 м</w:t>
      </w:r>
      <w:r>
        <w:rPr>
          <w:sz w:val="24"/>
          <w:vertAlign w:val="superscript"/>
        </w:rPr>
        <w:t xml:space="preserve">2</w:t>
      </w:r>
      <w:r>
        <w:rPr>
          <w:sz w:val="24"/>
        </w:rPr>
        <w:t xml:space="preserve">. При большей площади - 3% общей вместимости здания, но не менее 1 места из расчета 20% людей, проживающих на этаже жилой секции.</w:t>
      </w:r>
    </w:p>
    <w:p>
      <w:pPr>
        <w:pStyle w:val="0"/>
        <w:spacing w:before="240" w:lineRule="auto"/>
        <w:ind w:firstLine="540"/>
        <w:jc w:val="both"/>
      </w:pPr>
      <w:r>
        <w:rPr>
          <w:sz w:val="24"/>
        </w:rPr>
        <w:t xml:space="preserve">Площадь БЗ на этажах в подземной стоянке автомобилей и других помещениях следует принимать по заданию на проектирование, включая не менее одного человека группы мобильности М4.</w:t>
      </w:r>
    </w:p>
    <w:p>
      <w:pPr>
        <w:pStyle w:val="0"/>
        <w:spacing w:before="240" w:lineRule="auto"/>
        <w:ind w:firstLine="540"/>
        <w:jc w:val="both"/>
      </w:pPr>
      <w:r>
        <w:rPr>
          <w:sz w:val="24"/>
        </w:rPr>
        <w:t xml:space="preserve">8.4 Эвакуационные выходы с этажей высотных зданий, комплексов следует предусматривать в незадымляемые лестничные клетки.</w:t>
      </w:r>
    </w:p>
    <w:p>
      <w:pPr>
        <w:pStyle w:val="0"/>
        <w:spacing w:before="240" w:lineRule="auto"/>
        <w:ind w:firstLine="540"/>
        <w:jc w:val="both"/>
      </w:pPr>
      <w:r>
        <w:rPr>
          <w:sz w:val="24"/>
        </w:rPr>
        <w:t xml:space="preserve">В высотных жилых и общественных зданиях следует предусматривать не менее двух незадымляемых лестничных клеток типа Н2 (с подпором воздуха в объем лестничной клетки при пожаре) или типа Н3 (с входом на каждом этаже через тамбур-шлюз, в котором на этаже пожара обеспечивается подпор воздуха) или их комбинации. При этом не менее чем одна из лестничных клеток должна быть предусмотрена незадымляемой типа Н2 с входом на каждом этаже через тамбур-шлюз с подпором воздуха на этаже пожара.</w:t>
      </w:r>
    </w:p>
    <w:p>
      <w:pPr>
        <w:pStyle w:val="0"/>
        <w:spacing w:before="240" w:lineRule="auto"/>
        <w:ind w:firstLine="540"/>
        <w:jc w:val="both"/>
      </w:pPr>
      <w:r>
        <w:rPr>
          <w:sz w:val="24"/>
        </w:rPr>
        <w:t xml:space="preserve">Выходы из эвакуационных лестничных клеток должны предусматриваться наружу, на прилегающую к зданию территорию. Допускается не более 50% выходов из лестничных клеток предусматривать через общий вестибюль (холл), при этом остальные лестничные клетки должны иметь выход непосредственно наружу.</w:t>
      </w:r>
    </w:p>
    <w:p>
      <w:pPr>
        <w:pStyle w:val="0"/>
        <w:spacing w:before="240" w:lineRule="auto"/>
        <w:ind w:firstLine="540"/>
        <w:jc w:val="both"/>
      </w:pPr>
      <w:r>
        <w:rPr>
          <w:sz w:val="24"/>
        </w:rPr>
        <w:t xml:space="preserve">При устройстве выхода из лестничных клеток типа Н2, предназначенных для эвакуации из высотной части зданий, комплексов, на уровне основного выхода непосредственно наружу, устройство тамбур-шлюза 1-го типа с подпором воздуха при пожаре не требуется.</w:t>
      </w:r>
    </w:p>
    <w:p>
      <w:pPr>
        <w:pStyle w:val="0"/>
        <w:spacing w:before="240" w:lineRule="auto"/>
        <w:ind w:firstLine="540"/>
        <w:jc w:val="both"/>
      </w:pPr>
      <w:r>
        <w:rPr>
          <w:sz w:val="24"/>
        </w:rPr>
        <w:t xml:space="preserve">Устройство подпора воздуха в тепловые тамбуры при лестничных клетках на уровнях выхода наружу также не требуется.</w:t>
      </w:r>
    </w:p>
    <w:p>
      <w:pPr>
        <w:pStyle w:val="0"/>
        <w:spacing w:before="240" w:lineRule="auto"/>
        <w:ind w:firstLine="540"/>
        <w:jc w:val="both"/>
      </w:pPr>
      <w:r>
        <w:rPr>
          <w:sz w:val="24"/>
        </w:rPr>
        <w:t xml:space="preserve">Эвакуационные выходы из подвальных (подземных) этажей зданий следует предусматривать непосредственно наружу, обособленными от общих лестничных клеток надземной части здания.</w:t>
      </w:r>
    </w:p>
    <w:p>
      <w:pPr>
        <w:pStyle w:val="0"/>
        <w:spacing w:before="240" w:lineRule="auto"/>
        <w:ind w:firstLine="540"/>
        <w:jc w:val="both"/>
      </w:pPr>
      <w:r>
        <w:rPr>
          <w:sz w:val="24"/>
        </w:rPr>
        <w:t xml:space="preserve">Все незадымляемые лестничные клетки должны иметь выходы по лестничным маршам на покрытие здания. Двери выходов на покрытие следует предусматривать противопожарными 1-го типа.</w:t>
      </w:r>
    </w:p>
    <w:p>
      <w:pPr>
        <w:pStyle w:val="0"/>
        <w:spacing w:before="240" w:lineRule="auto"/>
        <w:ind w:firstLine="540"/>
        <w:jc w:val="both"/>
      </w:pPr>
      <w:r>
        <w:rPr>
          <w:sz w:val="24"/>
        </w:rPr>
        <w:t xml:space="preserve">Лестничные клетки должны быть обеспечены аварийным и эвакуационным освещением, электропитанием по первой категории надежности электроснабжения, а все участки путей эвакуации должны иметь фотолюминесцентные или фотоэмиссионные указатели согласно </w:t>
      </w:r>
      <w:hyperlink w:history="0" r:id="rId20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при этом лестничные клетки допускаются без световых проемов в наружных стенах на каждом этаже.</w:t>
      </w:r>
    </w:p>
    <w:p>
      <w:pPr>
        <w:pStyle w:val="0"/>
        <w:spacing w:before="240" w:lineRule="auto"/>
        <w:ind w:firstLine="540"/>
        <w:jc w:val="both"/>
      </w:pPr>
      <w:r>
        <w:rPr>
          <w:sz w:val="24"/>
        </w:rPr>
        <w:t xml:space="preserve">8.5 Для эвакуации людей с эксплуатируемой кровли пристроенной части стилобата высотного здания, комплекса, используемого в качестве зон рекреации, спорта и отдыха, следует предусматривать наружные открытые лестницы 3-го типа, а также расчетное число выходов в незадымляемые лестничные клетки типа Н2 или Н3 высотной части здания, комплекса.</w:t>
      </w:r>
    </w:p>
    <w:p>
      <w:pPr>
        <w:pStyle w:val="0"/>
        <w:spacing w:before="240" w:lineRule="auto"/>
        <w:ind w:firstLine="540"/>
        <w:jc w:val="both"/>
      </w:pPr>
      <w:r>
        <w:rPr>
          <w:sz w:val="24"/>
        </w:rPr>
        <w:t xml:space="preserve">8.6 Ширина пути эвакуации по лестнице, предназначенной для эвакуации людей, в т.ч. расположенной в лестничной клетке, должна быть не менее ширины любого эвакуационного выхода на нее, но не менее, м:</w:t>
      </w:r>
    </w:p>
    <w:p>
      <w:pPr>
        <w:pStyle w:val="0"/>
        <w:spacing w:before="240" w:lineRule="auto"/>
        <w:ind w:firstLine="540"/>
        <w:jc w:val="both"/>
      </w:pPr>
      <w:r>
        <w:rPr>
          <w:sz w:val="24"/>
        </w:rPr>
        <w:t xml:space="preserve">1,2 - в жилых зданиях;</w:t>
      </w:r>
    </w:p>
    <w:p>
      <w:pPr>
        <w:pStyle w:val="0"/>
        <w:spacing w:before="240" w:lineRule="auto"/>
        <w:ind w:firstLine="540"/>
        <w:jc w:val="both"/>
      </w:pPr>
      <w:r>
        <w:rPr>
          <w:sz w:val="24"/>
        </w:rPr>
        <w:t xml:space="preserve">1,35 - в зданиях иного назначения.</w:t>
      </w:r>
    </w:p>
    <w:p>
      <w:pPr>
        <w:pStyle w:val="0"/>
        <w:spacing w:before="240" w:lineRule="auto"/>
        <w:ind w:firstLine="540"/>
        <w:jc w:val="both"/>
      </w:pPr>
      <w:r>
        <w:rPr>
          <w:sz w:val="24"/>
        </w:rPr>
        <w:t xml:space="preserve">Зазор между лестничными маршами должен быть не менее 120 мм (в свету), уклон лестничного марша - не более 1:1,75.</w:t>
      </w:r>
    </w:p>
    <w:p>
      <w:pPr>
        <w:pStyle w:val="0"/>
        <w:spacing w:before="240" w:lineRule="auto"/>
        <w:ind w:firstLine="540"/>
        <w:jc w:val="both"/>
      </w:pPr>
      <w:r>
        <w:rPr>
          <w:sz w:val="24"/>
        </w:rPr>
        <w:t xml:space="preserve">Зазор между маршами лестниц и между поручнями ограждений лестничных маршей допускается не предусматривать при прокладке в объеме незадымляемых лестничных клеток сухотруба диаметром 80 мм со спаренными пожарными кранами на каждом этаже, выведенными за пределы объема лестничной клетки, оборудованного на уровне первого этажа пожарными соединительными головками DN80; расчетное рабочее давление должно быть не менее 2,0 МПа.</w:t>
      </w:r>
    </w:p>
    <w:p>
      <w:pPr>
        <w:pStyle w:val="0"/>
        <w:spacing w:before="240" w:lineRule="auto"/>
        <w:ind w:firstLine="540"/>
        <w:jc w:val="both"/>
      </w:pPr>
      <w:r>
        <w:rPr>
          <w:sz w:val="24"/>
        </w:rPr>
        <w:t xml:space="preserve">8.7 Для высотных зданий с атриумами следует проектировать пути эвакуации согласно требованиям </w:t>
      </w:r>
      <w:hyperlink w:history="0" r:id="rId21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Допускается принимать эвакуационными выходы:</w:t>
      </w:r>
    </w:p>
    <w:p>
      <w:pPr>
        <w:pStyle w:val="0"/>
        <w:spacing w:before="240" w:lineRule="auto"/>
        <w:ind w:firstLine="540"/>
        <w:jc w:val="both"/>
      </w:pPr>
      <w:r>
        <w:rPr>
          <w:sz w:val="24"/>
        </w:rPr>
        <w:t xml:space="preserve">- в коридор, ведущий через пространство атриума или галереи атриума при условии их выделения противопожарными преградами в соответствии с </w:t>
      </w:r>
      <w:hyperlink w:history="0" w:anchor="P187" w:tooltip="5.9 Атриумы (пассажи) следует предусматривать согласно заданию на проектирование в пределах нижнего пожарного отсека надземной части здания или во встроенно-пристроенной части (стилобате).">
        <w:r>
          <w:rPr>
            <w:sz w:val="24"/>
            <w:color w:val="0000ff"/>
          </w:rPr>
          <w:t xml:space="preserve">5.9</w:t>
        </w:r>
      </w:hyperlink>
      <w:r>
        <w:rPr>
          <w:sz w:val="24"/>
        </w:rPr>
        <w:t xml:space="preserve"> в эвакуационные лестничные клетки (непосредственно или через коридор безопасности) или наружу (непосредственно или через коридор безопасности);</w:t>
      </w:r>
    </w:p>
    <w:p>
      <w:pPr>
        <w:pStyle w:val="0"/>
        <w:spacing w:before="240" w:lineRule="auto"/>
        <w:ind w:firstLine="540"/>
        <w:jc w:val="both"/>
      </w:pPr>
      <w:r>
        <w:rPr>
          <w:sz w:val="24"/>
        </w:rPr>
        <w:t xml:space="preserve">- через пространство атриума с эскалатором (открытой лестницей) или галереи атриума при условии их выделения противопожарными преградами в соответствии с </w:t>
      </w:r>
      <w:hyperlink w:history="0" w:anchor="P187" w:tooltip="5.9 Атриумы (пассажи) следует предусматривать согласно заданию на проектирование в пределах нижнего пожарного отсека надземной части здания или во встроенно-пристроенной части (стилобате).">
        <w:r>
          <w:rPr>
            <w:sz w:val="24"/>
            <w:color w:val="0000ff"/>
          </w:rPr>
          <w:t xml:space="preserve">5.9</w:t>
        </w:r>
      </w:hyperlink>
      <w:r>
        <w:rPr>
          <w:sz w:val="24"/>
        </w:rPr>
        <w:t xml:space="preserve"> в эвакуационные лестничные клетки (непосредственно или через коридор безопасности) или наружу (непосредственно или через коридор безопасности);</w:t>
      </w:r>
    </w:p>
    <w:p>
      <w:pPr>
        <w:pStyle w:val="0"/>
        <w:spacing w:before="240" w:lineRule="auto"/>
        <w:ind w:firstLine="540"/>
        <w:jc w:val="both"/>
      </w:pPr>
      <w:r>
        <w:rPr>
          <w:sz w:val="24"/>
        </w:rPr>
        <w:t xml:space="preserve">- из помещений, галерей на наружную открытую лестницу (с отметок не выше 18 м);</w:t>
      </w:r>
    </w:p>
    <w:p>
      <w:pPr>
        <w:pStyle w:val="0"/>
        <w:spacing w:before="240" w:lineRule="auto"/>
        <w:ind w:firstLine="540"/>
        <w:jc w:val="both"/>
      </w:pPr>
      <w:r>
        <w:rPr>
          <w:sz w:val="24"/>
        </w:rPr>
        <w:t xml:space="preserve">- в соседнее помещение, обеспеченное выходами, указанными в нормативных документах по пожарной безопасности.</w:t>
      </w:r>
    </w:p>
    <w:p>
      <w:pPr>
        <w:pStyle w:val="0"/>
        <w:spacing w:before="240" w:lineRule="auto"/>
        <w:ind w:firstLine="540"/>
        <w:jc w:val="both"/>
      </w:pPr>
      <w:r>
        <w:rPr>
          <w:sz w:val="24"/>
        </w:rPr>
        <w:t xml:space="preserve">Сообщение помещений и коридоров подземной части здания с атриумом допускается только через тамбуры-шлюзы 1-го типа с подпором воздуха при пожаре. Если помещение предназначено для сна (отдыха), то путь эвакуации по горизонтальному проходу от двери этого помещения до защищенного эвакуационного выхода, ведущего к лестничной клетке, должен иметь протяженность не более 30 м. Если помещение не используется для сна (отдыха), протяженность такого прохода должна быть не более 60 м. Проход через атриум из помещений, не выходящих в атриум, путем эвакуации не считается.</w:t>
      </w:r>
    </w:p>
    <w:p>
      <w:pPr>
        <w:pStyle w:val="0"/>
        <w:spacing w:before="240" w:lineRule="auto"/>
        <w:ind w:firstLine="540"/>
        <w:jc w:val="both"/>
      </w:pPr>
      <w:r>
        <w:rPr>
          <w:sz w:val="24"/>
        </w:rPr>
        <w:t xml:space="preserve">8.8 Коридоры следует разделять перегородками с пределом огнестойкости не ниже EI 45 с заполнением проемов противопожарными дверями не ниже 2-го типа на отсеки длиной, м, не более:</w:t>
      </w:r>
    </w:p>
    <w:p>
      <w:pPr>
        <w:pStyle w:val="0"/>
        <w:spacing w:before="240" w:lineRule="auto"/>
        <w:ind w:firstLine="540"/>
        <w:jc w:val="both"/>
      </w:pPr>
      <w:r>
        <w:rPr>
          <w:sz w:val="24"/>
        </w:rPr>
        <w:t xml:space="preserve">- 60 - в общем случае;</w:t>
      </w:r>
    </w:p>
    <w:p>
      <w:pPr>
        <w:pStyle w:val="0"/>
        <w:spacing w:before="240" w:lineRule="auto"/>
        <w:ind w:firstLine="540"/>
        <w:jc w:val="both"/>
      </w:pPr>
      <w:r>
        <w:rPr>
          <w:sz w:val="24"/>
        </w:rPr>
        <w:t xml:space="preserve">- 30 - в жилых зданиях, гостиницах, апартамент-отелях.</w:t>
      </w:r>
    </w:p>
    <w:p>
      <w:pPr>
        <w:pStyle w:val="0"/>
        <w:spacing w:before="240" w:lineRule="auto"/>
        <w:ind w:firstLine="540"/>
        <w:jc w:val="both"/>
      </w:pPr>
      <w:r>
        <w:rPr>
          <w:sz w:val="24"/>
        </w:rPr>
        <w:t xml:space="preserve">Направление открывания указанных дверей не нормируется.</w:t>
      </w:r>
    </w:p>
    <w:p>
      <w:pPr>
        <w:pStyle w:val="0"/>
        <w:spacing w:before="240" w:lineRule="auto"/>
        <w:ind w:firstLine="540"/>
        <w:jc w:val="both"/>
      </w:pPr>
      <w:r>
        <w:rPr>
          <w:sz w:val="24"/>
        </w:rPr>
        <w:t xml:space="preserve">Выходы в незадымляемые лестничные клетки здания должны предусматриваться из разных частей коридора высотного здания, разделенных противопожарными перегородками 1-го типа с противопожарными дверями.</w:t>
      </w:r>
    </w:p>
    <w:p>
      <w:pPr>
        <w:pStyle w:val="0"/>
        <w:spacing w:before="240" w:lineRule="auto"/>
        <w:ind w:firstLine="540"/>
        <w:jc w:val="both"/>
      </w:pPr>
      <w:r>
        <w:rPr>
          <w:sz w:val="24"/>
        </w:rPr>
        <w:t xml:space="preserve">8.9 Пути эвакуации следует предусматривать через поэтажные лифтовые холлы, за исключением лифтовых холлов для транспортирования пожарных подразделений и лифтовых холлов, используемых в качестве безопасных зон.</w:t>
      </w:r>
    </w:p>
    <w:p>
      <w:pPr>
        <w:pStyle w:val="0"/>
        <w:spacing w:before="240" w:lineRule="auto"/>
        <w:ind w:firstLine="540"/>
        <w:jc w:val="both"/>
      </w:pPr>
      <w:r>
        <w:rPr>
          <w:sz w:val="24"/>
        </w:rPr>
        <w:t xml:space="preserve">8.10 Расстояние по путям эвакуации от дверей помещений до дверей незадымляемой лестничной клетки типа Н2, тамбура-шлюза перед незадымляемой лестничной клеткой типа Н3 или Н2 следует принимать, м, не более:</w:t>
      </w:r>
    </w:p>
    <w:p>
      <w:pPr>
        <w:pStyle w:val="0"/>
        <w:spacing w:before="240" w:lineRule="auto"/>
        <w:ind w:firstLine="540"/>
        <w:jc w:val="both"/>
      </w:pPr>
      <w:r>
        <w:rPr>
          <w:sz w:val="24"/>
        </w:rPr>
        <w:t xml:space="preserve">15 - в жилых секциях для квартир, расположенных в тупиковых коридорах, на высоте более 75 м;</w:t>
      </w:r>
    </w:p>
    <w:p>
      <w:pPr>
        <w:pStyle w:val="0"/>
        <w:spacing w:before="240" w:lineRule="auto"/>
        <w:ind w:firstLine="540"/>
        <w:jc w:val="both"/>
      </w:pPr>
      <w:r>
        <w:rPr>
          <w:sz w:val="24"/>
        </w:rPr>
        <w:t xml:space="preserve">18 - в тупиковых коридорах;</w:t>
      </w:r>
    </w:p>
    <w:p>
      <w:pPr>
        <w:pStyle w:val="0"/>
        <w:spacing w:before="240" w:lineRule="auto"/>
        <w:ind w:firstLine="540"/>
        <w:jc w:val="both"/>
      </w:pPr>
      <w:r>
        <w:rPr>
          <w:sz w:val="24"/>
        </w:rPr>
        <w:t xml:space="preserve">20 - для помещений с массовым пребыванием людей, расположенных на высоте более 50 м, а также для помещений, рассчитанных на одновременное пребывание более 500 чел.;</w:t>
      </w:r>
    </w:p>
    <w:p>
      <w:pPr>
        <w:pStyle w:val="0"/>
        <w:spacing w:before="240" w:lineRule="auto"/>
        <w:ind w:firstLine="540"/>
        <w:jc w:val="both"/>
      </w:pPr>
      <w:r>
        <w:rPr>
          <w:sz w:val="24"/>
        </w:rPr>
        <w:t xml:space="preserve">25 - в других случаях.</w:t>
      </w:r>
    </w:p>
    <w:p>
      <w:pPr>
        <w:pStyle w:val="0"/>
        <w:spacing w:before="240" w:lineRule="auto"/>
        <w:ind w:firstLine="540"/>
        <w:jc w:val="both"/>
      </w:pPr>
      <w:r>
        <w:rPr>
          <w:sz w:val="24"/>
        </w:rPr>
        <w:t xml:space="preserve">8.11 При размещении в составе зданий на высоте более 50 м ресторанов, кафе и других предприятий общественного питания расчетной вместимостью согласно </w:t>
      </w:r>
      <w:hyperlink w:history="0" r:id="rId211"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 более 50 чел. расстояние от дверей этих помещений до входа в незадымляемые лестничные клетки типов Н2 и (или) НЗ не должно превышать 20 м.</w:t>
      </w:r>
    </w:p>
    <w:p>
      <w:pPr>
        <w:pStyle w:val="0"/>
        <w:spacing w:before="240" w:lineRule="auto"/>
        <w:ind w:firstLine="540"/>
        <w:jc w:val="both"/>
      </w:pPr>
      <w:r>
        <w:rPr>
          <w:sz w:val="24"/>
        </w:rPr>
        <w:t xml:space="preserve">При размещении на эксплуатируемых покрытиях, в т.ч. стилобата, открытых летних ресторанов, кафе, зон рекреации, смотровых и иных площадок с одновременным пребыванием более 50 чел. следует предусматривать не менее двух эвакуационных выходов в незадымляемые лестничные клетки типов Н2 и (или) Н3.</w:t>
      </w:r>
    </w:p>
    <w:p>
      <w:pPr>
        <w:pStyle w:val="0"/>
        <w:spacing w:before="240" w:lineRule="auto"/>
        <w:ind w:firstLine="540"/>
        <w:jc w:val="both"/>
      </w:pPr>
      <w:r>
        <w:rPr>
          <w:sz w:val="24"/>
        </w:rPr>
        <w:t xml:space="preserve">8.12 Помещения, рассчитанные на одновременное пребывание более 300 чел., должны отделяться от других помещений противопожарными стенами и перекрытиями согласно </w:t>
      </w:r>
      <w:hyperlink w:history="0" w:anchor="P221" w:tooltip="6.1 Пределы огнестойкости строительных конструкций должны быть не менее указанных в таблице 6.1, с учетом требований СП 2.13130.">
        <w:r>
          <w:rPr>
            <w:sz w:val="24"/>
            <w:color w:val="0000ff"/>
          </w:rPr>
          <w:t xml:space="preserve">6.1</w:t>
        </w:r>
      </w:hyperlink>
      <w:r>
        <w:rPr>
          <w:sz w:val="24"/>
        </w:rPr>
        <w:t xml:space="preserve">. Расстояние от дверей этих помещений до эвакуационных выходов не должно превышать 20 м.</w:t>
      </w:r>
    </w:p>
    <w:p>
      <w:pPr>
        <w:pStyle w:val="0"/>
        <w:spacing w:before="240" w:lineRule="auto"/>
        <w:ind w:firstLine="540"/>
        <w:jc w:val="both"/>
      </w:pPr>
      <w:r>
        <w:rPr>
          <w:sz w:val="24"/>
        </w:rPr>
        <w:t xml:space="preserve">8.13 Из технических этажей и иных технических пространств, предназначенных только для прокладки инженерных сетей и размещения оборудования, работающего в автоматическом режиме без постоянного присутствия персонала службы эксплуатации, вместо эвакуационных выходов на две незадымляемые лестничные клетки типов Н2 и Н3 допускается предусматривать аварийные выходы, ведущие на пути эвакуации, в том числе через одно смежное помещение, через противопожарные двери размерами не менее 0,75 x 1,5 м или через противопожарные люки размерами не менее 0,8 x 1,2 м с пределом огнестойкости не менее EIS 60.</w:t>
      </w:r>
    </w:p>
    <w:p>
      <w:pPr>
        <w:pStyle w:val="0"/>
        <w:spacing w:before="240" w:lineRule="auto"/>
        <w:ind w:firstLine="540"/>
        <w:jc w:val="both"/>
      </w:pPr>
      <w:r>
        <w:rPr>
          <w:sz w:val="24"/>
        </w:rPr>
        <w:t xml:space="preserve">8.14 Здания оснащаются средствами индивидуальной защиты людей при пожаре, а также средствами спасения с высотных уровней (индивидуальными и коллективными) согласно </w:t>
      </w:r>
      <w:hyperlink w:history="0" r:id="rId212" w:tooltip="&quot;ГОСТ Р 53271-2009. Техника пожарная. Рукава спасательные пожарные. Общие технические требования. Методы испытаний&quot; (утв. Приказом Ростехрегулирования от 18.02.2009 N 42-ст) {КонсультантПлюс}">
        <w:r>
          <w:rPr>
            <w:sz w:val="24"/>
            <w:color w:val="0000ff"/>
          </w:rPr>
          <w:t xml:space="preserve">ГОСТ Р 53271</w:t>
        </w:r>
      </w:hyperlink>
      <w:r>
        <w:rPr>
          <w:sz w:val="24"/>
        </w:rPr>
        <w:t xml:space="preserve">, </w:t>
      </w:r>
      <w:hyperlink w:history="0" r:id="rId213" w:tooltip="&quot;ГОСТ Р 53274-2009. Национальный стандарт Российской Федерации. Техника пожарная. Трапы спасательные пожарные. Общие технические требования. Методы испытаний&quot; (утв. Приказом Ростехрегулирования от 18.02.2009 N 45-ст) {КонсультантПлюс}">
        <w:r>
          <w:rPr>
            <w:sz w:val="24"/>
            <w:color w:val="0000ff"/>
          </w:rPr>
          <w:t xml:space="preserve">ГОСТ Р 53274</w:t>
        </w:r>
      </w:hyperlink>
      <w:r>
        <w:rPr>
          <w:sz w:val="24"/>
        </w:rPr>
        <w:t xml:space="preserve">, </w:t>
      </w:r>
      <w:hyperlink w:history="0" r:id="rId214" w:tooltip="&quot;ГОСТ Р 53272-2009. Техника пожарная. Устройства канатно-спускные пожарные. Общие технические требования. Методы испытаний&quot; (утв. Приказом Ростехрегулирования от 18.02.2009 N 43-ст) {КонсультантПлюс}">
        <w:r>
          <w:rPr>
            <w:sz w:val="24"/>
            <w:color w:val="0000ff"/>
          </w:rPr>
          <w:t xml:space="preserve">ГОСТ Р 53272</w:t>
        </w:r>
      </w:hyperlink>
      <w:r>
        <w:rPr>
          <w:sz w:val="24"/>
        </w:rPr>
        <w:t xml:space="preserve"> в соответствии с принятыми проектными решениями.</w:t>
      </w:r>
    </w:p>
    <w:p>
      <w:pPr>
        <w:pStyle w:val="0"/>
        <w:spacing w:before="240" w:lineRule="auto"/>
        <w:ind w:firstLine="540"/>
        <w:jc w:val="both"/>
      </w:pPr>
      <w:r>
        <w:rPr>
          <w:sz w:val="24"/>
        </w:rPr>
        <w:t xml:space="preserve">Средства индивидуальной защиты органов дыхания и зрения следует предусматривать:</w:t>
      </w:r>
    </w:p>
    <w:p>
      <w:pPr>
        <w:pStyle w:val="0"/>
        <w:spacing w:before="240" w:lineRule="auto"/>
        <w:ind w:firstLine="540"/>
        <w:jc w:val="both"/>
      </w:pPr>
      <w:r>
        <w:rPr>
          <w:sz w:val="24"/>
        </w:rPr>
        <w:t xml:space="preserve">- в помещениях с постоянными рабочими местами (местами нахождения людей), расположенных на высоте более 50 м;</w:t>
      </w:r>
    </w:p>
    <w:p>
      <w:pPr>
        <w:pStyle w:val="0"/>
        <w:spacing w:before="240" w:lineRule="auto"/>
        <w:ind w:firstLine="540"/>
        <w:jc w:val="both"/>
      </w:pPr>
      <w:r>
        <w:rPr>
          <w:sz w:val="24"/>
        </w:rPr>
        <w:t xml:space="preserve">- в гостиничных номерах;</w:t>
      </w:r>
    </w:p>
    <w:p>
      <w:pPr>
        <w:pStyle w:val="0"/>
        <w:spacing w:before="240" w:lineRule="auto"/>
        <w:ind w:firstLine="540"/>
        <w:jc w:val="both"/>
      </w:pPr>
      <w:r>
        <w:rPr>
          <w:sz w:val="24"/>
        </w:rPr>
        <w:t xml:space="preserve">- в зонах безопасности.</w:t>
      </w:r>
    </w:p>
    <w:p>
      <w:pPr>
        <w:pStyle w:val="0"/>
        <w:spacing w:before="240" w:lineRule="auto"/>
        <w:ind w:firstLine="540"/>
        <w:jc w:val="both"/>
      </w:pPr>
      <w:r>
        <w:rPr>
          <w:sz w:val="24"/>
        </w:rPr>
        <w:t xml:space="preserve">Рабочие места персонала, обеспечивающего эвакуацию, необходимо оснащать средствами индивидуальной защиты органов дыхания и зрения, а также средствами локальной защиты от повышенных тепловых воздействий.</w:t>
      </w:r>
    </w:p>
    <w:p>
      <w:pPr>
        <w:pStyle w:val="0"/>
        <w:spacing w:before="240" w:lineRule="auto"/>
        <w:ind w:firstLine="540"/>
        <w:jc w:val="both"/>
      </w:pPr>
      <w:r>
        <w:rPr>
          <w:sz w:val="24"/>
        </w:rPr>
        <w:t xml:space="preserve">Состав средств защиты определяется исходя из расчетного количества людей, относящихся к МГН, персонала, привлекаемого для обеспечения эвакуации.</w:t>
      </w:r>
    </w:p>
    <w:p>
      <w:pPr>
        <w:pStyle w:val="0"/>
        <w:jc w:val="both"/>
      </w:pPr>
      <w:r>
        <w:rPr>
          <w:sz w:val="24"/>
        </w:rPr>
      </w:r>
    </w:p>
    <w:p>
      <w:pPr>
        <w:pStyle w:val="2"/>
        <w:outlineLvl w:val="1"/>
        <w:ind w:firstLine="540"/>
        <w:jc w:val="both"/>
      </w:pPr>
      <w:r>
        <w:rPr>
          <w:sz w:val="24"/>
          <w:b w:val="on"/>
        </w:rPr>
        <w:t xml:space="preserve">9 Требования по обеспечению деятельности пожарно-спасательных подразделений</w:t>
      </w:r>
    </w:p>
    <w:bookmarkStart w:id="549" w:name="P549"/>
    <w:bookmarkEnd w:id="549"/>
    <w:p>
      <w:pPr>
        <w:pStyle w:val="0"/>
        <w:spacing w:before="240" w:lineRule="auto"/>
        <w:ind w:firstLine="540"/>
        <w:jc w:val="both"/>
      </w:pPr>
      <w:r>
        <w:rPr>
          <w:sz w:val="24"/>
        </w:rPr>
        <w:t xml:space="preserve">9.1 Для обеспечения деятельности пожарно-спасательных подразделений необходимо предусматривать проектные решения в соответствии с требованиями </w:t>
      </w:r>
      <w:hyperlink w:history="0" w:anchor="P592" w:tooltip="БИБЛИОГРАФИЯ">
        <w:r>
          <w:rPr>
            <w:sz w:val="24"/>
            <w:color w:val="0000ff"/>
          </w:rPr>
          <w:t xml:space="preserve">[2]</w:t>
        </w:r>
      </w:hyperlink>
      <w:r>
        <w:rPr>
          <w:sz w:val="24"/>
        </w:rPr>
        <w:t xml:space="preserve"> и с учетом следующих дополнительных требований:</w:t>
      </w:r>
    </w:p>
    <w:p>
      <w:pPr>
        <w:pStyle w:val="0"/>
        <w:jc w:val="both"/>
      </w:pPr>
      <w:r>
        <w:rPr>
          <w:sz w:val="24"/>
        </w:rPr>
        <w:t xml:space="preserve">(в ред. </w:t>
      </w:r>
      <w:hyperlink w:history="0" r:id="rId215"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 устройство на покрытии зданий, комплексов площадки для транспортно-спасательной кабины пожарного вертолета;</w:t>
      </w:r>
    </w:p>
    <w:p>
      <w:pPr>
        <w:pStyle w:val="0"/>
        <w:jc w:val="both"/>
      </w:pPr>
      <w:r>
        <w:rPr>
          <w:sz w:val="24"/>
        </w:rPr>
        <w:t xml:space="preserve">(в ред. </w:t>
      </w:r>
      <w:hyperlink w:history="0" r:id="rId21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 устройство на этажах БЗ;</w:t>
      </w:r>
    </w:p>
    <w:p>
      <w:pPr>
        <w:pStyle w:val="0"/>
        <w:jc w:val="both"/>
      </w:pPr>
      <w:r>
        <w:rPr>
          <w:sz w:val="24"/>
        </w:rPr>
        <w:t xml:space="preserve">(в ред. </w:t>
      </w:r>
      <w:hyperlink w:history="0" r:id="rId21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 устройство объектовых пунктов пожаротушения;</w:t>
      </w:r>
    </w:p>
    <w:p>
      <w:pPr>
        <w:pStyle w:val="0"/>
        <w:spacing w:before="240" w:lineRule="auto"/>
        <w:ind w:firstLine="540"/>
        <w:jc w:val="both"/>
      </w:pPr>
      <w:r>
        <w:rPr>
          <w:sz w:val="24"/>
        </w:rPr>
        <w:t xml:space="preserve">- оснащение зданий индивидуальными и коллективными средствами защиты и спасения людей при пожаре.</w:t>
      </w:r>
    </w:p>
    <w:p>
      <w:pPr>
        <w:pStyle w:val="0"/>
        <w:spacing w:before="240" w:lineRule="auto"/>
        <w:ind w:firstLine="540"/>
        <w:jc w:val="both"/>
      </w:pPr>
      <w:r>
        <w:rPr>
          <w:sz w:val="24"/>
        </w:rPr>
        <w:t xml:space="preserve">Примечание - Устройство площадки для транспортно-спасательных кабин пожарного вертолета на покрытии зданий, а также площадки для посадки пожарного вертолета на прилегающей территории являются дополнительными компенсирующими мероприятиями, рекомендуемыми при проектировании и строительстве высотных зданий (при отсутствии площадки следует к нормативному количеству лифтов для транспортирования пожарных подразделений добавлять еще один лифт).</w:t>
      </w:r>
    </w:p>
    <w:p>
      <w:pPr>
        <w:pStyle w:val="0"/>
        <w:jc w:val="both"/>
      </w:pPr>
      <w:r>
        <w:rPr>
          <w:sz w:val="24"/>
        </w:rPr>
        <w:t xml:space="preserve">(примечание введено </w:t>
      </w:r>
      <w:hyperlink w:history="0" r:id="rId218"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Изменением N 1</w:t>
        </w:r>
      </w:hyperlink>
      <w:r>
        <w:rPr>
          <w:sz w:val="24"/>
        </w:rPr>
        <w:t xml:space="preserve">, утв. Приказом Минстроя России от 02.08.2024 N 507/пр)</w:t>
      </w:r>
    </w:p>
    <w:p>
      <w:pPr>
        <w:pStyle w:val="0"/>
        <w:ind w:firstLine="540"/>
        <w:jc w:val="both"/>
      </w:pPr>
      <w:r>
        <w:rPr>
          <w:sz w:val="24"/>
        </w:rPr>
      </w:r>
    </w:p>
    <w:p>
      <w:pPr>
        <w:pStyle w:val="0"/>
        <w:ind w:firstLine="540"/>
        <w:jc w:val="both"/>
      </w:pPr>
      <w:r>
        <w:rPr>
          <w:sz w:val="24"/>
        </w:rPr>
        <w:t xml:space="preserve">9.2 На крыше зданий следует предусматривать площадку размерами не менее 5 x 5 м для транспортно-спасательной кабины пожарного вертолета (с учетом </w:t>
      </w:r>
      <w:hyperlink w:history="0" w:anchor="P549" w:tooltip="9.1 Для обеспечения деятельности пожарно-спасательных подразделений необходимо предусматривать проектные решения в соответствии с требованиями [2] и с учетом следующих дополнительных требований:">
        <w:r>
          <w:rPr>
            <w:sz w:val="24"/>
            <w:color w:val="0000ff"/>
          </w:rPr>
          <w:t xml:space="preserve">9.1</w:t>
        </w:r>
      </w:hyperlink>
      <w:r>
        <w:rPr>
          <w:sz w:val="24"/>
        </w:rPr>
        <w:t xml:space="preserve">). Над указанной площадкой и на расстоянии менее 5 м от нее запрещается размещение антенн, электропроводов, кабелей.</w:t>
      </w:r>
    </w:p>
    <w:p>
      <w:pPr>
        <w:pStyle w:val="0"/>
        <w:jc w:val="both"/>
      </w:pPr>
      <w:r>
        <w:rPr>
          <w:sz w:val="24"/>
        </w:rPr>
        <w:t xml:space="preserve">(п. 9.2 в ред. </w:t>
      </w:r>
      <w:hyperlink w:history="0" r:id="rId219"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9.3 Объектовые пункты пожаротушения должны располагаться в нижних этажах каждого пожарного отсека надземной части здания. Их оснащение определяется на стадии разработки документа предварительного планирования действий по тушению пожаров и проведению аварийно-спасательных работ.</w:t>
      </w:r>
    </w:p>
    <w:p>
      <w:pPr>
        <w:pStyle w:val="0"/>
        <w:jc w:val="both"/>
      </w:pPr>
      <w:r>
        <w:rPr>
          <w:sz w:val="24"/>
        </w:rPr>
        <w:t xml:space="preserve">(в ред. </w:t>
      </w:r>
      <w:hyperlink w:history="0" r:id="rId220"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Объектовые пункты пожаротушения, расположенные на первых этажах зданий, должны располагаться смежно с помещением пожарного поста (диспетчерской). Объектовые пункты пожаротушения для хранения комплектов резервного противопожарного оборудования (первичных средств пожаротушения, средств индивидуальной защиты, спасательных устройств и другого пожарно-технического вооружения) должны размещаться на первых этажах зданий вблизи от эвакуационных лестничных клеток или выходов из лифтов для транспортирования пожарных подразделений в специальном помещении достаточной площади.</w:t>
      </w:r>
    </w:p>
    <w:p>
      <w:pPr>
        <w:pStyle w:val="0"/>
        <w:jc w:val="both"/>
      </w:pPr>
      <w:r>
        <w:rPr>
          <w:sz w:val="24"/>
        </w:rPr>
        <w:t xml:space="preserve">(в ред. </w:t>
      </w:r>
      <w:hyperlink w:history="0" r:id="rId221"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Объектовые пункты пожаротушения, расположенные в пожарных отсеках, должны размещаться на расстоянии не более 30 м от незадымляемых лестничных клеток типа Н2 или Н3 или лифта для транспортирования пожарных подразделений.</w:t>
      </w:r>
    </w:p>
    <w:p>
      <w:pPr>
        <w:pStyle w:val="0"/>
        <w:spacing w:before="240" w:lineRule="auto"/>
        <w:ind w:firstLine="540"/>
        <w:jc w:val="both"/>
      </w:pPr>
      <w:r>
        <w:rPr>
          <w:sz w:val="24"/>
        </w:rPr>
        <w:t xml:space="preserve">Допускается устройство объектовых пунктов пожаротушения в помещениях БЗ при условии соблюдения требований </w:t>
      </w:r>
      <w:hyperlink w:history="0" r:id="rId222"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jc w:val="both"/>
      </w:pPr>
      <w:r>
        <w:rPr>
          <w:sz w:val="24"/>
        </w:rPr>
        <w:t xml:space="preserve">(в ред. </w:t>
      </w:r>
      <w:hyperlink w:history="0" r:id="rId223"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9.4 Проезды и подъезды к высотным зданиям, комплексам должны предусматриваться с учетом следующих требований:</w:t>
      </w:r>
    </w:p>
    <w:p>
      <w:pPr>
        <w:pStyle w:val="0"/>
        <w:spacing w:before="240" w:lineRule="auto"/>
        <w:ind w:firstLine="540"/>
        <w:jc w:val="both"/>
      </w:pPr>
      <w:r>
        <w:rPr>
          <w:sz w:val="24"/>
        </w:rPr>
        <w:t xml:space="preserve">- подъезд мобильных средств пожаротушения должен быть обеспечен со всех сторон высотного здания, комплекса, включая размеры его встроенно-пристроенной части (стилобата);</w:t>
      </w:r>
    </w:p>
    <w:p>
      <w:pPr>
        <w:pStyle w:val="0"/>
        <w:spacing w:before="240" w:lineRule="auto"/>
        <w:ind w:firstLine="540"/>
        <w:jc w:val="both"/>
      </w:pPr>
      <w:r>
        <w:rPr>
          <w:sz w:val="24"/>
        </w:rPr>
        <w:t xml:space="preserve">- устройство площадок для мобильных средств пожаротушения, обозначенных соответствующей разметкой и не допускающих размещение других видов автотранспортных средств;</w:t>
      </w:r>
    </w:p>
    <w:p>
      <w:pPr>
        <w:pStyle w:val="0"/>
        <w:spacing w:before="240" w:lineRule="auto"/>
        <w:ind w:firstLine="540"/>
        <w:jc w:val="both"/>
      </w:pPr>
      <w:r>
        <w:rPr>
          <w:sz w:val="24"/>
        </w:rPr>
        <w:t xml:space="preserve">- расстановка мобильных средств пожаротушения должна обеспечивать согласно требованиям </w:t>
      </w:r>
      <w:hyperlink w:history="0" w:anchor="P59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ПТП доступ личного состава в любое помещение здания (с учетом тактико-технических характеристик таких средств) для спасения людей, а также доставки средств пожаротушения.</w:t>
      </w:r>
    </w:p>
    <w:p>
      <w:pPr>
        <w:pStyle w:val="0"/>
        <w:jc w:val="both"/>
      </w:pPr>
      <w:r>
        <w:rPr>
          <w:sz w:val="24"/>
        </w:rPr>
        <w:t xml:space="preserve">(п. 9.4 в ред. </w:t>
      </w:r>
      <w:hyperlink w:history="0" r:id="rId224"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jc w:val="both"/>
      </w:pPr>
      <w:r>
        <w:rPr>
          <w:sz w:val="24"/>
        </w:rPr>
      </w:r>
    </w:p>
    <w:p>
      <w:pPr>
        <w:pStyle w:val="2"/>
        <w:outlineLvl w:val="1"/>
        <w:ind w:firstLine="540"/>
        <w:jc w:val="both"/>
      </w:pPr>
      <w:r>
        <w:rPr>
          <w:sz w:val="24"/>
          <w:b w:val="on"/>
        </w:rPr>
        <w:t xml:space="preserve">10 Требования к комплексу организационно-технических мероприятий по обеспечению пожарной безопасности</w:t>
      </w:r>
    </w:p>
    <w:p>
      <w:pPr>
        <w:pStyle w:val="0"/>
        <w:spacing w:before="240" w:lineRule="auto"/>
        <w:ind w:firstLine="540"/>
        <w:jc w:val="both"/>
      </w:pPr>
      <w:r>
        <w:rPr>
          <w:sz w:val="24"/>
        </w:rPr>
        <w:t xml:space="preserve">10.1 Для высотного здания, комплекса следует разрабатывать и согласовывать в установленном порядке ПТП (раздел "Расстановка пожарных подъемных механизмов").</w:t>
      </w:r>
    </w:p>
    <w:p>
      <w:pPr>
        <w:pStyle w:val="0"/>
        <w:spacing w:before="240" w:lineRule="auto"/>
        <w:ind w:firstLine="540"/>
        <w:jc w:val="both"/>
      </w:pPr>
      <w:r>
        <w:rPr>
          <w:sz w:val="24"/>
        </w:rPr>
        <w:t xml:space="preserve">10.2 Состав организационно-технических мероприятий по обеспечению пожарной безопасности:</w:t>
      </w:r>
    </w:p>
    <w:p>
      <w:pPr>
        <w:pStyle w:val="0"/>
        <w:spacing w:before="240" w:lineRule="auto"/>
        <w:ind w:firstLine="540"/>
        <w:jc w:val="both"/>
      </w:pPr>
      <w:r>
        <w:rPr>
          <w:sz w:val="24"/>
        </w:rPr>
        <w:t xml:space="preserve">- применение продукции, имеющей декларацию о соответствии или документ оценки соответствия;</w:t>
      </w:r>
    </w:p>
    <w:p>
      <w:pPr>
        <w:pStyle w:val="0"/>
        <w:spacing w:before="240" w:lineRule="auto"/>
        <w:ind w:firstLine="540"/>
        <w:jc w:val="both"/>
      </w:pPr>
      <w:r>
        <w:rPr>
          <w:sz w:val="24"/>
        </w:rPr>
        <w:t xml:space="preserve">- наличие исполнительной документации;</w:t>
      </w:r>
    </w:p>
    <w:p>
      <w:pPr>
        <w:pStyle w:val="0"/>
        <w:spacing w:before="240" w:lineRule="auto"/>
        <w:ind w:firstLine="540"/>
        <w:jc w:val="both"/>
      </w:pPr>
      <w:r>
        <w:rPr>
          <w:sz w:val="24"/>
        </w:rPr>
        <w:t xml:space="preserve">- соблюдение правил противопожарного режима </w:t>
      </w:r>
      <w:hyperlink w:history="0" w:anchor="P599" w:tooltip="[3] Постановление Правительства Российской Федерации от 16 сентября 2020 г. N 1479 &quot;Об утверждении Правил противопожарного режима в Российской Федерации&quot;.">
        <w:r>
          <w:rPr>
            <w:sz w:val="24"/>
            <w:color w:val="0000ff"/>
          </w:rPr>
          <w:t xml:space="preserve">[3]</w:t>
        </w:r>
      </w:hyperlink>
      <w:r>
        <w:rPr>
          <w:sz w:val="24"/>
        </w:rPr>
        <w:t xml:space="preserve">;</w:t>
      </w:r>
    </w:p>
    <w:p>
      <w:pPr>
        <w:pStyle w:val="0"/>
        <w:spacing w:before="240" w:lineRule="auto"/>
        <w:ind w:firstLine="540"/>
        <w:jc w:val="both"/>
      </w:pPr>
      <w:r>
        <w:rPr>
          <w:sz w:val="24"/>
        </w:rPr>
        <w:t xml:space="preserve">- обеспечение объекта огнетушителями с двукратным запасом согласно </w:t>
      </w:r>
      <w:hyperlink w:history="0" w:anchor="P599" w:tooltip="[3] Постановление Правительства Российской Федерации от 16 сентября 2020 г. N 1479 &quot;Об утверждении Правил противопожарного режима в Российской Федерации&quot;.">
        <w:r>
          <w:rPr>
            <w:sz w:val="24"/>
            <w:color w:val="0000ff"/>
          </w:rPr>
          <w:t xml:space="preserve">[3]</w:t>
        </w:r>
      </w:hyperlink>
      <w:r>
        <w:rPr>
          <w:sz w:val="24"/>
        </w:rPr>
        <w:t xml:space="preserve">;</w:t>
      </w:r>
    </w:p>
    <w:p>
      <w:pPr>
        <w:pStyle w:val="0"/>
        <w:spacing w:before="240" w:lineRule="auto"/>
        <w:ind w:firstLine="540"/>
        <w:jc w:val="both"/>
      </w:pPr>
      <w:r>
        <w:rPr>
          <w:sz w:val="24"/>
        </w:rPr>
        <w:t xml:space="preserve">- исключено с 03.09.2024. - </w:t>
      </w:r>
      <w:hyperlink w:history="0" r:id="rId225"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Изменение N 1</w:t>
        </w:r>
      </w:hyperlink>
      <w:r>
        <w:rPr>
          <w:sz w:val="24"/>
        </w:rPr>
        <w:t xml:space="preserve">, утв. Приказом Минстроя России от 02.08.2024 N 507/пр;</w:t>
      </w:r>
    </w:p>
    <w:p>
      <w:pPr>
        <w:pStyle w:val="0"/>
        <w:spacing w:before="240" w:lineRule="auto"/>
        <w:ind w:firstLine="540"/>
        <w:jc w:val="both"/>
      </w:pPr>
      <w:r>
        <w:rPr>
          <w:sz w:val="24"/>
        </w:rPr>
        <w:t xml:space="preserve">- ведение журнала технической эксплуатации здания со сведениями о техническом обслуживании, ремонте, включая СПЗ;</w:t>
      </w:r>
    </w:p>
    <w:p>
      <w:pPr>
        <w:pStyle w:val="0"/>
        <w:spacing w:before="240" w:lineRule="auto"/>
        <w:ind w:firstLine="540"/>
        <w:jc w:val="both"/>
      </w:pPr>
      <w:r>
        <w:rPr>
          <w:sz w:val="24"/>
        </w:rPr>
        <w:t xml:space="preserve">- обучение мерам пожарной безопасности, а также проведение не реже одного раза в полугодие практических тренировок по отработке действий персонала при эвакуации и спасении людей в случае пожара.</w:t>
      </w:r>
    </w:p>
    <w:p>
      <w:pPr>
        <w:pStyle w:val="0"/>
        <w:spacing w:before="240" w:lineRule="auto"/>
        <w:ind w:firstLine="540"/>
        <w:jc w:val="both"/>
      </w:pPr>
      <w:r>
        <w:rPr>
          <w:sz w:val="24"/>
        </w:rPr>
        <w:t xml:space="preserve">10.3 На планах эвакуации должны быть указаны места размещения БЗ, индивидуальных средств защиты людей при пожаре и их спасения с высотных уровней, пути подхода к таким средствам, их количество и порядок использования.</w:t>
      </w:r>
    </w:p>
    <w:p>
      <w:pPr>
        <w:pStyle w:val="0"/>
        <w:jc w:val="both"/>
      </w:pPr>
      <w:r>
        <w:rPr>
          <w:sz w:val="24"/>
        </w:rPr>
        <w:t xml:space="preserve">(п. 10.3 в ред. </w:t>
      </w:r>
      <w:hyperlink w:history="0" r:id="rId226"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 Минстроя России от 02.08.2024 N 507/пр)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592" w:name="P592"/>
    <w:bookmarkEnd w:id="592"/>
    <w:p>
      <w:pPr>
        <w:pStyle w:val="2"/>
        <w:outlineLvl w:val="0"/>
        <w:jc w:val="center"/>
      </w:pPr>
      <w:r>
        <w:rPr>
          <w:sz w:val="24"/>
          <w:b w:val="on"/>
        </w:rPr>
        <w:t xml:space="preserve">БИБЛИОГРАФИЯ</w:t>
      </w:r>
    </w:p>
    <w:p>
      <w:pPr>
        <w:pStyle w:val="0"/>
        <w:jc w:val="center"/>
      </w:pPr>
      <w:r>
        <w:rPr>
          <w:sz w:val="24"/>
        </w:rPr>
      </w:r>
    </w:p>
    <w:p>
      <w:pPr>
        <w:pStyle w:val="0"/>
        <w:jc w:val="center"/>
      </w:pPr>
      <w:r>
        <w:rPr>
          <w:sz w:val="24"/>
        </w:rPr>
        <w:t xml:space="preserve">(раздел в ред. </w:t>
      </w:r>
      <w:hyperlink w:history="0" r:id="rId227" w:tooltip="&quot;Изменение N 1 к СП 477.1325800.2020 &quot;Здания и комплексы высотные. Требования пожарной безопасности&quot; (утв. и введено в действие Приказом Минстроя России от 02.08.2024 N 507/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02.08.2024 N 507/пр)</w:t>
      </w:r>
    </w:p>
    <w:p>
      <w:pPr>
        <w:pStyle w:val="0"/>
        <w:jc w:val="both"/>
      </w:pPr>
      <w:r>
        <w:rPr>
          <w:sz w:val="24"/>
        </w:rPr>
      </w:r>
    </w:p>
    <w:bookmarkStart w:id="597" w:name="P597"/>
    <w:bookmarkEnd w:id="597"/>
    <w:p>
      <w:pPr>
        <w:pStyle w:val="0"/>
        <w:ind w:firstLine="540"/>
        <w:jc w:val="both"/>
      </w:pPr>
      <w:r>
        <w:rPr>
          <w:sz w:val="24"/>
        </w:rPr>
        <w:t xml:space="preserve">[1] Федеральный </w:t>
      </w:r>
      <w:hyperlink w:history="0" r:id="rId228"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598" w:name="P598"/>
    <w:bookmarkEnd w:id="598"/>
    <w:p>
      <w:pPr>
        <w:pStyle w:val="0"/>
        <w:spacing w:before="240" w:lineRule="auto"/>
        <w:ind w:firstLine="540"/>
        <w:jc w:val="both"/>
      </w:pPr>
      <w:r>
        <w:rPr>
          <w:sz w:val="24"/>
        </w:rPr>
        <w:t xml:space="preserve">[2] Федеральный </w:t>
      </w:r>
      <w:hyperlink w:history="0" r:id="rId22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599" w:name="P599"/>
    <w:bookmarkEnd w:id="599"/>
    <w:p>
      <w:pPr>
        <w:pStyle w:val="0"/>
        <w:spacing w:before="240" w:lineRule="auto"/>
        <w:ind w:firstLine="540"/>
        <w:jc w:val="both"/>
      </w:pPr>
      <w:r>
        <w:rPr>
          <w:sz w:val="24"/>
        </w:rPr>
        <w:t xml:space="preserve">[3] </w:t>
      </w:r>
      <w:hyperlink w:history="0" r:id="rId230"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Российской Федерации от 16 сентября 2020 г. N 1479 "Об утверждении Правил противопожарного режима в Российской Федерации".</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477.1325800.2020. Свод правил. Здания и комплексы высотные. Требования пожарной безопасности"</w:t>
            <w:br/>
            <w:t>(утв. и введен в дейст...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50116&amp;date=03.04.2026" TargetMode = "External"/><Relationship Id="rId9" Type="http://schemas.openxmlformats.org/officeDocument/2006/relationships/hyperlink" Target="https://login.consultant.ru/link/?req=doc&amp;base=STR&amp;n=33922&amp;date=03.04.2026&amp;dst=100009&amp;field=134" TargetMode = "External"/><Relationship Id="rId10" Type="http://schemas.openxmlformats.org/officeDocument/2006/relationships/hyperlink" Target="https://login.consultant.ru/link/?req=doc&amp;base=LAW&amp;n=485353&amp;date=03.04.2026&amp;dst=100005&amp;field=134" TargetMode = "External"/><Relationship Id="rId11" Type="http://schemas.openxmlformats.org/officeDocument/2006/relationships/hyperlink" Target="https://login.consultant.ru/link/?req=doc&amp;base=LAW&amp;n=350116&amp;date=03.04.2026&amp;dst=100005&amp;field=134" TargetMode = "External"/><Relationship Id="rId12" Type="http://schemas.openxmlformats.org/officeDocument/2006/relationships/hyperlink" Target="https://login.consultant.ru/link/?req=doc&amp;base=LAW&amp;n=471020&amp;date=03.04.2026" TargetMode = "External"/><Relationship Id="rId13" Type="http://schemas.openxmlformats.org/officeDocument/2006/relationships/hyperlink" Target="https://login.consultant.ru/link/?req=doc&amp;base=LAW&amp;n=511695&amp;date=03.04.2026" TargetMode = "External"/><Relationship Id="rId14" Type="http://schemas.openxmlformats.org/officeDocument/2006/relationships/hyperlink" Target="https://login.consultant.ru/link/?req=doc&amp;base=STR&amp;n=35712&amp;date=03.04.2026" TargetMode = "External"/><Relationship Id="rId15" Type="http://schemas.openxmlformats.org/officeDocument/2006/relationships/hyperlink" Target="https://login.consultant.ru/link/?req=doc&amp;base=STR&amp;n=34980&amp;date=03.04.2026" TargetMode = "External"/><Relationship Id="rId16" Type="http://schemas.openxmlformats.org/officeDocument/2006/relationships/hyperlink" Target="https://login.consultant.ru/link/?req=doc&amp;base=STR&amp;n=33922&amp;date=03.04.2026&amp;dst=100009&amp;field=134" TargetMode = "External"/><Relationship Id="rId17" Type="http://schemas.openxmlformats.org/officeDocument/2006/relationships/hyperlink" Target="https://login.consultant.ru/link/?req=doc&amp;base=STR&amp;n=33922&amp;date=03.04.2026&amp;dst=100012&amp;field=134" TargetMode = "External"/><Relationship Id="rId18" Type="http://schemas.openxmlformats.org/officeDocument/2006/relationships/hyperlink" Target="https://login.consultant.ru/link/?req=doc&amp;base=STR&amp;n=33922&amp;date=03.04.2026&amp;dst=100014&amp;field=134" TargetMode = "External"/><Relationship Id="rId19" Type="http://schemas.openxmlformats.org/officeDocument/2006/relationships/hyperlink" Target="https://login.consultant.ru/link/?req=doc&amp;base=STR&amp;n=24753&amp;date=03.04.2026" TargetMode = "External"/><Relationship Id="rId20" Type="http://schemas.openxmlformats.org/officeDocument/2006/relationships/hyperlink" Target="https://login.consultant.ru/link/?req=doc&amp;base=STR&amp;n=23325&amp;date=03.04.2026" TargetMode = "External"/><Relationship Id="rId21" Type="http://schemas.openxmlformats.org/officeDocument/2006/relationships/hyperlink" Target="https://login.consultant.ru/link/?req=doc&amp;base=STR&amp;n=28692&amp;date=03.04.2026" TargetMode = "External"/><Relationship Id="rId22" Type="http://schemas.openxmlformats.org/officeDocument/2006/relationships/hyperlink" Target="https://login.consultant.ru/link/?req=doc&amp;base=STR&amp;n=11301&amp;date=03.04.2026" TargetMode = "External"/><Relationship Id="rId23" Type="http://schemas.openxmlformats.org/officeDocument/2006/relationships/hyperlink" Target="https://login.consultant.ru/link/?req=doc&amp;base=STR&amp;n=11452&amp;date=03.04.2026" TargetMode = "External"/><Relationship Id="rId24" Type="http://schemas.openxmlformats.org/officeDocument/2006/relationships/hyperlink" Target="https://login.consultant.ru/link/?req=doc&amp;base=STR&amp;n=11118&amp;date=03.04.2026" TargetMode = "External"/><Relationship Id="rId25" Type="http://schemas.openxmlformats.org/officeDocument/2006/relationships/hyperlink" Target="https://login.consultant.ru/link/?req=doc&amp;base=OTN&amp;n=26056&amp;date=03.04.2026" TargetMode = "External"/><Relationship Id="rId26" Type="http://schemas.openxmlformats.org/officeDocument/2006/relationships/hyperlink" Target="https://login.consultant.ru/link/?req=doc&amp;base=STR&amp;n=11119&amp;date=03.04.2026" TargetMode = "External"/><Relationship Id="rId27" Type="http://schemas.openxmlformats.org/officeDocument/2006/relationships/hyperlink" Target="https://login.consultant.ru/link/?req=doc&amp;base=STR&amp;n=11991&amp;date=03.04.2026" TargetMode = "External"/><Relationship Id="rId28" Type="http://schemas.openxmlformats.org/officeDocument/2006/relationships/hyperlink" Target="https://login.consultant.ru/link/?req=doc&amp;base=LAW&amp;n=512178&amp;date=03.04.2026&amp;dst=100013&amp;field=134" TargetMode = "External"/><Relationship Id="rId29" Type="http://schemas.openxmlformats.org/officeDocument/2006/relationships/hyperlink" Target="https://login.consultant.ru/link/?req=doc&amp;base=LAW&amp;n=518761&amp;date=03.04.2026&amp;dst=100012&amp;field=134" TargetMode = "External"/><Relationship Id="rId30" Type="http://schemas.openxmlformats.org/officeDocument/2006/relationships/hyperlink" Target="https://login.consultant.ru/link/?req=doc&amp;base=STR&amp;n=10670&amp;date=03.04.2026" TargetMode = "External"/><Relationship Id="rId31" Type="http://schemas.openxmlformats.org/officeDocument/2006/relationships/hyperlink" Target="https://login.consultant.ru/link/?req=doc&amp;base=LAW&amp;n=384323&amp;date=03.04.2026&amp;dst=100014&amp;field=134" TargetMode = "External"/><Relationship Id="rId32" Type="http://schemas.openxmlformats.org/officeDocument/2006/relationships/hyperlink" Target="https://login.consultant.ru/link/?req=doc&amp;base=STR&amp;n=25034&amp;date=03.04.2026" TargetMode = "External"/><Relationship Id="rId33" Type="http://schemas.openxmlformats.org/officeDocument/2006/relationships/hyperlink" Target="https://login.consultant.ru/link/?req=doc&amp;base=LAW&amp;n=471819&amp;date=03.04.2026&amp;dst=100013&amp;field=134" TargetMode = "External"/><Relationship Id="rId34" Type="http://schemas.openxmlformats.org/officeDocument/2006/relationships/hyperlink" Target="https://login.consultant.ru/link/?req=doc&amp;base=LAW&amp;n=365651&amp;date=03.04.2026&amp;dst=100014&amp;field=134" TargetMode = "External"/><Relationship Id="rId35" Type="http://schemas.openxmlformats.org/officeDocument/2006/relationships/hyperlink" Target="https://login.consultant.ru/link/?req=doc&amp;base=STR&amp;n=34915&amp;date=03.04.2026" TargetMode = "External"/><Relationship Id="rId36" Type="http://schemas.openxmlformats.org/officeDocument/2006/relationships/hyperlink" Target="https://login.consultant.ru/link/?req=doc&amp;base=STR&amp;n=34931&amp;date=03.04.2026" TargetMode = "External"/><Relationship Id="rId37" Type="http://schemas.openxmlformats.org/officeDocument/2006/relationships/hyperlink" Target="https://login.consultant.ru/link/?req=doc&amp;base=STR&amp;n=36788&amp;date=03.04.2026" TargetMode = "External"/><Relationship Id="rId38" Type="http://schemas.openxmlformats.org/officeDocument/2006/relationships/hyperlink" Target="https://login.consultant.ru/link/?req=doc&amp;base=STR&amp;n=28577&amp;date=03.04.2026" TargetMode = "External"/><Relationship Id="rId39" Type="http://schemas.openxmlformats.org/officeDocument/2006/relationships/hyperlink" Target="https://login.consultant.ru/link/?req=doc&amp;base=STR&amp;n=34820&amp;date=03.04.2026" TargetMode = "External"/><Relationship Id="rId40" Type="http://schemas.openxmlformats.org/officeDocument/2006/relationships/hyperlink" Target="https://login.consultant.ru/link/?req=doc&amp;base=STR&amp;n=34995&amp;date=03.04.2026" TargetMode = "External"/><Relationship Id="rId41" Type="http://schemas.openxmlformats.org/officeDocument/2006/relationships/hyperlink" Target="https://login.consultant.ru/link/?req=doc&amp;base=STR&amp;n=36793&amp;date=03.04.2026" TargetMode = "External"/><Relationship Id="rId42" Type="http://schemas.openxmlformats.org/officeDocument/2006/relationships/hyperlink" Target="https://login.consultant.ru/link/?req=doc&amp;base=STR&amp;n=34858&amp;date=03.04.2026" TargetMode = "External"/><Relationship Id="rId43" Type="http://schemas.openxmlformats.org/officeDocument/2006/relationships/hyperlink" Target="https://login.consultant.ru/link/?req=doc&amp;base=STR&amp;n=34910&amp;date=03.04.2026" TargetMode = "External"/><Relationship Id="rId44" Type="http://schemas.openxmlformats.org/officeDocument/2006/relationships/hyperlink" Target="https://login.consultant.ru/link/?req=doc&amp;base=STR&amp;n=35712&amp;date=03.04.2026" TargetMode = "External"/><Relationship Id="rId45" Type="http://schemas.openxmlformats.org/officeDocument/2006/relationships/hyperlink" Target="https://login.consultant.ru/link/?req=doc&amp;base=STR&amp;n=36797&amp;date=03.04.2026" TargetMode = "External"/><Relationship Id="rId46" Type="http://schemas.openxmlformats.org/officeDocument/2006/relationships/hyperlink" Target="https://login.consultant.ru/link/?req=doc&amp;base=STR&amp;n=34980&amp;date=03.04.2026" TargetMode = "External"/><Relationship Id="rId47" Type="http://schemas.openxmlformats.org/officeDocument/2006/relationships/hyperlink" Target="https://login.consultant.ru/link/?req=doc&amp;base=LAW&amp;n=502595&amp;date=03.04.2026&amp;dst=100012&amp;field=134" TargetMode = "External"/><Relationship Id="rId48" Type="http://schemas.openxmlformats.org/officeDocument/2006/relationships/hyperlink" Target="https://login.consultant.ru/link/?req=doc&amp;base=LAW&amp;n=524773&amp;date=03.04.2026&amp;dst=100014&amp;field=134" TargetMode = "External"/><Relationship Id="rId49" Type="http://schemas.openxmlformats.org/officeDocument/2006/relationships/hyperlink" Target="https://login.consultant.ru/link/?req=doc&amp;base=LAW&amp;n=507905&amp;date=03.04.2026&amp;dst=100013&amp;field=134" TargetMode = "External"/><Relationship Id="rId50" Type="http://schemas.openxmlformats.org/officeDocument/2006/relationships/hyperlink" Target="https://login.consultant.ru/link/?req=doc&amp;base=STR&amp;n=30480&amp;date=03.04.2026" TargetMode = "External"/><Relationship Id="rId51" Type="http://schemas.openxmlformats.org/officeDocument/2006/relationships/hyperlink" Target="https://login.consultant.ru/link/?req=doc&amp;base=STR&amp;n=33922&amp;date=03.04.2026&amp;dst=100051&amp;field=134" TargetMode = "External"/><Relationship Id="rId52" Type="http://schemas.openxmlformats.org/officeDocument/2006/relationships/hyperlink" Target="https://login.consultant.ru/link/?req=doc&amp;base=STR&amp;n=34980&amp;date=03.04.2026" TargetMode = "External"/><Relationship Id="rId53" Type="http://schemas.openxmlformats.org/officeDocument/2006/relationships/hyperlink" Target="https://login.consultant.ru/link/?req=doc&amp;base=STR&amp;n=34858&amp;date=03.04.2026&amp;dst=100150&amp;field=134" TargetMode = "External"/><Relationship Id="rId54" Type="http://schemas.openxmlformats.org/officeDocument/2006/relationships/hyperlink" Target="https://login.consultant.ru/link/?req=doc&amp;base=LAW&amp;n=512178&amp;date=03.04.2026&amp;dst=100013&amp;field=134" TargetMode = "External"/><Relationship Id="rId55" Type="http://schemas.openxmlformats.org/officeDocument/2006/relationships/hyperlink" Target="https://login.consultant.ru/link/?req=doc&amp;base=STR&amp;n=34980&amp;date=03.04.2026&amp;dst=100171&amp;field=134" TargetMode = "External"/><Relationship Id="rId56" Type="http://schemas.openxmlformats.org/officeDocument/2006/relationships/hyperlink" Target="https://login.consultant.ru/link/?req=doc&amp;base=LAW&amp;n=511695&amp;date=03.04.2026&amp;dst=46&amp;field=134" TargetMode = "External"/><Relationship Id="rId57" Type="http://schemas.openxmlformats.org/officeDocument/2006/relationships/hyperlink" Target="https://login.consultant.ru/link/?req=doc&amp;base=LAW&amp;n=511695&amp;date=03.04.2026&amp;dst=101944&amp;field=134" TargetMode = "External"/><Relationship Id="rId58" Type="http://schemas.openxmlformats.org/officeDocument/2006/relationships/hyperlink" Target="https://login.consultant.ru/link/?req=doc&amp;base=LAW&amp;n=511695&amp;date=03.04.2026&amp;dst=100060&amp;field=134" TargetMode = "External"/><Relationship Id="rId59" Type="http://schemas.openxmlformats.org/officeDocument/2006/relationships/hyperlink" Target="https://login.consultant.ru/link/?req=doc&amp;base=LAW&amp;n=511695&amp;date=03.04.2026&amp;dst=100067&amp;field=134" TargetMode = "External"/><Relationship Id="rId60" Type="http://schemas.openxmlformats.org/officeDocument/2006/relationships/hyperlink" Target="https://login.consultant.ru/link/?req=doc&amp;base=LAW&amp;n=511695&amp;date=03.04.2026&amp;dst=100068&amp;field=134" TargetMode = "External"/><Relationship Id="rId61" Type="http://schemas.openxmlformats.org/officeDocument/2006/relationships/hyperlink" Target="https://login.consultant.ru/link/?req=doc&amp;base=LAW&amp;n=511695&amp;date=03.04.2026&amp;dst=54&amp;field=134" TargetMode = "External"/><Relationship Id="rId62" Type="http://schemas.openxmlformats.org/officeDocument/2006/relationships/hyperlink" Target="https://login.consultant.ru/link/?req=doc&amp;base=STR&amp;n=33922&amp;date=03.04.2026&amp;dst=100088&amp;field=134" TargetMode = "External"/><Relationship Id="rId63" Type="http://schemas.openxmlformats.org/officeDocument/2006/relationships/hyperlink" Target="https://login.consultant.ru/link/?req=doc&amp;base=STR&amp;n=33922&amp;date=03.04.2026&amp;dst=100088&amp;field=134" TargetMode = "External"/><Relationship Id="rId64" Type="http://schemas.openxmlformats.org/officeDocument/2006/relationships/hyperlink" Target="https://login.consultant.ru/link/?req=doc&amp;base=STR&amp;n=33922&amp;date=03.04.2026&amp;dst=100092&amp;field=134" TargetMode = "External"/><Relationship Id="rId65" Type="http://schemas.openxmlformats.org/officeDocument/2006/relationships/hyperlink" Target="https://login.consultant.ru/link/?req=doc&amp;base=STR&amp;n=33922&amp;date=03.04.2026&amp;dst=100088&amp;field=134" TargetMode = "External"/><Relationship Id="rId66" Type="http://schemas.openxmlformats.org/officeDocument/2006/relationships/hyperlink" Target="https://login.consultant.ru/link/?req=doc&amp;base=STR&amp;n=33922&amp;date=03.04.2026&amp;dst=100094&amp;field=134" TargetMode = "External"/><Relationship Id="rId67" Type="http://schemas.openxmlformats.org/officeDocument/2006/relationships/hyperlink" Target="https://login.consultant.ru/link/?req=doc&amp;base=STR&amp;n=33922&amp;date=03.04.2026&amp;dst=100094&amp;field=134" TargetMode = "External"/><Relationship Id="rId68" Type="http://schemas.openxmlformats.org/officeDocument/2006/relationships/hyperlink" Target="https://login.consultant.ru/link/?req=doc&amp;base=STR&amp;n=33922&amp;date=03.04.2026&amp;dst=100097&amp;field=134" TargetMode = "External"/><Relationship Id="rId69" Type="http://schemas.openxmlformats.org/officeDocument/2006/relationships/hyperlink" Target="https://login.consultant.ru/link/?req=doc&amp;base=STR&amp;n=33922&amp;date=03.04.2026&amp;dst=100102&amp;field=134" TargetMode = "External"/><Relationship Id="rId70" Type="http://schemas.openxmlformats.org/officeDocument/2006/relationships/hyperlink" Target="https://login.consultant.ru/link/?req=doc&amp;base=LAW&amp;n=512178&amp;date=03.04.2026&amp;dst=100013&amp;field=134" TargetMode = "External"/><Relationship Id="rId71" Type="http://schemas.openxmlformats.org/officeDocument/2006/relationships/hyperlink" Target="https://login.consultant.ru/link/?req=doc&amp;base=LAW&amp;n=518761&amp;date=03.04.2026&amp;dst=100012&amp;field=134" TargetMode = "External"/><Relationship Id="rId72" Type="http://schemas.openxmlformats.org/officeDocument/2006/relationships/hyperlink" Target="https://login.consultant.ru/link/?req=doc&amp;base=STR&amp;n=33922&amp;date=03.04.2026&amp;dst=100103&amp;field=134" TargetMode = "External"/><Relationship Id="rId73" Type="http://schemas.openxmlformats.org/officeDocument/2006/relationships/hyperlink" Target="https://login.consultant.ru/link/?req=doc&amp;base=STR&amp;n=33922&amp;date=03.04.2026&amp;dst=100105&amp;field=134" TargetMode = "External"/><Relationship Id="rId74" Type="http://schemas.openxmlformats.org/officeDocument/2006/relationships/hyperlink" Target="https://login.consultant.ru/link/?req=doc&amp;base=STR&amp;n=34858&amp;date=03.04.2026" TargetMode = "External"/><Relationship Id="rId75" Type="http://schemas.openxmlformats.org/officeDocument/2006/relationships/hyperlink" Target="https://login.consultant.ru/link/?req=doc&amp;base=STR&amp;n=34910&amp;date=03.04.2026" TargetMode = "External"/><Relationship Id="rId76" Type="http://schemas.openxmlformats.org/officeDocument/2006/relationships/hyperlink" Target="https://login.consultant.ru/link/?req=doc&amp;base=STR&amp;n=33922&amp;date=03.04.2026&amp;dst=100107&amp;field=134" TargetMode = "External"/><Relationship Id="rId77" Type="http://schemas.openxmlformats.org/officeDocument/2006/relationships/hyperlink" Target="https://login.consultant.ru/link/?req=doc&amp;base=STR&amp;n=34915&amp;date=03.04.2026" TargetMode = "External"/><Relationship Id="rId78" Type="http://schemas.openxmlformats.org/officeDocument/2006/relationships/hyperlink" Target="https://login.consultant.ru/link/?req=doc&amp;base=STR&amp;n=33922&amp;date=03.04.2026&amp;dst=100108&amp;field=134" TargetMode = "External"/><Relationship Id="rId79" Type="http://schemas.openxmlformats.org/officeDocument/2006/relationships/hyperlink" Target="https://login.consultant.ru/link/?req=doc&amp;base=STR&amp;n=33922&amp;date=03.04.2026&amp;dst=100109&amp;field=134" TargetMode = "External"/><Relationship Id="rId80" Type="http://schemas.openxmlformats.org/officeDocument/2006/relationships/hyperlink" Target="https://login.consultant.ru/link/?req=doc&amp;base=LAW&amp;n=518761&amp;date=03.04.2026&amp;dst=101121&amp;field=134" TargetMode = "External"/><Relationship Id="rId81" Type="http://schemas.openxmlformats.org/officeDocument/2006/relationships/hyperlink" Target="https://login.consultant.ru/link/?req=doc&amp;base=STR&amp;n=33922&amp;date=03.04.2026&amp;dst=100110&amp;field=134" TargetMode = "External"/><Relationship Id="rId82" Type="http://schemas.openxmlformats.org/officeDocument/2006/relationships/hyperlink" Target="https://login.consultant.ru/link/?req=doc&amp;base=STR&amp;n=33922&amp;date=03.04.2026&amp;dst=100112&amp;field=134" TargetMode = "External"/><Relationship Id="rId83" Type="http://schemas.openxmlformats.org/officeDocument/2006/relationships/hyperlink" Target="https://login.consultant.ru/link/?req=doc&amp;base=STR&amp;n=33922&amp;date=03.04.2026&amp;dst=100112&amp;field=134" TargetMode = "External"/><Relationship Id="rId84" Type="http://schemas.openxmlformats.org/officeDocument/2006/relationships/hyperlink" Target="https://login.consultant.ru/link/?req=doc&amp;base=LAW&amp;n=512178&amp;date=03.04.2026&amp;dst=100013&amp;field=134" TargetMode = "External"/><Relationship Id="rId85" Type="http://schemas.openxmlformats.org/officeDocument/2006/relationships/hyperlink" Target="https://login.consultant.ru/link/?req=doc&amp;base=STR&amp;n=34820&amp;date=03.04.2026" TargetMode = "External"/><Relationship Id="rId86" Type="http://schemas.openxmlformats.org/officeDocument/2006/relationships/hyperlink" Target="https://login.consultant.ru/link/?req=doc&amp;base=STR&amp;n=33922&amp;date=03.04.2026&amp;dst=100113&amp;field=134" TargetMode = "External"/><Relationship Id="rId87" Type="http://schemas.openxmlformats.org/officeDocument/2006/relationships/hyperlink" Target="https://login.consultant.ru/link/?req=doc&amp;base=STR&amp;n=33922&amp;date=03.04.2026&amp;dst=100117&amp;field=134" TargetMode = "External"/><Relationship Id="rId88" Type="http://schemas.openxmlformats.org/officeDocument/2006/relationships/hyperlink" Target="https://login.consultant.ru/link/?req=doc&amp;base=STR&amp;n=33922&amp;date=03.04.2026&amp;dst=100118&amp;field=134" TargetMode = "External"/><Relationship Id="rId89" Type="http://schemas.openxmlformats.org/officeDocument/2006/relationships/hyperlink" Target="https://login.consultant.ru/link/?req=doc&amp;base=STR&amp;n=33922&amp;date=03.04.2026&amp;dst=100118&amp;field=134" TargetMode = "External"/><Relationship Id="rId90" Type="http://schemas.openxmlformats.org/officeDocument/2006/relationships/hyperlink" Target="https://login.consultant.ru/link/?req=doc&amp;base=STR&amp;n=33922&amp;date=03.04.2026&amp;dst=100121&amp;field=134" TargetMode = "External"/><Relationship Id="rId91" Type="http://schemas.openxmlformats.org/officeDocument/2006/relationships/hyperlink" Target="https://login.consultant.ru/link/?req=doc&amp;base=STR&amp;n=33922&amp;date=03.04.2026&amp;dst=100121&amp;field=134" TargetMode = "External"/><Relationship Id="rId92" Type="http://schemas.openxmlformats.org/officeDocument/2006/relationships/hyperlink" Target="https://login.consultant.ru/link/?req=doc&amp;base=STR&amp;n=33922&amp;date=03.04.2026&amp;dst=100124&amp;field=134" TargetMode = "External"/><Relationship Id="rId93" Type="http://schemas.openxmlformats.org/officeDocument/2006/relationships/hyperlink" Target="https://login.consultant.ru/link/?req=doc&amp;base=STR&amp;n=33922&amp;date=03.04.2026&amp;dst=100125&amp;field=134" TargetMode = "External"/><Relationship Id="rId94" Type="http://schemas.openxmlformats.org/officeDocument/2006/relationships/hyperlink" Target="https://login.consultant.ru/link/?req=doc&amp;base=STR&amp;n=33922&amp;date=03.04.2026&amp;dst=100126&amp;field=134" TargetMode = "External"/><Relationship Id="rId95" Type="http://schemas.openxmlformats.org/officeDocument/2006/relationships/hyperlink" Target="https://login.consultant.ru/link/?req=doc&amp;base=STR&amp;n=33922&amp;date=03.04.2026&amp;dst=100127&amp;field=134" TargetMode = "External"/><Relationship Id="rId96" Type="http://schemas.openxmlformats.org/officeDocument/2006/relationships/hyperlink" Target="https://login.consultant.ru/link/?req=doc&amp;base=STR&amp;n=33922&amp;date=03.04.2026&amp;dst=100127&amp;field=134" TargetMode = "External"/><Relationship Id="rId97" Type="http://schemas.openxmlformats.org/officeDocument/2006/relationships/hyperlink" Target="https://login.consultant.ru/link/?req=doc&amp;base=LAW&amp;n=524773&amp;date=03.04.2026&amp;dst=100014&amp;field=134" TargetMode = "External"/><Relationship Id="rId98" Type="http://schemas.openxmlformats.org/officeDocument/2006/relationships/hyperlink" Target="https://login.consultant.ru/link/?req=doc&amp;base=STR&amp;n=33922&amp;date=03.04.2026&amp;dst=100128&amp;field=134" TargetMode = "External"/><Relationship Id="rId99" Type="http://schemas.openxmlformats.org/officeDocument/2006/relationships/hyperlink" Target="https://login.consultant.ru/link/?req=doc&amp;base=STR&amp;n=10670&amp;date=03.04.2026" TargetMode = "External"/><Relationship Id="rId100" Type="http://schemas.openxmlformats.org/officeDocument/2006/relationships/hyperlink" Target="https://login.consultant.ru/link/?req=doc&amp;base=LAW&amp;n=384323&amp;date=03.04.2026&amp;dst=100014&amp;field=134" TargetMode = "External"/><Relationship Id="rId101" Type="http://schemas.openxmlformats.org/officeDocument/2006/relationships/hyperlink" Target="https://login.consultant.ru/link/?req=doc&amp;base=STR&amp;n=25034&amp;date=03.04.2026" TargetMode = "External"/><Relationship Id="rId102" Type="http://schemas.openxmlformats.org/officeDocument/2006/relationships/hyperlink" Target="https://login.consultant.ru/link/?req=doc&amp;base=LAW&amp;n=365651&amp;date=03.04.2026&amp;dst=100014&amp;field=134" TargetMode = "External"/><Relationship Id="rId103" Type="http://schemas.openxmlformats.org/officeDocument/2006/relationships/hyperlink" Target="https://login.consultant.ru/link/?req=doc&amp;base=STR&amp;n=34931&amp;date=03.04.2026" TargetMode = "External"/><Relationship Id="rId104" Type="http://schemas.openxmlformats.org/officeDocument/2006/relationships/hyperlink" Target="https://login.consultant.ru/link/?req=doc&amp;base=STR&amp;n=34995&amp;date=03.04.2026" TargetMode = "External"/><Relationship Id="rId105" Type="http://schemas.openxmlformats.org/officeDocument/2006/relationships/hyperlink" Target="https://login.consultant.ru/link/?req=doc&amp;base=STR&amp;n=36793&amp;date=03.04.2026" TargetMode = "External"/><Relationship Id="rId106" Type="http://schemas.openxmlformats.org/officeDocument/2006/relationships/hyperlink" Target="https://login.consultant.ru/link/?req=doc&amp;base=LAW&amp;n=502595&amp;date=03.04.2026&amp;dst=100012&amp;field=134" TargetMode = "External"/><Relationship Id="rId107" Type="http://schemas.openxmlformats.org/officeDocument/2006/relationships/hyperlink" Target="https://login.consultant.ru/link/?req=doc&amp;base=LAW&amp;n=524773&amp;date=03.04.2026&amp;dst=100014&amp;field=134" TargetMode = "External"/><Relationship Id="rId108" Type="http://schemas.openxmlformats.org/officeDocument/2006/relationships/hyperlink" Target="https://login.consultant.ru/link/?req=doc&amp;base=LAW&amp;n=507905&amp;date=03.04.2026&amp;dst=100013&amp;field=134" TargetMode = "External"/><Relationship Id="rId109" Type="http://schemas.openxmlformats.org/officeDocument/2006/relationships/hyperlink" Target="https://login.consultant.ru/link/?req=doc&amp;base=LAW&amp;n=518761&amp;date=03.04.2026&amp;dst=100012&amp;field=134" TargetMode = "External"/><Relationship Id="rId110" Type="http://schemas.openxmlformats.org/officeDocument/2006/relationships/hyperlink" Target="https://login.consultant.ru/link/?req=doc&amp;base=STR&amp;n=33922&amp;date=03.04.2026&amp;dst=100128&amp;field=134" TargetMode = "External"/><Relationship Id="rId111" Type="http://schemas.openxmlformats.org/officeDocument/2006/relationships/hyperlink" Target="https://login.consultant.ru/link/?req=doc&amp;base=LAW&amp;n=518761&amp;date=03.04.2026&amp;dst=100012&amp;field=134" TargetMode = "External"/><Relationship Id="rId112" Type="http://schemas.openxmlformats.org/officeDocument/2006/relationships/hyperlink" Target="https://login.consultant.ru/link/?req=doc&amp;base=STR&amp;n=33922&amp;date=03.04.2026&amp;dst=100135&amp;field=134" TargetMode = "External"/><Relationship Id="rId113" Type="http://schemas.openxmlformats.org/officeDocument/2006/relationships/hyperlink" Target="https://login.consultant.ru/link/?req=doc&amp;base=STR&amp;n=33922&amp;date=03.04.2026&amp;dst=100136&amp;field=134" TargetMode = "External"/><Relationship Id="rId114" Type="http://schemas.openxmlformats.org/officeDocument/2006/relationships/hyperlink" Target="https://login.consultant.ru/link/?req=doc&amp;base=STR&amp;n=33922&amp;date=03.04.2026&amp;dst=100138&amp;field=134" TargetMode = "External"/><Relationship Id="rId115" Type="http://schemas.openxmlformats.org/officeDocument/2006/relationships/hyperlink" Target="https://login.consultant.ru/link/?req=doc&amp;base=STR&amp;n=33922&amp;date=03.04.2026&amp;dst=100140&amp;field=134" TargetMode = "External"/><Relationship Id="rId116" Type="http://schemas.openxmlformats.org/officeDocument/2006/relationships/hyperlink" Target="https://login.consultant.ru/link/?req=doc&amp;base=STR&amp;n=33922&amp;date=03.04.2026&amp;dst=100141&amp;field=134" TargetMode = "External"/><Relationship Id="rId117" Type="http://schemas.openxmlformats.org/officeDocument/2006/relationships/hyperlink" Target="https://login.consultant.ru/link/?req=doc&amp;base=STR&amp;n=33922&amp;date=03.04.2026&amp;dst=100143&amp;field=134" TargetMode = "External"/><Relationship Id="rId118" Type="http://schemas.openxmlformats.org/officeDocument/2006/relationships/hyperlink" Target="https://login.consultant.ru/link/?req=doc&amp;base=LAW&amp;n=518761&amp;date=03.04.2026&amp;dst=100012&amp;field=134" TargetMode = "External"/><Relationship Id="rId119" Type="http://schemas.openxmlformats.org/officeDocument/2006/relationships/hyperlink" Target="https://login.consultant.ru/link/?req=doc&amp;base=STR&amp;n=33922&amp;date=03.04.2026&amp;dst=100145&amp;field=134" TargetMode = "External"/><Relationship Id="rId120" Type="http://schemas.openxmlformats.org/officeDocument/2006/relationships/hyperlink" Target="https://login.consultant.ru/link/?req=doc&amp;base=LAW&amp;n=518761&amp;date=03.04.2026&amp;dst=100012&amp;field=134" TargetMode = "External"/><Relationship Id="rId121" Type="http://schemas.openxmlformats.org/officeDocument/2006/relationships/hyperlink" Target="https://login.consultant.ru/link/?req=doc&amp;base=STR&amp;n=33922&amp;date=03.04.2026&amp;dst=100149&amp;field=134" TargetMode = "External"/><Relationship Id="rId122" Type="http://schemas.openxmlformats.org/officeDocument/2006/relationships/hyperlink" Target="https://login.consultant.ru/link/?req=doc&amp;base=LAW&amp;n=518761&amp;date=03.04.2026&amp;dst=100012&amp;field=134" TargetMode = "External"/><Relationship Id="rId123" Type="http://schemas.openxmlformats.org/officeDocument/2006/relationships/hyperlink" Target="https://login.consultant.ru/link/?req=doc&amp;base=STR&amp;n=33922&amp;date=03.04.2026&amp;dst=100150&amp;field=134" TargetMode = "External"/><Relationship Id="rId124" Type="http://schemas.openxmlformats.org/officeDocument/2006/relationships/hyperlink" Target="https://login.consultant.ru/link/?req=doc&amp;base=STR&amp;n=33922&amp;date=03.04.2026&amp;dst=100152&amp;field=134" TargetMode = "External"/><Relationship Id="rId125" Type="http://schemas.openxmlformats.org/officeDocument/2006/relationships/hyperlink" Target="https://login.consultant.ru/link/?req=doc&amp;base=LAW&amp;n=518761&amp;date=03.04.2026&amp;dst=100012&amp;field=134" TargetMode = "External"/><Relationship Id="rId126" Type="http://schemas.openxmlformats.org/officeDocument/2006/relationships/hyperlink" Target="https://login.consultant.ru/link/?req=doc&amp;base=STR&amp;n=33922&amp;date=03.04.2026&amp;dst=100153&amp;field=134" TargetMode = "External"/><Relationship Id="rId127" Type="http://schemas.openxmlformats.org/officeDocument/2006/relationships/hyperlink" Target="https://login.consultant.ru/link/?req=doc&amp;base=STR&amp;n=33922&amp;date=03.04.2026&amp;dst=100155&amp;field=134" TargetMode = "External"/><Relationship Id="rId128" Type="http://schemas.openxmlformats.org/officeDocument/2006/relationships/hyperlink" Target="https://login.consultant.ru/link/?req=doc&amp;base=STR&amp;n=33922&amp;date=03.04.2026&amp;dst=100156&amp;field=134" TargetMode = "External"/><Relationship Id="rId129" Type="http://schemas.openxmlformats.org/officeDocument/2006/relationships/hyperlink" Target="https://login.consultant.ru/link/?req=doc&amp;base=STR&amp;n=33922&amp;date=03.04.2026&amp;dst=100157&amp;field=134" TargetMode = "External"/><Relationship Id="rId130" Type="http://schemas.openxmlformats.org/officeDocument/2006/relationships/hyperlink" Target="https://login.consultant.ru/link/?req=doc&amp;base=LAW&amp;n=511695&amp;date=03.04.2026&amp;dst=101896&amp;field=134" TargetMode = "External"/><Relationship Id="rId131" Type="http://schemas.openxmlformats.org/officeDocument/2006/relationships/hyperlink" Target="https://login.consultant.ru/link/?req=doc&amp;base=LAW&amp;n=511695&amp;date=03.04.2026&amp;dst=101896&amp;field=134" TargetMode = "External"/><Relationship Id="rId132" Type="http://schemas.openxmlformats.org/officeDocument/2006/relationships/hyperlink" Target="https://login.consultant.ru/link/?req=doc&amp;base=STR&amp;n=30480&amp;date=03.04.2026" TargetMode = "External"/><Relationship Id="rId133" Type="http://schemas.openxmlformats.org/officeDocument/2006/relationships/hyperlink" Target="https://login.consultant.ru/link/?req=doc&amp;base=STR&amp;n=33922&amp;date=03.04.2026&amp;dst=100158&amp;field=134" TargetMode = "External"/><Relationship Id="rId134" Type="http://schemas.openxmlformats.org/officeDocument/2006/relationships/hyperlink" Target="https://login.consultant.ru/link/?req=doc&amp;base=LAW&amp;n=511695&amp;date=03.04.2026&amp;dst=102299&amp;field=134" TargetMode = "External"/><Relationship Id="rId135" Type="http://schemas.openxmlformats.org/officeDocument/2006/relationships/hyperlink" Target="https://login.consultant.ru/link/?req=doc&amp;base=LAW&amp;n=511695&amp;date=03.04.2026&amp;dst=102299&amp;field=134" TargetMode = "External"/><Relationship Id="rId136" Type="http://schemas.openxmlformats.org/officeDocument/2006/relationships/hyperlink" Target="https://login.consultant.ru/link/?req=doc&amp;base=STR&amp;n=33922&amp;date=03.04.2026&amp;dst=100160&amp;field=134" TargetMode = "External"/><Relationship Id="rId137" Type="http://schemas.openxmlformats.org/officeDocument/2006/relationships/hyperlink" Target="https://login.consultant.ru/link/?req=doc&amp;base=OTN&amp;n=26056&amp;date=03.04.2026" TargetMode = "External"/><Relationship Id="rId138" Type="http://schemas.openxmlformats.org/officeDocument/2006/relationships/hyperlink" Target="https://login.consultant.ru/link/?req=doc&amp;base=STR&amp;n=33922&amp;date=03.04.2026&amp;dst=100161&amp;field=134" TargetMode = "External"/><Relationship Id="rId139" Type="http://schemas.openxmlformats.org/officeDocument/2006/relationships/hyperlink" Target="https://login.consultant.ru/link/?req=doc&amp;base=STR&amp;n=25034&amp;date=03.04.2026" TargetMode = "External"/><Relationship Id="rId140" Type="http://schemas.openxmlformats.org/officeDocument/2006/relationships/hyperlink" Target="https://login.consultant.ru/link/?req=doc&amp;base=STR&amp;n=34995&amp;date=03.04.2026" TargetMode = "External"/><Relationship Id="rId141" Type="http://schemas.openxmlformats.org/officeDocument/2006/relationships/hyperlink" Target="https://login.consultant.ru/link/?req=doc&amp;base=STR&amp;n=35712&amp;date=03.04.2026" TargetMode = "External"/><Relationship Id="rId142" Type="http://schemas.openxmlformats.org/officeDocument/2006/relationships/hyperlink" Target="https://login.consultant.ru/link/?req=doc&amp;base=STR&amp;n=33922&amp;date=03.04.2026&amp;dst=100163&amp;field=134" TargetMode = "External"/><Relationship Id="rId143" Type="http://schemas.openxmlformats.org/officeDocument/2006/relationships/hyperlink" Target="https://login.consultant.ru/link/?req=doc&amp;base=STR&amp;n=33922&amp;date=03.04.2026&amp;dst=100164&amp;field=134" TargetMode = "External"/><Relationship Id="rId144" Type="http://schemas.openxmlformats.org/officeDocument/2006/relationships/hyperlink" Target="https://login.consultant.ru/link/?req=doc&amp;base=STR&amp;n=11991&amp;date=03.04.2026" TargetMode = "External"/><Relationship Id="rId145" Type="http://schemas.openxmlformats.org/officeDocument/2006/relationships/hyperlink" Target="https://login.consultant.ru/link/?req=doc&amp;base=STR&amp;n=28577&amp;date=03.04.2026" TargetMode = "External"/><Relationship Id="rId146" Type="http://schemas.openxmlformats.org/officeDocument/2006/relationships/hyperlink" Target="https://login.consultant.ru/link/?req=doc&amp;base=STR&amp;n=35712&amp;date=03.04.2026" TargetMode = "External"/><Relationship Id="rId147" Type="http://schemas.openxmlformats.org/officeDocument/2006/relationships/hyperlink" Target="https://login.consultant.ru/link/?req=doc&amp;base=STR&amp;n=36797&amp;date=03.04.2026" TargetMode = "External"/><Relationship Id="rId148" Type="http://schemas.openxmlformats.org/officeDocument/2006/relationships/hyperlink" Target="https://login.consultant.ru/link/?req=doc&amp;base=LAW&amp;n=384323&amp;date=03.04.2026&amp;dst=100014&amp;field=134" TargetMode = "External"/><Relationship Id="rId149" Type="http://schemas.openxmlformats.org/officeDocument/2006/relationships/hyperlink" Target="https://login.consultant.ru/link/?req=doc&amp;base=STR&amp;n=33922&amp;date=03.04.2026&amp;dst=100165&amp;field=134" TargetMode = "External"/><Relationship Id="rId150" Type="http://schemas.openxmlformats.org/officeDocument/2006/relationships/hyperlink" Target="https://login.consultant.ru/link/?req=doc&amp;base=STR&amp;n=33922&amp;date=03.04.2026&amp;dst=100167&amp;field=134" TargetMode = "External"/><Relationship Id="rId151" Type="http://schemas.openxmlformats.org/officeDocument/2006/relationships/hyperlink" Target="https://login.consultant.ru/link/?req=doc&amp;base=STR&amp;n=33922&amp;date=03.04.2026&amp;dst=100169&amp;field=134" TargetMode = "External"/><Relationship Id="rId152" Type="http://schemas.openxmlformats.org/officeDocument/2006/relationships/hyperlink" Target="https://login.consultant.ru/link/?req=doc&amp;base=LAW&amp;n=502595&amp;date=03.04.2026&amp;dst=100012&amp;field=134" TargetMode = "External"/><Relationship Id="rId153" Type="http://schemas.openxmlformats.org/officeDocument/2006/relationships/hyperlink" Target="https://login.consultant.ru/link/?req=doc&amp;base=LAW&amp;n=507905&amp;date=03.04.2026&amp;dst=100013&amp;field=134" TargetMode = "External"/><Relationship Id="rId154" Type="http://schemas.openxmlformats.org/officeDocument/2006/relationships/hyperlink" Target="https://login.consultant.ru/link/?req=doc&amp;base=STR&amp;n=35712&amp;date=03.04.2026" TargetMode = "External"/><Relationship Id="rId155" Type="http://schemas.openxmlformats.org/officeDocument/2006/relationships/hyperlink" Target="https://login.consultant.ru/link/?req=doc&amp;base=STR&amp;n=10670&amp;date=03.04.2026" TargetMode = "External"/><Relationship Id="rId156" Type="http://schemas.openxmlformats.org/officeDocument/2006/relationships/hyperlink" Target="https://login.consultant.ru/link/?req=doc&amp;base=STR&amp;n=35712&amp;date=03.04.2026" TargetMode = "External"/><Relationship Id="rId157" Type="http://schemas.openxmlformats.org/officeDocument/2006/relationships/hyperlink" Target="https://login.consultant.ru/link/?req=doc&amp;base=STR&amp;n=33922&amp;date=03.04.2026&amp;dst=100176&amp;field=134" TargetMode = "External"/><Relationship Id="rId158" Type="http://schemas.openxmlformats.org/officeDocument/2006/relationships/hyperlink" Target="https://login.consultant.ru/link/?req=doc&amp;base=STR&amp;n=33922&amp;date=03.04.2026&amp;dst=100177&amp;field=134" TargetMode = "External"/><Relationship Id="rId159" Type="http://schemas.openxmlformats.org/officeDocument/2006/relationships/hyperlink" Target="https://login.consultant.ru/link/?req=doc&amp;base=STR&amp;n=33922&amp;date=03.04.2026&amp;dst=100179&amp;field=134" TargetMode = "External"/><Relationship Id="rId160" Type="http://schemas.openxmlformats.org/officeDocument/2006/relationships/hyperlink" Target="https://login.consultant.ru/link/?req=doc&amp;base=LAW&amp;n=524773&amp;date=03.04.2026&amp;dst=100014&amp;field=134" TargetMode = "External"/><Relationship Id="rId161" Type="http://schemas.openxmlformats.org/officeDocument/2006/relationships/hyperlink" Target="https://login.consultant.ru/link/?req=doc&amp;base=STR&amp;n=35712&amp;date=03.04.2026" TargetMode = "External"/><Relationship Id="rId162" Type="http://schemas.openxmlformats.org/officeDocument/2006/relationships/hyperlink" Target="https://login.consultant.ru/link/?req=doc&amp;base=LAW&amp;n=471819&amp;date=03.04.2026&amp;dst=100013&amp;field=134" TargetMode = "External"/><Relationship Id="rId163" Type="http://schemas.openxmlformats.org/officeDocument/2006/relationships/hyperlink" Target="https://login.consultant.ru/link/?req=doc&amp;base=STR&amp;n=36788&amp;date=03.04.2026" TargetMode = "External"/><Relationship Id="rId164" Type="http://schemas.openxmlformats.org/officeDocument/2006/relationships/hyperlink" Target="https://login.consultant.ru/link/?req=doc&amp;base=STR&amp;n=33922&amp;date=03.04.2026&amp;dst=100182&amp;field=134" TargetMode = "External"/><Relationship Id="rId165" Type="http://schemas.openxmlformats.org/officeDocument/2006/relationships/hyperlink" Target="https://login.consultant.ru/link/?req=doc&amp;base=STR&amp;n=33922&amp;date=03.04.2026&amp;dst=100183&amp;field=134" TargetMode = "External"/><Relationship Id="rId166" Type="http://schemas.openxmlformats.org/officeDocument/2006/relationships/hyperlink" Target="https://login.consultant.ru/link/?req=doc&amp;base=LAW&amp;n=471819&amp;date=03.04.2026&amp;dst=100718&amp;field=134" TargetMode = "External"/><Relationship Id="rId167" Type="http://schemas.openxmlformats.org/officeDocument/2006/relationships/hyperlink" Target="https://login.consultant.ru/link/?req=doc&amp;base=STR&amp;n=33922&amp;date=03.04.2026&amp;dst=100183&amp;field=134" TargetMode = "External"/><Relationship Id="rId168" Type="http://schemas.openxmlformats.org/officeDocument/2006/relationships/hyperlink" Target="https://login.consultant.ru/link/?req=doc&amp;base=LAW&amp;n=524773&amp;date=03.04.2026&amp;dst=100014&amp;field=134" TargetMode = "External"/><Relationship Id="rId169" Type="http://schemas.openxmlformats.org/officeDocument/2006/relationships/hyperlink" Target="https://login.consultant.ru/link/?req=doc&amp;base=STR&amp;n=35712&amp;date=03.04.2026" TargetMode = "External"/><Relationship Id="rId170" Type="http://schemas.openxmlformats.org/officeDocument/2006/relationships/hyperlink" Target="https://login.consultant.ru/link/?req=doc&amp;base=STR&amp;n=33922&amp;date=03.04.2026&amp;dst=100186&amp;field=134" TargetMode = "External"/><Relationship Id="rId171" Type="http://schemas.openxmlformats.org/officeDocument/2006/relationships/hyperlink" Target="https://login.consultant.ru/link/?req=doc&amp;base=STR&amp;n=33922&amp;date=03.04.2026&amp;dst=100188&amp;field=134" TargetMode = "External"/><Relationship Id="rId172" Type="http://schemas.openxmlformats.org/officeDocument/2006/relationships/hyperlink" Target="https://login.consultant.ru/link/?req=doc&amp;base=STR&amp;n=33922&amp;date=03.04.2026&amp;dst=100189&amp;field=134" TargetMode = "External"/><Relationship Id="rId173" Type="http://schemas.openxmlformats.org/officeDocument/2006/relationships/hyperlink" Target="https://login.consultant.ru/link/?req=doc&amp;base=LAW&amp;n=507905&amp;date=03.04.2026&amp;dst=100013&amp;field=134" TargetMode = "External"/><Relationship Id="rId174" Type="http://schemas.openxmlformats.org/officeDocument/2006/relationships/hyperlink" Target="https://login.consultant.ru/link/?req=doc&amp;base=STR&amp;n=35712&amp;date=03.04.2026" TargetMode = "External"/><Relationship Id="rId175" Type="http://schemas.openxmlformats.org/officeDocument/2006/relationships/hyperlink" Target="https://login.consultant.ru/link/?req=doc&amp;base=STR&amp;n=33922&amp;date=03.04.2026&amp;dst=100190&amp;field=134" TargetMode = "External"/><Relationship Id="rId176" Type="http://schemas.openxmlformats.org/officeDocument/2006/relationships/hyperlink" Target="https://login.consultant.ru/link/?req=doc&amp;base=LAW&amp;n=524773&amp;date=03.04.2026&amp;dst=100014&amp;field=134" TargetMode = "External"/><Relationship Id="rId177" Type="http://schemas.openxmlformats.org/officeDocument/2006/relationships/hyperlink" Target="https://login.consultant.ru/link/?req=doc&amp;base=STR&amp;n=33922&amp;date=03.04.2026&amp;dst=100191&amp;field=134" TargetMode = "External"/><Relationship Id="rId178" Type="http://schemas.openxmlformats.org/officeDocument/2006/relationships/hyperlink" Target="https://login.consultant.ru/link/?req=doc&amp;base=STR&amp;n=33922&amp;date=03.04.2026&amp;dst=100193&amp;field=134" TargetMode = "External"/><Relationship Id="rId179" Type="http://schemas.openxmlformats.org/officeDocument/2006/relationships/hyperlink" Target="https://login.consultant.ru/link/?req=doc&amp;base=STR&amp;n=33922&amp;date=03.04.2026&amp;dst=100193&amp;field=134" TargetMode = "External"/><Relationship Id="rId180" Type="http://schemas.openxmlformats.org/officeDocument/2006/relationships/hyperlink" Target="https://login.consultant.ru/link/?req=doc&amp;base=STR&amp;n=33922&amp;date=03.04.2026&amp;dst=100194&amp;field=134" TargetMode = "External"/><Relationship Id="rId181" Type="http://schemas.openxmlformats.org/officeDocument/2006/relationships/hyperlink" Target="https://login.consultant.ru/link/?req=doc&amp;base=STR&amp;n=33922&amp;date=03.04.2026&amp;dst=100195&amp;field=134" TargetMode = "External"/><Relationship Id="rId182" Type="http://schemas.openxmlformats.org/officeDocument/2006/relationships/hyperlink" Target="https://login.consultant.ru/link/?req=doc&amp;base=STR&amp;n=33922&amp;date=03.04.2026&amp;dst=100197&amp;field=134" TargetMode = "External"/><Relationship Id="rId183" Type="http://schemas.openxmlformats.org/officeDocument/2006/relationships/hyperlink" Target="https://login.consultant.ru/link/?req=doc&amp;base=STR&amp;n=35712&amp;date=03.04.2026" TargetMode = "External"/><Relationship Id="rId184" Type="http://schemas.openxmlformats.org/officeDocument/2006/relationships/hyperlink" Target="https://login.consultant.ru/link/?req=doc&amp;base=STR&amp;n=33922&amp;date=03.04.2026&amp;dst=100198&amp;field=134" TargetMode = "External"/><Relationship Id="rId185" Type="http://schemas.openxmlformats.org/officeDocument/2006/relationships/hyperlink" Target="https://login.consultant.ru/link/?req=doc&amp;base=STR&amp;n=11119&amp;date=03.04.2026" TargetMode = "External"/><Relationship Id="rId186" Type="http://schemas.openxmlformats.org/officeDocument/2006/relationships/hyperlink" Target="https://login.consultant.ru/link/?req=doc&amp;base=STR&amp;n=23325&amp;date=03.04.2026" TargetMode = "External"/><Relationship Id="rId187" Type="http://schemas.openxmlformats.org/officeDocument/2006/relationships/hyperlink" Target="https://login.consultant.ru/link/?req=doc&amp;base=STR&amp;n=24753&amp;date=03.04.2026" TargetMode = "External"/><Relationship Id="rId188" Type="http://schemas.openxmlformats.org/officeDocument/2006/relationships/hyperlink" Target="https://login.consultant.ru/link/?req=doc&amp;base=STR&amp;n=33922&amp;date=03.04.2026&amp;dst=100202&amp;field=134" TargetMode = "External"/><Relationship Id="rId189" Type="http://schemas.openxmlformats.org/officeDocument/2006/relationships/hyperlink" Target="https://login.consultant.ru/link/?req=doc&amp;base=STR&amp;n=33922&amp;date=03.04.2026&amp;dst=100203&amp;field=134" TargetMode = "External"/><Relationship Id="rId190" Type="http://schemas.openxmlformats.org/officeDocument/2006/relationships/hyperlink" Target="https://login.consultant.ru/link/?req=doc&amp;base=STR&amp;n=11119&amp;date=03.04.2026" TargetMode = "External"/><Relationship Id="rId191" Type="http://schemas.openxmlformats.org/officeDocument/2006/relationships/hyperlink" Target="https://login.consultant.ru/link/?req=doc&amp;base=STR&amp;n=33922&amp;date=03.04.2026&amp;dst=100204&amp;field=134" TargetMode = "External"/><Relationship Id="rId192" Type="http://schemas.openxmlformats.org/officeDocument/2006/relationships/hyperlink" Target="https://login.consultant.ru/link/?req=doc&amp;base=STR&amp;n=33922&amp;date=03.04.2026&amp;dst=100205&amp;field=134" TargetMode = "External"/><Relationship Id="rId193" Type="http://schemas.openxmlformats.org/officeDocument/2006/relationships/hyperlink" Target="https://login.consultant.ru/link/?req=doc&amp;base=STR&amp;n=11119&amp;date=03.04.2026" TargetMode = "External"/><Relationship Id="rId194" Type="http://schemas.openxmlformats.org/officeDocument/2006/relationships/hyperlink" Target="https://login.consultant.ru/link/?req=doc&amp;base=STR&amp;n=33922&amp;date=03.04.2026&amp;dst=100207&amp;field=134" TargetMode = "External"/><Relationship Id="rId195" Type="http://schemas.openxmlformats.org/officeDocument/2006/relationships/hyperlink" Target="https://login.consultant.ru/link/?req=doc&amp;base=STR&amp;n=25034&amp;date=03.04.2026" TargetMode = "External"/><Relationship Id="rId196" Type="http://schemas.openxmlformats.org/officeDocument/2006/relationships/hyperlink" Target="https://login.consultant.ru/link/?req=doc&amp;base=STR&amp;n=23325&amp;date=03.04.2026" TargetMode = "External"/><Relationship Id="rId197" Type="http://schemas.openxmlformats.org/officeDocument/2006/relationships/hyperlink" Target="https://login.consultant.ru/link/?req=doc&amp;base=STR&amp;n=11119&amp;date=03.04.2026" TargetMode = "External"/><Relationship Id="rId198" Type="http://schemas.openxmlformats.org/officeDocument/2006/relationships/hyperlink" Target="https://login.consultant.ru/link/?req=doc&amp;base=STR&amp;n=33922&amp;date=03.04.2026&amp;dst=100208&amp;field=134" TargetMode = "External"/><Relationship Id="rId199" Type="http://schemas.openxmlformats.org/officeDocument/2006/relationships/hyperlink" Target="https://login.consultant.ru/link/?req=doc&amp;base=STR&amp;n=33922&amp;date=03.04.2026&amp;dst=100210&amp;field=134" TargetMode = "External"/><Relationship Id="rId200" Type="http://schemas.openxmlformats.org/officeDocument/2006/relationships/hyperlink" Target="https://login.consultant.ru/link/?req=doc&amp;base=STR&amp;n=33922&amp;date=03.04.2026&amp;dst=100211&amp;field=134" TargetMode = "External"/><Relationship Id="rId201" Type="http://schemas.openxmlformats.org/officeDocument/2006/relationships/hyperlink" Target="https://login.consultant.ru/link/?req=doc&amp;base=LAW&amp;n=502595&amp;date=03.04.2026&amp;dst=100012&amp;field=134" TargetMode = "External"/><Relationship Id="rId202" Type="http://schemas.openxmlformats.org/officeDocument/2006/relationships/hyperlink" Target="https://login.consultant.ru/link/?req=doc&amp;base=STR&amp;n=35712&amp;date=03.04.2026" TargetMode = "External"/><Relationship Id="rId203" Type="http://schemas.openxmlformats.org/officeDocument/2006/relationships/hyperlink" Target="https://login.consultant.ru/link/?req=doc&amp;base=STR&amp;n=33922&amp;date=03.04.2026&amp;dst=100215&amp;field=134" TargetMode = "External"/><Relationship Id="rId204" Type="http://schemas.openxmlformats.org/officeDocument/2006/relationships/hyperlink" Target="https://login.consultant.ru/link/?req=doc&amp;base=LAW&amp;n=512178&amp;date=03.04.2026&amp;dst=100013&amp;field=134" TargetMode = "External"/><Relationship Id="rId205" Type="http://schemas.openxmlformats.org/officeDocument/2006/relationships/hyperlink" Target="https://login.consultant.ru/link/?req=doc&amp;base=STR&amp;n=28692&amp;date=03.04.2026" TargetMode = "External"/><Relationship Id="rId206" Type="http://schemas.openxmlformats.org/officeDocument/2006/relationships/hyperlink" Target="https://login.consultant.ru/link/?req=doc&amp;base=STR&amp;n=10670&amp;date=03.04.2026" TargetMode = "External"/><Relationship Id="rId207" Type="http://schemas.openxmlformats.org/officeDocument/2006/relationships/hyperlink" Target="https://login.consultant.ru/link/?req=doc&amp;base=LAW&amp;n=512178&amp;date=03.04.2026&amp;dst=100013&amp;field=134" TargetMode = "External"/><Relationship Id="rId208" Type="http://schemas.openxmlformats.org/officeDocument/2006/relationships/hyperlink" Target="https://login.consultant.ru/link/?req=doc&amp;base=LAW&amp;n=512178&amp;date=03.04.2026&amp;dst=100013&amp;field=134" TargetMode = "External"/><Relationship Id="rId209" Type="http://schemas.openxmlformats.org/officeDocument/2006/relationships/hyperlink" Target="https://login.consultant.ru/link/?req=doc&amp;base=LAW&amp;n=512178&amp;date=03.04.2026&amp;dst=100013&amp;field=134" TargetMode = "External"/><Relationship Id="rId210" Type="http://schemas.openxmlformats.org/officeDocument/2006/relationships/hyperlink" Target="https://login.consultant.ru/link/?req=doc&amp;base=LAW&amp;n=512178&amp;date=03.04.2026&amp;dst=100013&amp;field=134" TargetMode = "External"/><Relationship Id="rId211" Type="http://schemas.openxmlformats.org/officeDocument/2006/relationships/hyperlink" Target="https://login.consultant.ru/link/?req=doc&amp;base=STR&amp;n=34858&amp;date=03.04.2026" TargetMode = "External"/><Relationship Id="rId212" Type="http://schemas.openxmlformats.org/officeDocument/2006/relationships/hyperlink" Target="https://login.consultant.ru/link/?req=doc&amp;base=STR&amp;n=11301&amp;date=03.04.2026" TargetMode = "External"/><Relationship Id="rId213" Type="http://schemas.openxmlformats.org/officeDocument/2006/relationships/hyperlink" Target="https://login.consultant.ru/link/?req=doc&amp;base=STR&amp;n=11118&amp;date=03.04.2026" TargetMode = "External"/><Relationship Id="rId214" Type="http://schemas.openxmlformats.org/officeDocument/2006/relationships/hyperlink" Target="https://login.consultant.ru/link/?req=doc&amp;base=STR&amp;n=11452&amp;date=03.04.2026" TargetMode = "External"/><Relationship Id="rId215" Type="http://schemas.openxmlformats.org/officeDocument/2006/relationships/hyperlink" Target="https://login.consultant.ru/link/?req=doc&amp;base=STR&amp;n=33922&amp;date=03.04.2026&amp;dst=100267&amp;field=134" TargetMode = "External"/><Relationship Id="rId216" Type="http://schemas.openxmlformats.org/officeDocument/2006/relationships/hyperlink" Target="https://login.consultant.ru/link/?req=doc&amp;base=STR&amp;n=33922&amp;date=03.04.2026&amp;dst=100268&amp;field=134" TargetMode = "External"/><Relationship Id="rId217" Type="http://schemas.openxmlformats.org/officeDocument/2006/relationships/hyperlink" Target="https://login.consultant.ru/link/?req=doc&amp;base=STR&amp;n=33922&amp;date=03.04.2026&amp;dst=100269&amp;field=134" TargetMode = "External"/><Relationship Id="rId218" Type="http://schemas.openxmlformats.org/officeDocument/2006/relationships/hyperlink" Target="https://login.consultant.ru/link/?req=doc&amp;base=STR&amp;n=33922&amp;date=03.04.2026&amp;dst=100270&amp;field=134" TargetMode = "External"/><Relationship Id="rId219" Type="http://schemas.openxmlformats.org/officeDocument/2006/relationships/hyperlink" Target="https://login.consultant.ru/link/?req=doc&amp;base=STR&amp;n=33922&amp;date=03.04.2026&amp;dst=100272&amp;field=134" TargetMode = "External"/><Relationship Id="rId220" Type="http://schemas.openxmlformats.org/officeDocument/2006/relationships/hyperlink" Target="https://login.consultant.ru/link/?req=doc&amp;base=STR&amp;n=33922&amp;date=03.04.2026&amp;dst=100274&amp;field=134" TargetMode = "External"/><Relationship Id="rId221" Type="http://schemas.openxmlformats.org/officeDocument/2006/relationships/hyperlink" Target="https://login.consultant.ru/link/?req=doc&amp;base=STR&amp;n=33922&amp;date=03.04.2026&amp;dst=100274&amp;field=134" TargetMode = "External"/><Relationship Id="rId222" Type="http://schemas.openxmlformats.org/officeDocument/2006/relationships/hyperlink" Target="https://login.consultant.ru/link/?req=doc&amp;base=STR&amp;n=34820&amp;date=03.04.2026" TargetMode = "External"/><Relationship Id="rId223" Type="http://schemas.openxmlformats.org/officeDocument/2006/relationships/hyperlink" Target="https://login.consultant.ru/link/?req=doc&amp;base=STR&amp;n=33922&amp;date=03.04.2026&amp;dst=100277&amp;field=134" TargetMode = "External"/><Relationship Id="rId224" Type="http://schemas.openxmlformats.org/officeDocument/2006/relationships/hyperlink" Target="https://login.consultant.ru/link/?req=doc&amp;base=STR&amp;n=33922&amp;date=03.04.2026&amp;dst=100278&amp;field=134" TargetMode = "External"/><Relationship Id="rId225" Type="http://schemas.openxmlformats.org/officeDocument/2006/relationships/hyperlink" Target="https://login.consultant.ru/link/?req=doc&amp;base=STR&amp;n=33922&amp;date=03.04.2026&amp;dst=100284&amp;field=134" TargetMode = "External"/><Relationship Id="rId226" Type="http://schemas.openxmlformats.org/officeDocument/2006/relationships/hyperlink" Target="https://login.consultant.ru/link/?req=doc&amp;base=STR&amp;n=33922&amp;date=03.04.2026&amp;dst=100285&amp;field=134" TargetMode = "External"/><Relationship Id="rId227" Type="http://schemas.openxmlformats.org/officeDocument/2006/relationships/hyperlink" Target="https://login.consultant.ru/link/?req=doc&amp;base=STR&amp;n=33922&amp;date=03.04.2026&amp;dst=100287&amp;field=134" TargetMode = "External"/><Relationship Id="rId228" Type="http://schemas.openxmlformats.org/officeDocument/2006/relationships/hyperlink" Target="https://login.consultant.ru/link/?req=doc&amp;base=LAW&amp;n=471020&amp;date=03.04.2026" TargetMode = "External"/><Relationship Id="rId229" Type="http://schemas.openxmlformats.org/officeDocument/2006/relationships/hyperlink" Target="https://login.consultant.ru/link/?req=doc&amp;base=LAW&amp;n=511695&amp;date=03.04.2026" TargetMode = "External"/><Relationship Id="rId230" Type="http://schemas.openxmlformats.org/officeDocument/2006/relationships/hyperlink" Target="https://login.consultant.ru/link/?req=doc&amp;base=LAW&amp;n=498201&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477.1325800.2020. Свод правил. Здания и комплексы высотные. Требования пожарной безопасности"
(утв. и введен в действие Приказом Минстроя России от 29.01.2020 N 45/пр)
(ред. от 02.08.2024)</dc:title>
  <dcterms:created xsi:type="dcterms:W3CDTF">2026-04-03T13:26:28Z</dcterms:created>
</cp:coreProperties>
</file>