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20.07.2020 N 539</w:t>
              <w:br/>
              <w:t xml:space="preserve">(ред. от 16.05.2025)</w:t>
              <w:br/>
              <w:t xml:space="preserve">"Об утверждении свода правил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br/>
              <w:t xml:space="preserve">(вместе с "СП 486.1311500.2020.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20 июля 2020 г. N 539</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ПЕРЕЧЕНЬ ЗДАНИЙ,</w:t>
      </w:r>
    </w:p>
    <w:p>
      <w:pPr>
        <w:pStyle w:val="2"/>
        <w:jc w:val="center"/>
      </w:pPr>
      <w:r>
        <w:rPr>
          <w:sz w:val="24"/>
        </w:rPr>
        <w:t xml:space="preserve">СООРУЖЕНИЙ, ПОМЕЩЕНИЙ И ОБОРУДОВАНИЯ, ПОДЛЕЖАЩИХ ЗАЩИТЕ</w:t>
      </w:r>
    </w:p>
    <w:p>
      <w:pPr>
        <w:pStyle w:val="2"/>
        <w:jc w:val="center"/>
      </w:pPr>
      <w:r>
        <w:rPr>
          <w:sz w:val="24"/>
        </w:rPr>
        <w:t xml:space="preserve">АВТОМАТИЧЕСКИМИ УСТАНОВКАМИ ПОЖАРОТУШЕНИЯ И СИСТЕМАМИ</w:t>
      </w:r>
    </w:p>
    <w:p>
      <w:pPr>
        <w:pStyle w:val="2"/>
        <w:jc w:val="center"/>
      </w:pPr>
      <w:r>
        <w:rPr>
          <w:sz w:val="24"/>
        </w:rPr>
        <w:t xml:space="preserve">ПОЖАРНОЙ СИГНАЛИЗАЦИИ. ТРЕБОВАНИЯ 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color w:val="392c69"/>
              </w:rPr>
              <w:t xml:space="preserve"> МЧС России от 16.05.2025 N 417)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1"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1, ст. 7.</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г. прилагаемый </w:t>
      </w:r>
      <w:hyperlink w:history="0" w:anchor="P35" w:tooltip="СВОД ПРАВИЛ">
        <w:r>
          <w:rPr>
            <w:sz w:val="24"/>
            <w:color w:val="0000ff"/>
          </w:rPr>
          <w:t xml:space="preserve">свод правил</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20.07.2020 N 539</w:t>
      </w:r>
    </w:p>
    <w:p>
      <w:pPr>
        <w:pStyle w:val="0"/>
        <w:jc w:val="both"/>
      </w:pPr>
      <w:r>
        <w:rPr>
          <w:sz w:val="24"/>
        </w:rPr>
      </w:r>
    </w:p>
    <w:bookmarkStart w:id="35" w:name="P35"/>
    <w:bookmarkEnd w:id="35"/>
    <w:p>
      <w:pPr>
        <w:pStyle w:val="2"/>
        <w:jc w:val="center"/>
      </w:pPr>
      <w:r>
        <w:rPr>
          <w:sz w:val="24"/>
        </w:rPr>
        <w:t xml:space="preserve">СВОД ПРАВИЛ</w:t>
      </w:r>
    </w:p>
    <w:p>
      <w:pPr>
        <w:pStyle w:val="2"/>
        <w:jc w:val="center"/>
      </w:pPr>
      <w:r>
        <w:rPr>
          <w:sz w:val="24"/>
        </w:rPr>
        <w:t xml:space="preserve">СП 486.1311500.2020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ПЕРЕЧЕНЬ</w:t>
      </w:r>
    </w:p>
    <w:p>
      <w:pPr>
        <w:pStyle w:val="2"/>
        <w:jc w:val="center"/>
      </w:pPr>
      <w:r>
        <w:rPr>
          <w:sz w:val="24"/>
        </w:rPr>
        <w:t xml:space="preserve">ЗДАНИЙ, СООРУЖЕНИЙ, ПОМЕЩЕНИЙ И ОБОРУДОВАНИЯ, ПОДЛЕЖАЩИХ</w:t>
      </w:r>
    </w:p>
    <w:p>
      <w:pPr>
        <w:pStyle w:val="2"/>
        <w:jc w:val="center"/>
      </w:pPr>
      <w:r>
        <w:rPr>
          <w:sz w:val="24"/>
        </w:rPr>
        <w:t xml:space="preserve">ЗАЩИТЕ АВТОМАТИЧЕСКИМИ УСТАНОВКАМИ ПОЖАРОТУШЕНИЯ</w:t>
      </w:r>
    </w:p>
    <w:p>
      <w:pPr>
        <w:pStyle w:val="2"/>
        <w:jc w:val="center"/>
      </w:pPr>
      <w:r>
        <w:rPr>
          <w:sz w:val="24"/>
        </w:rPr>
        <w:t xml:space="preserve">И СИСТЕМАМИ ПОЖАРНОЙ СИГНАЛИЗАЦИИ</w:t>
      </w:r>
    </w:p>
    <w:p>
      <w:pPr>
        <w:pStyle w:val="2"/>
        <w:jc w:val="center"/>
      </w:pPr>
      <w:r>
        <w:rPr>
          <w:sz w:val="24"/>
        </w:rPr>
      </w:r>
    </w:p>
    <w:p>
      <w:pPr>
        <w:pStyle w:val="2"/>
        <w:jc w:val="center"/>
      </w:pPr>
      <w:r>
        <w:rPr>
          <w:sz w:val="24"/>
        </w:rPr>
        <w:t xml:space="preserve">ТРЕБОВАНИЯ ПОЖАРНОЙ БЕЗОПАСНОСТИ</w:t>
      </w:r>
    </w:p>
    <w:p>
      <w:pPr>
        <w:pStyle w:val="2"/>
        <w:jc w:val="both"/>
      </w:pPr>
      <w:r>
        <w:rPr>
          <w:sz w:val="24"/>
        </w:rPr>
      </w:r>
    </w:p>
    <w:p>
      <w:pPr>
        <w:pStyle w:val="2"/>
        <w:jc w:val="center"/>
      </w:pPr>
      <w:r>
        <w:rPr>
          <w:sz w:val="24"/>
        </w:rPr>
        <w:t xml:space="preserve">The list of buildings, structures, premises</w:t>
      </w:r>
    </w:p>
    <w:p>
      <w:pPr>
        <w:pStyle w:val="2"/>
        <w:jc w:val="center"/>
      </w:pPr>
      <w:r>
        <w:rPr>
          <w:sz w:val="24"/>
        </w:rPr>
        <w:t xml:space="preserve">and equipment, subject to protection by automatic</w:t>
      </w:r>
    </w:p>
    <w:p>
      <w:pPr>
        <w:pStyle w:val="2"/>
        <w:jc w:val="center"/>
      </w:pPr>
      <w:r>
        <w:rPr>
          <w:sz w:val="24"/>
        </w:rPr>
        <w:t xml:space="preserve">extinguishing and fire alarm systems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color w:val="392c69"/>
              </w:rPr>
              <w:t xml:space="preserve"> МЧС России от 16.05.2025 N 417)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3"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разработки сводов правил - </w:t>
      </w:r>
      <w:hyperlink w:history="0" r:id="rId14"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 "Технический регламент о требованиях пожарной безопасности".</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20.07.2020 N 539</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20 октября 2020 г.</w:t>
      </w:r>
    </w:p>
    <w:p>
      <w:pPr>
        <w:pStyle w:val="0"/>
        <w:spacing w:before="240" w:lineRule="auto"/>
        <w:ind w:firstLine="540"/>
        <w:jc w:val="both"/>
      </w:pPr>
      <w:r>
        <w:rPr>
          <w:sz w:val="24"/>
        </w:rPr>
        <w:t xml:space="preserve">4 ВВЕДЕН ВПЕРВЫЕ</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16">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регламентирующие защиту зданий, сооружений, помещений и оборудования автоматическими установками пожаротушения (далее - АУП) и системами пожарной сигнализации (далее - СПС) при их проектировании, реконструкции, капитальном ремонте, изменении функционального назначения, а также при техническом перевооружении. При этом указанные АУП и СПС должны проектироваться в соответствии с требованиями </w:t>
      </w:r>
      <w:hyperlink w:history="0" r:id="rId1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18"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и </w:t>
      </w:r>
      <w:hyperlink w:history="0" r:id="rId19" w:tooltip="Приказ МЧС России от 20.08.2015 N 453 &quot;Об утверждении свода правил &quot;Системы противопожарной защиты. Установки водяного пожаротушения высотных стеллажных складов автоматические. Нормы и правила проектирования&quot; (вместе с &quot;СП 241.1311500.2015. Свод правил...&quot;) {КонсультантПлюс}">
        <w:r>
          <w:rPr>
            <w:sz w:val="24"/>
            <w:color w:val="0000ff"/>
          </w:rPr>
          <w:t xml:space="preserve">СП 241.1311500.2015</w:t>
        </w:r>
      </w:hyperlink>
      <w:r>
        <w:rPr>
          <w:sz w:val="24"/>
        </w:rPr>
        <w:t xml:space="preserve">.</w:t>
      </w:r>
    </w:p>
    <w:p>
      <w:pPr>
        <w:pStyle w:val="0"/>
        <w:spacing w:before="240" w:lineRule="auto"/>
        <w:ind w:firstLine="540"/>
        <w:jc w:val="both"/>
      </w:pPr>
      <w:r>
        <w:rPr>
          <w:sz w:val="24"/>
        </w:rPr>
        <w:t xml:space="preserve">В специально оговоренных по тексту свода правил случаях вместо АУП допускается применение установок пожаротушения автономных (далее - УПА), которые должны соответствовать требованиям </w:t>
      </w:r>
      <w:hyperlink w:history="0" r:id="rId20"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w:t>
      </w:r>
    </w:p>
    <w:p>
      <w:pPr>
        <w:pStyle w:val="0"/>
        <w:jc w:val="both"/>
      </w:pPr>
      <w:r>
        <w:rPr>
          <w:sz w:val="24"/>
        </w:rPr>
        <w:t xml:space="preserve">(п. 1.1 в ред. </w:t>
      </w:r>
      <w:hyperlink w:history="0" r:id="rId2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1.2 Для зданий и сооружений, на которые введены отдельные нормы в соответствии с действующим законодательством в области стандартизации и технического регулирования, в случае наличия противоречий между указанными нормами и настоящим сводом правил следует руководствоваться более высокими требованиями.</w:t>
      </w:r>
    </w:p>
    <w:p>
      <w:pPr>
        <w:pStyle w:val="0"/>
        <w:spacing w:before="240" w:lineRule="auto"/>
        <w:ind w:firstLine="540"/>
        <w:jc w:val="both"/>
      </w:pPr>
      <w:r>
        <w:rPr>
          <w:sz w:val="24"/>
        </w:rPr>
        <w:t xml:space="preserve">1.3 Настоящий свод правил может быть использован при разработке специальных технических условий для объектов защиты.</w:t>
      </w:r>
    </w:p>
    <w:p>
      <w:pPr>
        <w:pStyle w:val="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ред. </w:t>
      </w:r>
      <w:hyperlink w:history="0" r:id="rId2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w:t>
      </w:r>
    </w:p>
    <w:p>
      <w:pPr>
        <w:pStyle w:val="0"/>
        <w:spacing w:before="240" w:lineRule="auto"/>
        <w:ind w:firstLine="540"/>
        <w:jc w:val="both"/>
      </w:pPr>
      <w:hyperlink w:history="0" r:id="rId24"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25"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кондиционирование. Требования пожарной безопасности";</w:t>
      </w:r>
    </w:p>
    <w:p>
      <w:pPr>
        <w:pStyle w:val="0"/>
        <w:spacing w:before="240" w:lineRule="auto"/>
        <w:ind w:firstLine="540"/>
        <w:jc w:val="both"/>
      </w:pPr>
      <w:hyperlink w:history="0" r:id="rId26" w:tooltip="&quot;СП 120.13330.2022. Свод правил. Метрополитены. СНиП 32-02-2003&quot; (утв. и введен в действие Приказом Минстроя России от 27.12.2022 N 1131/пр) (ред. от 17.01.2025) ------------ Недействующая редакция {КонсультантПлюс}">
        <w:r>
          <w:rPr>
            <w:sz w:val="24"/>
            <w:color w:val="0000ff"/>
          </w:rPr>
          <w:t xml:space="preserve">СП 120.13330.2022</w:t>
        </w:r>
      </w:hyperlink>
      <w:r>
        <w:rPr>
          <w:sz w:val="24"/>
        </w:rPr>
        <w:t xml:space="preserve"> "СНиП 32-02-2003 Метрополитены";</w:t>
      </w:r>
    </w:p>
    <w:p>
      <w:pPr>
        <w:pStyle w:val="0"/>
        <w:spacing w:before="240" w:lineRule="auto"/>
        <w:ind w:firstLine="540"/>
        <w:jc w:val="both"/>
      </w:pPr>
      <w:hyperlink w:history="0" r:id="rId27" w:tooltip="Приказ МЧС России от 25.12.2012 N 804 (ред. от 18.07.2016) &quot;Об утверждении свода правил &quot;Инфраструктура железнодорожного транспорта. Требования пожарной безопасности&quot; (вместе с &quot;СП 153.13130.2013. Свод правил...&quot;) {КонсультантПлюс}">
        <w:r>
          <w:rPr>
            <w:sz w:val="24"/>
            <w:color w:val="0000ff"/>
          </w:rPr>
          <w:t xml:space="preserve">СП 153.13130.2013</w:t>
        </w:r>
      </w:hyperlink>
      <w:r>
        <w:rPr>
          <w:sz w:val="24"/>
        </w:rPr>
        <w:t xml:space="preserve"> "Инфраструктура железнодорожного транспорта. Требования пожарной безопасности";</w:t>
      </w:r>
    </w:p>
    <w:p>
      <w:pPr>
        <w:pStyle w:val="0"/>
        <w:spacing w:before="240" w:lineRule="auto"/>
        <w:ind w:firstLine="540"/>
        <w:jc w:val="both"/>
      </w:pPr>
      <w:hyperlink w:history="0" r:id="rId28"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155.13130.2014</w:t>
        </w:r>
      </w:hyperlink>
      <w:r>
        <w:rPr>
          <w:sz w:val="24"/>
        </w:rPr>
        <w:t xml:space="preserve"> "Склады нефти и нефтепродуктов. Требования пожарной безопасности";</w:t>
      </w:r>
    </w:p>
    <w:p>
      <w:pPr>
        <w:pStyle w:val="0"/>
        <w:spacing w:before="240" w:lineRule="auto"/>
        <w:ind w:firstLine="540"/>
        <w:jc w:val="both"/>
      </w:pPr>
      <w:hyperlink w:history="0" r:id="rId29" w:tooltip="Приказ МЧС России от 05.05.2014 N 221 (ред. от 29.12.2025) &quot;Об утверждении свода правил &quot;Станции автомобильные заправочные. Требования пожарной безопасности&quot; (вместе с &quot;СП 156.13130.2014. Свод правил...&quot;) {КонсультантПлюс}">
        <w:r>
          <w:rPr>
            <w:sz w:val="24"/>
            <w:color w:val="0000ff"/>
          </w:rPr>
          <w:t xml:space="preserve">СП 156.13130.2014</w:t>
        </w:r>
      </w:hyperlink>
      <w:r>
        <w:rPr>
          <w:sz w:val="24"/>
        </w:rPr>
        <w:t xml:space="preserve"> "Станции автомобильные заправочные. Требования пожарной безопасности";</w:t>
      </w:r>
    </w:p>
    <w:p>
      <w:pPr>
        <w:pStyle w:val="0"/>
        <w:spacing w:before="240" w:lineRule="auto"/>
        <w:ind w:firstLine="540"/>
        <w:jc w:val="both"/>
      </w:pPr>
      <w:hyperlink w:history="0" r:id="rId30"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w:t>
      </w:r>
    </w:p>
    <w:p>
      <w:pPr>
        <w:pStyle w:val="0"/>
        <w:spacing w:before="240" w:lineRule="auto"/>
        <w:ind w:firstLine="540"/>
        <w:jc w:val="both"/>
      </w:pPr>
      <w:hyperlink w:history="0" r:id="rId31" w:tooltip="Приказ МЧС России от 20.08.2015 N 453 &quot;Об утверждении свода правил &quot;Системы противопожарной защиты. Установки водяного пожаротушения высотных стеллажных складов автоматические. Нормы и правила проектирования&quot; (вместе с &quot;СП 241.1311500.2015. Свод правил...&quot;) {КонсультантПлюс}">
        <w:r>
          <w:rPr>
            <w:sz w:val="24"/>
            <w:color w:val="0000ff"/>
          </w:rPr>
          <w:t xml:space="preserve">СП 241.1311500.2015</w:t>
        </w:r>
      </w:hyperlink>
      <w:r>
        <w:rPr>
          <w:sz w:val="24"/>
        </w:rPr>
        <w:t xml:space="preserve"> "Системы противопожарной защиты. Установки водяного пожаротушения высотных стеллажных складов автоматические. Нормы и правила проектирования";</w:t>
      </w:r>
    </w:p>
    <w:p>
      <w:pPr>
        <w:pStyle w:val="0"/>
        <w:spacing w:before="240" w:lineRule="auto"/>
        <w:ind w:firstLine="540"/>
        <w:jc w:val="both"/>
      </w:pPr>
      <w:hyperlink w:history="0" r:id="rId32" w:tooltip="Приказ МЧС России от 10.04.2018 N 154 (ред. от 24.05.2023) &quot;Об утверждении свода правил &quot;Здания и сооружения для обслуживания автомобилей. Требования пожарной безопасности&quot; (вместе с &quot;СП 364.1311500.2018. Свод правил. Здания и сооружения для обслуживания автомобилей. Требования пожарной безопасности&quot;) {КонсультантПлюс}">
        <w:r>
          <w:rPr>
            <w:sz w:val="24"/>
            <w:color w:val="0000ff"/>
          </w:rPr>
          <w:t xml:space="preserve">СП 364.1311500.2018</w:t>
        </w:r>
      </w:hyperlink>
      <w:r>
        <w:rPr>
          <w:sz w:val="24"/>
        </w:rPr>
        <w:t xml:space="preserve"> "Здания и сооружения для обслуживания автомобилей. Требования пожарной безопасности";</w:t>
      </w:r>
    </w:p>
    <w:p>
      <w:pPr>
        <w:pStyle w:val="0"/>
        <w:spacing w:before="240" w:lineRule="auto"/>
        <w:ind w:firstLine="540"/>
        <w:jc w:val="both"/>
      </w:pPr>
      <w:hyperlink w:history="0" r:id="rId33"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34"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35"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spacing w:before="240" w:lineRule="auto"/>
        <w:ind w:firstLine="540"/>
        <w:jc w:val="both"/>
      </w:pPr>
      <w:hyperlink w:history="0" r:id="rId36" w:tooltip="&quot;ВНП 001-01/Банк России. Ведомственные нормы проектирования. Здания территориальных главных управлений, национальных банков и расчетно-кассовых центров Центрального банка Российской Федерации&quot; (утв. Приказом Банка России от 10.01.2002 N ОД-7) (ред. от 20.05.2010) {КонсультантПлюс}">
        <w:r>
          <w:rPr>
            <w:sz w:val="24"/>
            <w:color w:val="0000ff"/>
          </w:rPr>
          <w:t xml:space="preserve">ВНП 001-01</w:t>
        </w:r>
      </w:hyperlink>
      <w:r>
        <w:rPr>
          <w:sz w:val="24"/>
        </w:rPr>
        <w:t xml:space="preserve">/Банк России "Здания территориальных главных управлений, национальных банков и расчетно-кассовых центров Центрального банка Российской Федерации".</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целесообразно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 сокращения</w:t>
      </w:r>
    </w:p>
    <w:p>
      <w:pPr>
        <w:pStyle w:val="0"/>
        <w:jc w:val="both"/>
      </w:pPr>
      <w:r>
        <w:rPr>
          <w:sz w:val="24"/>
        </w:rPr>
      </w:r>
    </w:p>
    <w:p>
      <w:pPr>
        <w:pStyle w:val="0"/>
        <w:ind w:firstLine="540"/>
        <w:jc w:val="both"/>
      </w:pPr>
      <w:r>
        <w:rPr>
          <w:sz w:val="24"/>
        </w:rPr>
        <w:t xml:space="preserve">В настоящем своде правил приняты термины и определения, приведенные в </w:t>
      </w:r>
      <w:hyperlink w:history="0" w:anchor="P829" w:tooltip="[1] Федеральный закон от 22.07.2008 N 123-ФЗ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за исключением специально оговоренных случаев, применены следующие термины с соответствующими определениями:</w:t>
      </w:r>
    </w:p>
    <w:p>
      <w:pPr>
        <w:pStyle w:val="0"/>
        <w:spacing w:before="240" w:lineRule="auto"/>
        <w:ind w:firstLine="540"/>
        <w:jc w:val="both"/>
      </w:pPr>
      <w:r>
        <w:rPr>
          <w:sz w:val="24"/>
        </w:rPr>
        <w:t xml:space="preserve">3.1 охлаждаемая камера: Помещение, оборудованное системой искусственного охлаждения для поддержания температурного режима, как правило, в диапазоне температур от минус 30 °C до плюс 5 °C, соответствующего требованиям технологического процесса производства, содержания и хранения продукции без изменения качественных показателей и товарного вида в течение установленного нормативными документами периода;</w:t>
      </w:r>
    </w:p>
    <w:p>
      <w:pPr>
        <w:pStyle w:val="0"/>
        <w:spacing w:before="240" w:lineRule="auto"/>
        <w:ind w:firstLine="540"/>
        <w:jc w:val="both"/>
      </w:pPr>
      <w:r>
        <w:rPr>
          <w:sz w:val="24"/>
        </w:rPr>
        <w:t xml:space="preserve">3.2 помещение с мокрыми процессами: Помещение с влажностью внутреннего воздуха свыше 75% при температуре от 12 до 24 °C, а также с влажностью внутреннего воздуха свыше 60% при температуре свыше 24 °C.</w:t>
      </w:r>
    </w:p>
    <w:p>
      <w:pPr>
        <w:pStyle w:val="0"/>
        <w:spacing w:before="240" w:lineRule="auto"/>
        <w:ind w:firstLine="540"/>
        <w:jc w:val="both"/>
      </w:pPr>
      <w:r>
        <w:rPr>
          <w:sz w:val="24"/>
        </w:rPr>
        <w:t xml:space="preserve">3.3 холодильник промышленный: Здание, сооружение на территории производственного объекта с искусственным охлаждением воздуха в помещениях, предназначенных для охлаждения, замораживания, обработки и хранения продукции.</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АСУ ТП - автоматизированная система управления технологическим процессом;</w:t>
      </w:r>
    </w:p>
    <w:p>
      <w:pPr>
        <w:pStyle w:val="0"/>
        <w:spacing w:before="240" w:lineRule="auto"/>
        <w:ind w:firstLine="540"/>
        <w:jc w:val="both"/>
      </w:pPr>
      <w:r>
        <w:rPr>
          <w:sz w:val="24"/>
        </w:rPr>
        <w:t xml:space="preserve">АТС - автоматическая телефонная станция;</w:t>
      </w:r>
    </w:p>
    <w:p>
      <w:pPr>
        <w:pStyle w:val="0"/>
        <w:spacing w:before="240" w:lineRule="auto"/>
        <w:ind w:firstLine="540"/>
        <w:jc w:val="both"/>
      </w:pPr>
      <w:r>
        <w:rPr>
          <w:sz w:val="24"/>
        </w:rPr>
        <w:t xml:space="preserve">АУП - автоматическая установка пожаротушения;</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ЭВМ - электронно-вычислительная машина;</w:t>
      </w:r>
    </w:p>
    <w:p>
      <w:pPr>
        <w:pStyle w:val="0"/>
        <w:spacing w:before="240" w:lineRule="auto"/>
        <w:ind w:firstLine="540"/>
        <w:jc w:val="both"/>
      </w:pPr>
      <w:r>
        <w:rPr>
          <w:sz w:val="24"/>
        </w:rPr>
        <w:t xml:space="preserve">УПА - установка пожаротушения автономная.</w:t>
      </w:r>
    </w:p>
    <w:p>
      <w:pPr>
        <w:pStyle w:val="0"/>
        <w:jc w:val="both"/>
      </w:pPr>
      <w:r>
        <w:rPr>
          <w:sz w:val="24"/>
        </w:rPr>
        <w:t xml:space="preserve">(абзац введен </w:t>
      </w:r>
      <w:hyperlink w:history="0" r:id="rId3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определении необходимости защиты здания и его отдельных помещений автоматическими установками пожаротушения и (или) системой пожарной сигнализации следует в первую очередь определить необходимость защиты здания в целом </w:t>
      </w:r>
      <w:hyperlink w:history="0" w:anchor="P173" w:tooltip="Таблица 1 - Здания">
        <w:r>
          <w:rPr>
            <w:sz w:val="24"/>
            <w:color w:val="0000ff"/>
          </w:rPr>
          <w:t xml:space="preserve">(таблица 1)</w:t>
        </w:r>
      </w:hyperlink>
      <w:r>
        <w:rPr>
          <w:sz w:val="24"/>
        </w:rPr>
        <w:t xml:space="preserve">, затем определить необходимость защиты каждого сооружения </w:t>
      </w:r>
      <w:hyperlink w:history="0" w:anchor="P332" w:tooltip="Таблица 2 - Сооружения">
        <w:r>
          <w:rPr>
            <w:sz w:val="24"/>
            <w:color w:val="0000ff"/>
          </w:rPr>
          <w:t xml:space="preserve">(таблица 2)</w:t>
        </w:r>
      </w:hyperlink>
      <w:r>
        <w:rPr>
          <w:sz w:val="24"/>
        </w:rPr>
        <w:t xml:space="preserve"> и помещения </w:t>
      </w:r>
      <w:hyperlink w:history="0" w:anchor="P424" w:tooltip="Таблица 3 - Помещения">
        <w:r>
          <w:rPr>
            <w:sz w:val="24"/>
            <w:color w:val="0000ff"/>
          </w:rPr>
          <w:t xml:space="preserve">(таблица 3)</w:t>
        </w:r>
      </w:hyperlink>
      <w:r>
        <w:rPr>
          <w:sz w:val="24"/>
        </w:rPr>
        <w:t xml:space="preserve">, входящих в состав здания, и на последнем этапе определить необходимость защиты оборудования, находящегося в помещениях здания </w:t>
      </w:r>
      <w:hyperlink w:history="0" w:anchor="P751" w:tooltip="Таблица 4 - Оборудование">
        <w:r>
          <w:rPr>
            <w:sz w:val="24"/>
            <w:color w:val="0000ff"/>
          </w:rPr>
          <w:t xml:space="preserve">(таблица 4)</w:t>
        </w:r>
      </w:hyperlink>
      <w:r>
        <w:rPr>
          <w:sz w:val="24"/>
        </w:rPr>
        <w:t xml:space="preserve">. При этом наряду с требованиями, указанными в таблицах, также учитываются положения настоящего раздела.</w:t>
      </w:r>
    </w:p>
    <w:p>
      <w:pPr>
        <w:pStyle w:val="0"/>
        <w:jc w:val="both"/>
      </w:pPr>
      <w:r>
        <w:rPr>
          <w:sz w:val="24"/>
        </w:rPr>
        <w:t xml:space="preserve">(в ред. </w:t>
      </w:r>
      <w:hyperlink w:history="0" r:id="rId3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В случае отсутствия требований к зданию в целом следует руководствоваться требованиями по защите отдельных помещений и (или) сооружений, входящих в состав здания.</w:t>
      </w:r>
    </w:p>
    <w:p>
      <w:pPr>
        <w:pStyle w:val="0"/>
        <w:jc w:val="both"/>
      </w:pPr>
      <w:r>
        <w:rPr>
          <w:sz w:val="24"/>
        </w:rPr>
        <w:t xml:space="preserve">(абзац введен </w:t>
      </w:r>
      <w:hyperlink w:history="0" r:id="rId3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4.2 Под зданием в настоящем своде правил понимается здание в целом или пожарный отсек, выделенный от остальной части здания противопожарными стенами 1-го типа. Для зданий, имеющих подземную и надземную части, выделенные в самостоятельные пожарные отсеки с обособленными эвакуационными выходами, указанные части (надземную и подземную) в контексте настоящего свода правил допускается рассматривать как отдельные здания.</w:t>
      </w:r>
    </w:p>
    <w:bookmarkStart w:id="122" w:name="P122"/>
    <w:bookmarkEnd w:id="122"/>
    <w:p>
      <w:pPr>
        <w:pStyle w:val="0"/>
        <w:spacing w:before="240" w:lineRule="auto"/>
        <w:ind w:firstLine="540"/>
        <w:jc w:val="both"/>
      </w:pPr>
      <w:r>
        <w:rPr>
          <w:sz w:val="24"/>
        </w:rPr>
        <w:t xml:space="preserve">Под нормативным показателем площади помещения в </w:t>
      </w:r>
      <w:hyperlink w:history="0" w:anchor="P424" w:tooltip="Таблица 3 - Помещения">
        <w:r>
          <w:rPr>
            <w:sz w:val="24"/>
            <w:color w:val="0000ff"/>
          </w:rPr>
          <w:t xml:space="preserve">таблице 3</w:t>
        </w:r>
      </w:hyperlink>
      <w:r>
        <w:rPr>
          <w:sz w:val="24"/>
        </w:rPr>
        <w:t xml:space="preserve"> настоящего свода правил понимается площадь части здания или сооружения, выделенная противопожарными преградами следующих типов: противопожарными перегородками не ниже 1 типа, стенами не ниже 2 типа, перекрытиями не ниже 3 типа - для зданий и сооружений I - III степени огнестойкости; противопожарными перегородками не ниже 2 типа; перекрытиями не ниже 4 типа - для зданий и сооружений IV - V степеней огнестойкости. Для зданий и сооружений, в составе которых отсутствуют части (помещения), выделенные ограждающими конструкциями с указанным пределом огнестойкости, под нормативным показателем площади помещения в </w:t>
      </w:r>
      <w:hyperlink w:history="0" w:anchor="P424" w:tooltip="Таблица 3 - Помещения">
        <w:r>
          <w:rPr>
            <w:sz w:val="24"/>
            <w:color w:val="0000ff"/>
          </w:rPr>
          <w:t xml:space="preserve">таблице 3</w:t>
        </w:r>
      </w:hyperlink>
      <w:r>
        <w:rPr>
          <w:sz w:val="24"/>
        </w:rPr>
        <w:t xml:space="preserve"> настоящего свода правил понимается площадь, выделенная наружными ограждающими конструкциями здания или сооружения.</w:t>
      </w:r>
    </w:p>
    <w:p>
      <w:pPr>
        <w:pStyle w:val="0"/>
        <w:jc w:val="both"/>
      </w:pPr>
      <w:r>
        <w:rPr>
          <w:sz w:val="24"/>
        </w:rPr>
        <w:t xml:space="preserve">(в ред. </w:t>
      </w:r>
      <w:hyperlink w:history="0" r:id="rId4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Примечание: на помещения, не подлежащие защите АУП, но при этом подлежащие защите СПС независимо от площади, положения </w:t>
      </w:r>
      <w:hyperlink w:history="0" w:anchor="P122" w:tooltip="Под нормативным показателем площади помещения в таблице 3 настоящего свода правил понимается площадь части здания или сооружения, выделенная противопожарными преградами следующих типов: противопожарными перегородками не ниже 1 типа, стенами не ниже 2 типа, перекрытиями не ниже 3 типа - для зданий и сооружений I - III степени огнестойкости; противопожарными перегородками не ниже 2 типа; перекрытиями не ниже 4 типа - для зданий и сооружений IV - V степеней огнестойкости. Для зданий и сооружений, в составе ...">
        <w:r>
          <w:rPr>
            <w:sz w:val="24"/>
            <w:color w:val="0000ff"/>
          </w:rPr>
          <w:t xml:space="preserve">абзаца второго пункта 4.2</w:t>
        </w:r>
      </w:hyperlink>
      <w:r>
        <w:rPr>
          <w:sz w:val="24"/>
        </w:rPr>
        <w:t xml:space="preserve"> настоящего свода правил не распространяются.</w:t>
      </w:r>
    </w:p>
    <w:p>
      <w:pPr>
        <w:pStyle w:val="0"/>
        <w:jc w:val="both"/>
      </w:pPr>
      <w:r>
        <w:rPr>
          <w:sz w:val="24"/>
        </w:rPr>
        <w:t xml:space="preserve">(примечание введено </w:t>
      </w:r>
      <w:hyperlink w:history="0" r:id="rId4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ind w:firstLine="540"/>
        <w:jc w:val="both"/>
      </w:pPr>
      <w:r>
        <w:rPr>
          <w:sz w:val="24"/>
        </w:rPr>
      </w:r>
    </w:p>
    <w:p>
      <w:pPr>
        <w:pStyle w:val="0"/>
        <w:ind w:firstLine="540"/>
        <w:jc w:val="both"/>
      </w:pPr>
      <w:r>
        <w:rPr>
          <w:sz w:val="24"/>
        </w:rPr>
        <w:t xml:space="preserve">4.3 Тип АУП, способ тушения, вид огнетушащих веществ, тип оборудования СПС определяются проектной организацией в зависимости от технологических, конструктивных и объемно-планировочных особенностей защищаемых объектов в соответствии с требованиями </w:t>
      </w:r>
      <w:hyperlink w:history="0" r:id="rId42"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w:t>
      </w:r>
      <w:hyperlink w:history="0" r:id="rId43"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а также </w:t>
      </w:r>
      <w:hyperlink w:history="0" r:id="rId44" w:tooltip="Приказ МЧС России от 20.08.2015 N 453 &quot;Об утверждении свода правил &quot;Системы противопожарной защиты. Установки водяного пожаротушения высотных стеллажных складов автоматические. Нормы и правила проектирования&quot; (вместе с &quot;СП 241.1311500.2015. Свод правил...&quot;) {КонсультантПлюс}">
        <w:r>
          <w:rPr>
            <w:sz w:val="24"/>
            <w:color w:val="0000ff"/>
          </w:rPr>
          <w:t xml:space="preserve">СП 241.1311500.2015</w:t>
        </w:r>
      </w:hyperlink>
      <w:r>
        <w:rPr>
          <w:sz w:val="24"/>
        </w:rPr>
        <w:t xml:space="preserve"> с учетом положений настоящего свода правил.</w:t>
      </w:r>
    </w:p>
    <w:p>
      <w:pPr>
        <w:pStyle w:val="0"/>
        <w:jc w:val="both"/>
      </w:pPr>
      <w:r>
        <w:rPr>
          <w:sz w:val="24"/>
        </w:rPr>
        <w:t xml:space="preserve">(п. 4.3 в ред. </w:t>
      </w:r>
      <w:hyperlink w:history="0" r:id="rId45"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bookmarkStart w:id="129" w:name="P129"/>
    <w:bookmarkEnd w:id="129"/>
    <w:p>
      <w:pPr>
        <w:pStyle w:val="0"/>
        <w:spacing w:before="240" w:lineRule="auto"/>
        <w:ind w:firstLine="540"/>
        <w:jc w:val="both"/>
      </w:pPr>
      <w:r>
        <w:rPr>
          <w:sz w:val="24"/>
        </w:rPr>
        <w:t xml:space="preserve">4.4 В зданиях и сооружениях, указанных в данном перечне, следует защищать АУП и (или) СПС все помещения независимо от площади, кроме помещений:</w:t>
      </w:r>
    </w:p>
    <w:p>
      <w:pPr>
        <w:pStyle w:val="0"/>
        <w:spacing w:before="240" w:lineRule="auto"/>
        <w:ind w:firstLine="540"/>
        <w:jc w:val="both"/>
      </w:pPr>
      <w:r>
        <w:rPr>
          <w:sz w:val="24"/>
        </w:rPr>
        <w:t xml:space="preserve">- с мокрыми процессами, душевых, плавательных бассейнов, санузлов, мойки;</w:t>
      </w:r>
    </w:p>
    <w:p>
      <w:pPr>
        <w:pStyle w:val="0"/>
        <w:spacing w:before="240" w:lineRule="auto"/>
        <w:ind w:firstLine="540"/>
        <w:jc w:val="both"/>
      </w:pPr>
      <w:r>
        <w:rPr>
          <w:sz w:val="24"/>
        </w:rPr>
        <w:t xml:space="preserve">- венткамер (за исключением вытяжных, обслуживающих производственные помещения категории А или Б), насосных водоснабжения, бойлерных, тепловых пунктов, помещений для инженерных коммуникаций водоснабжения и канализации;</w:t>
      </w:r>
    </w:p>
    <w:p>
      <w:pPr>
        <w:pStyle w:val="0"/>
        <w:jc w:val="both"/>
      </w:pPr>
      <w:r>
        <w:rPr>
          <w:sz w:val="24"/>
        </w:rPr>
        <w:t xml:space="preserve">(в ред. </w:t>
      </w:r>
      <w:hyperlink w:history="0" r:id="rId4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 категории В4 (за исключением помещений категории В4 в зданиях классов функциональной пожарной опасности Ф1.1, Ф1.2, Ф2.1, Ф4.1 и Ф4.2) и Д по пожарной опасности;</w:t>
      </w:r>
    </w:p>
    <w:p>
      <w:pPr>
        <w:pStyle w:val="0"/>
        <w:spacing w:before="240" w:lineRule="auto"/>
        <w:ind w:firstLine="540"/>
        <w:jc w:val="both"/>
      </w:pPr>
      <w:r>
        <w:rPr>
          <w:sz w:val="24"/>
        </w:rPr>
        <w:t xml:space="preserve">- лестничных клеток (за исключением лестничных клеток в многоквартирных жилых зданиях с выходом из квартир непосредственно в объем лестничной клетки);</w:t>
      </w:r>
    </w:p>
    <w:p>
      <w:pPr>
        <w:pStyle w:val="0"/>
        <w:jc w:val="both"/>
      </w:pPr>
      <w:r>
        <w:rPr>
          <w:sz w:val="24"/>
        </w:rPr>
        <w:t xml:space="preserve">(в ред. </w:t>
      </w:r>
      <w:hyperlink w:history="0" r:id="rId4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 тамбуров и тамбур-шлюзов;</w:t>
      </w:r>
    </w:p>
    <w:p>
      <w:pPr>
        <w:pStyle w:val="0"/>
        <w:spacing w:before="240" w:lineRule="auto"/>
        <w:ind w:firstLine="540"/>
        <w:jc w:val="both"/>
      </w:pPr>
      <w:r>
        <w:rPr>
          <w:sz w:val="24"/>
        </w:rPr>
        <w:t xml:space="preserve">- чердаков (за исключением чердаков в зданиях классов функциональной пожарной опасности Ф1.1, Ф1.2, Ф2.1, Ф4.1 и Ф4.2);</w:t>
      </w:r>
    </w:p>
    <w:p>
      <w:pPr>
        <w:pStyle w:val="0"/>
        <w:spacing w:before="240" w:lineRule="auto"/>
        <w:ind w:firstLine="540"/>
        <w:jc w:val="both"/>
      </w:pPr>
      <w:r>
        <w:rPr>
          <w:sz w:val="24"/>
        </w:rPr>
        <w:t xml:space="preserve">- категории Г по пожарной опасности (за исключением котельных залов при использовании котлов с камерными топками, работающими на газообразном, жидком и твердом топливе в пылевидном состоянии).</w:t>
      </w:r>
    </w:p>
    <w:p>
      <w:pPr>
        <w:pStyle w:val="0"/>
        <w:jc w:val="both"/>
      </w:pPr>
      <w:r>
        <w:rPr>
          <w:sz w:val="24"/>
        </w:rPr>
        <w:t xml:space="preserve">(абзац введен </w:t>
      </w:r>
      <w:hyperlink w:history="0" r:id="rId4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Примечание: в помещениях категории В4 по пожарной опасности в зданиях классов функциональной пожарной опасности Ф1.1, Ф1.2, Ф2.1, Ф4.1 и Ф4.2, лифтовых холлах, пожаробезопасных зонах 1-го типа по </w:t>
      </w:r>
      <w:hyperlink w:history="0" r:id="rId4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охлаждаемых камерах (не относящихся к категориям В4 и Д по пожарной опасности), а также классов чистоты А1, А2 (по </w:t>
      </w:r>
      <w:hyperlink w:history="0" r:id="rId50"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предусматривается установка только СПС.</w:t>
      </w:r>
    </w:p>
    <w:p>
      <w:pPr>
        <w:pStyle w:val="0"/>
        <w:jc w:val="both"/>
      </w:pPr>
      <w:r>
        <w:rPr>
          <w:sz w:val="24"/>
        </w:rPr>
        <w:t xml:space="preserve">(примечание в ред. </w:t>
      </w:r>
      <w:hyperlink w:history="0" r:id="rId5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ind w:firstLine="540"/>
        <w:jc w:val="both"/>
      </w:pPr>
      <w:r>
        <w:rPr>
          <w:sz w:val="24"/>
        </w:rPr>
      </w:r>
    </w:p>
    <w:p>
      <w:pPr>
        <w:pStyle w:val="0"/>
        <w:ind w:firstLine="540"/>
        <w:jc w:val="both"/>
      </w:pPr>
      <w:r>
        <w:rPr>
          <w:sz w:val="24"/>
        </w:rPr>
        <w:t xml:space="preserve">Лифтовые шахты не подлежат защите СПС и АУП.</w:t>
      </w:r>
    </w:p>
    <w:p>
      <w:pPr>
        <w:pStyle w:val="0"/>
        <w:jc w:val="both"/>
      </w:pPr>
      <w:r>
        <w:rPr>
          <w:sz w:val="24"/>
        </w:rPr>
        <w:t xml:space="preserve">(абзац введен </w:t>
      </w:r>
      <w:hyperlink w:history="0" r:id="rId5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4.5 Если площадь помещений, подлежащих оборудованию АУП, составляет 40% и более от общей площади этажей здания, сооружения, следует предусматривать оборудование здания, сооружения в целом АУП с учетом требований </w:t>
      </w:r>
      <w:hyperlink w:history="0" w:anchor="P129" w:tooltip="4.4 В зданиях и сооружениях, указанных в данном перечне, следует защищать АУП и (или) СПС все помещения независимо от площади, кроме помещений:">
        <w:r>
          <w:rPr>
            <w:sz w:val="24"/>
            <w:color w:val="0000ff"/>
          </w:rPr>
          <w:t xml:space="preserve">пункта 4.4</w:t>
        </w:r>
      </w:hyperlink>
      <w:r>
        <w:rPr>
          <w:sz w:val="24"/>
        </w:rPr>
        <w:t xml:space="preserve">.</w:t>
      </w:r>
    </w:p>
    <w:p>
      <w:pPr>
        <w:pStyle w:val="0"/>
        <w:spacing w:before="240" w:lineRule="auto"/>
        <w:ind w:firstLine="540"/>
        <w:jc w:val="both"/>
      </w:pPr>
      <w:r>
        <w:rPr>
          <w:sz w:val="24"/>
        </w:rPr>
        <w:t xml:space="preserve">4.6 Категория зданий и помещений по взрывопожарной и пожарной опасности определяется в соответствии с нормативными документами по пожарной безопасности, утвержденными в установленном порядке.</w:t>
      </w:r>
    </w:p>
    <w:p>
      <w:pPr>
        <w:pStyle w:val="0"/>
        <w:spacing w:before="240" w:lineRule="auto"/>
        <w:ind w:firstLine="540"/>
        <w:jc w:val="both"/>
      </w:pPr>
      <w:r>
        <w:rPr>
          <w:sz w:val="24"/>
        </w:rPr>
        <w:t xml:space="preserve">4.7 Защита наружных установок с обращением взрывопожароопасных и пожароопасных веществ и материалов АУП и СПС определяется нормативными документами по пожарной безопасности.</w:t>
      </w:r>
    </w:p>
    <w:p>
      <w:pPr>
        <w:pStyle w:val="0"/>
        <w:spacing w:before="240" w:lineRule="auto"/>
        <w:ind w:firstLine="540"/>
        <w:jc w:val="both"/>
      </w:pPr>
      <w:r>
        <w:rPr>
          <w:sz w:val="24"/>
        </w:rPr>
        <w:t xml:space="preserve">4.8 Перечень зданий, сооружений, помещений и оборудования, подлежащих защите АУП и (или) СПС, представлен в </w:t>
      </w:r>
      <w:hyperlink w:history="0" w:anchor="P173" w:tooltip="Таблица 1 - Здания">
        <w:r>
          <w:rPr>
            <w:sz w:val="24"/>
            <w:color w:val="0000ff"/>
          </w:rPr>
          <w:t xml:space="preserve">таблицах 1</w:t>
        </w:r>
      </w:hyperlink>
      <w:r>
        <w:rPr>
          <w:sz w:val="24"/>
        </w:rPr>
        <w:t xml:space="preserve"> - </w:t>
      </w:r>
      <w:hyperlink w:history="0" w:anchor="P751" w:tooltip="Таблица 4 - Оборудование">
        <w:r>
          <w:rPr>
            <w:sz w:val="24"/>
            <w:color w:val="0000ff"/>
          </w:rPr>
          <w:t xml:space="preserve">4</w:t>
        </w:r>
      </w:hyperlink>
      <w:r>
        <w:rPr>
          <w:sz w:val="24"/>
        </w:rPr>
        <w:t xml:space="preserve">.</w:t>
      </w:r>
    </w:p>
    <w:p>
      <w:pPr>
        <w:pStyle w:val="0"/>
        <w:spacing w:before="240" w:lineRule="auto"/>
        <w:ind w:firstLine="540"/>
        <w:jc w:val="both"/>
      </w:pPr>
      <w:r>
        <w:rPr>
          <w:sz w:val="24"/>
        </w:rPr>
        <w:t xml:space="preserve">В случае превышения приведенного в </w:t>
      </w:r>
      <w:hyperlink w:history="0" w:anchor="P173" w:tooltip="Таблица 1 - Здания">
        <w:r>
          <w:rPr>
            <w:sz w:val="24"/>
            <w:color w:val="0000ff"/>
          </w:rPr>
          <w:t xml:space="preserve">таблицах 1</w:t>
        </w:r>
      </w:hyperlink>
      <w:r>
        <w:rPr>
          <w:sz w:val="24"/>
        </w:rPr>
        <w:t xml:space="preserve"> и </w:t>
      </w:r>
      <w:hyperlink w:history="0" w:anchor="P424" w:tooltip="Таблица 3 - Помещения">
        <w:r>
          <w:rPr>
            <w:sz w:val="24"/>
            <w:color w:val="0000ff"/>
          </w:rPr>
          <w:t xml:space="preserve">3</w:t>
        </w:r>
      </w:hyperlink>
      <w:r>
        <w:rPr>
          <w:sz w:val="24"/>
        </w:rPr>
        <w:t xml:space="preserve"> значения нормативного показателя площади здания (помещения) в пределах 5% допускается защита здания (помещения) СПС без использования АУП.</w:t>
      </w:r>
    </w:p>
    <w:p>
      <w:pPr>
        <w:pStyle w:val="0"/>
        <w:spacing w:before="240" w:lineRule="auto"/>
        <w:ind w:firstLine="540"/>
        <w:jc w:val="both"/>
      </w:pPr>
      <w:r>
        <w:rPr>
          <w:sz w:val="24"/>
        </w:rPr>
        <w:t xml:space="preserve">4.9 Помещения зданий классов функциональной пожарной опасности Ф1, Ф2, Ф3 и Ф4, защищаемые согласно настоящему своду правил АУП, должны дополнительно оборудоваться СПС.</w:t>
      </w:r>
    </w:p>
    <w:p>
      <w:pPr>
        <w:pStyle w:val="0"/>
        <w:spacing w:before="240" w:lineRule="auto"/>
        <w:ind w:firstLine="540"/>
        <w:jc w:val="both"/>
      </w:pPr>
      <w:r>
        <w:rPr>
          <w:sz w:val="24"/>
        </w:rPr>
        <w:t xml:space="preserve">Помещения зданий класса функциональной пожарной опасности Ф5, защищаемые согласно настоящему своду правил АУП, как правило, должны дополнительно оборудоваться СПС. Допускается не предусматривать СПС при обеспечении безопасной эвакуации людей из здания с учетом инерционности срабатывания АУП.</w:t>
      </w:r>
    </w:p>
    <w:p>
      <w:pPr>
        <w:pStyle w:val="0"/>
        <w:jc w:val="both"/>
      </w:pPr>
      <w:r>
        <w:rPr>
          <w:sz w:val="24"/>
        </w:rPr>
        <w:t xml:space="preserve">(в ред. </w:t>
      </w:r>
      <w:hyperlink w:history="0" r:id="rId53"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spacing w:before="240" w:lineRule="auto"/>
        <w:ind w:firstLine="540"/>
        <w:jc w:val="both"/>
      </w:pPr>
      <w:r>
        <w:rPr>
          <w:sz w:val="24"/>
        </w:rPr>
        <w:t xml:space="preserve">Безопасная эвакуация людей из здания считается обеспеченной при соблюдении неравенства:</w:t>
      </w:r>
    </w:p>
    <w:p>
      <w:pPr>
        <w:pStyle w:val="0"/>
        <w:jc w:val="both"/>
      </w:pPr>
      <w:r>
        <w:rPr>
          <w:sz w:val="24"/>
        </w:rPr>
        <w:t xml:space="preserve">(абзац введен </w:t>
      </w:r>
      <w:hyperlink w:history="0" r:id="rId5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jc w:val="both"/>
      </w:pPr>
      <w:r>
        <w:rPr>
          <w:sz w:val="24"/>
        </w:rPr>
      </w:r>
    </w:p>
    <w:p>
      <w:pPr>
        <w:pStyle w:val="0"/>
        <w:ind w:firstLine="540"/>
        <w:jc w:val="both"/>
      </w:pPr>
      <w:r>
        <w:rPr>
          <w:position w:val="-10"/>
        </w:rPr>
        <w:drawing>
          <wp:inline distT="0" distB="0" distL="0" distR="0">
            <wp:extent cx="147447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1474470" cy="285750"/>
                    </a:xfrm>
                    <a:prstGeom prst="rect">
                      <a:avLst/>
                    </a:prstGeom>
                    <a:noFill/>
                    <a:ln>
                      <a:noFill/>
                    </a:ln>
                  </pic:spPr>
                </pic:pic>
              </a:graphicData>
            </a:graphic>
          </wp:inline>
        </w:drawing>
      </w:r>
    </w:p>
    <w:p>
      <w:pPr>
        <w:pStyle w:val="0"/>
        <w:jc w:val="both"/>
      </w:pPr>
      <w:r>
        <w:rPr>
          <w:sz w:val="24"/>
        </w:rPr>
        <w:t xml:space="preserve">(абзац введен </w:t>
      </w:r>
      <w:hyperlink w:history="0" r:id="rId5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jc w:val="both"/>
      </w:pPr>
      <w:r>
        <w:rPr>
          <w:sz w:val="24"/>
        </w:rPr>
      </w:r>
    </w:p>
    <w:p>
      <w:pPr>
        <w:pStyle w:val="0"/>
        <w:ind w:firstLine="540"/>
        <w:jc w:val="both"/>
      </w:pPr>
      <w:r>
        <w:rPr>
          <w:sz w:val="24"/>
        </w:rPr>
        <w:t xml:space="preserve">где t</w:t>
      </w:r>
      <w:r>
        <w:rPr>
          <w:sz w:val="24"/>
          <w:vertAlign w:val="subscript"/>
        </w:rPr>
        <w:t xml:space="preserve">р</w:t>
      </w:r>
      <w:r>
        <w:rPr>
          <w:sz w:val="24"/>
        </w:rPr>
        <w:t xml:space="preserve"> - расчетное время эвакуации,</w:t>
      </w:r>
    </w:p>
    <w:p>
      <w:pPr>
        <w:pStyle w:val="0"/>
        <w:jc w:val="both"/>
      </w:pPr>
      <w:r>
        <w:rPr>
          <w:sz w:val="24"/>
        </w:rPr>
        <w:t xml:space="preserve">(абзац введен </w:t>
      </w:r>
      <w:hyperlink w:history="0" r:id="rId5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t</w:t>
      </w:r>
      <w:r>
        <w:rPr>
          <w:sz w:val="24"/>
          <w:vertAlign w:val="subscript"/>
        </w:rPr>
        <w:t xml:space="preserve">н.э.</w:t>
      </w:r>
      <w:r>
        <w:rPr>
          <w:sz w:val="24"/>
        </w:rPr>
        <w:t xml:space="preserve"> - время начала эвакуации,</w:t>
      </w:r>
    </w:p>
    <w:p>
      <w:pPr>
        <w:pStyle w:val="0"/>
        <w:jc w:val="both"/>
      </w:pPr>
      <w:r>
        <w:rPr>
          <w:sz w:val="24"/>
        </w:rPr>
        <w:t xml:space="preserve">(абзац введен </w:t>
      </w:r>
      <w:hyperlink w:history="0" r:id="rId5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t</w:t>
      </w:r>
      <w:r>
        <w:rPr>
          <w:sz w:val="24"/>
          <w:vertAlign w:val="subscript"/>
        </w:rPr>
        <w:t xml:space="preserve">бл</w:t>
      </w:r>
      <w:r>
        <w:rPr>
          <w:sz w:val="24"/>
        </w:rPr>
        <w:t xml:space="preserve"> - время блокирования путей эвакуации.</w:t>
      </w:r>
    </w:p>
    <w:p>
      <w:pPr>
        <w:pStyle w:val="0"/>
        <w:jc w:val="both"/>
      </w:pPr>
      <w:r>
        <w:rPr>
          <w:sz w:val="24"/>
        </w:rPr>
        <w:t xml:space="preserve">(абзац введен </w:t>
      </w:r>
      <w:hyperlink w:history="0" r:id="rId5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Определение величин t</w:t>
      </w:r>
      <w:r>
        <w:rPr>
          <w:sz w:val="24"/>
          <w:vertAlign w:val="subscript"/>
        </w:rPr>
        <w:t xml:space="preserve">р</w:t>
      </w:r>
      <w:r>
        <w:rPr>
          <w:sz w:val="24"/>
        </w:rPr>
        <w:t xml:space="preserve">, t</w:t>
      </w:r>
      <w:r>
        <w:rPr>
          <w:sz w:val="24"/>
          <w:vertAlign w:val="subscript"/>
        </w:rPr>
        <w:t xml:space="preserve">н.э.</w:t>
      </w:r>
      <w:r>
        <w:rPr>
          <w:sz w:val="24"/>
        </w:rPr>
        <w:t xml:space="preserve">, и t</w:t>
      </w:r>
      <w:r>
        <w:rPr>
          <w:sz w:val="24"/>
          <w:vertAlign w:val="subscript"/>
        </w:rPr>
        <w:t xml:space="preserve">бл</w:t>
      </w:r>
      <w:r>
        <w:rPr>
          <w:sz w:val="24"/>
        </w:rPr>
        <w:t xml:space="preserve"> выполняется согласно </w:t>
      </w:r>
      <w:hyperlink w:history="0" r:id="rId60" w:tooltip="Приказ МЧС России от 26.06.2024 N 533 &quot;Об утверждении методики определения расчетных величин пожарного риска на производственных объектах&quot; (Зарегистрировано в Минюсте России 02.09.2024 N 79360) {КонсультантПлюс}">
        <w:r>
          <w:rPr>
            <w:sz w:val="24"/>
            <w:color w:val="0000ff"/>
          </w:rPr>
          <w:t xml:space="preserve">Методике</w:t>
        </w:r>
      </w:hyperlink>
      <w:r>
        <w:rPr>
          <w:sz w:val="24"/>
        </w:rPr>
        <w:t xml:space="preserve"> </w:t>
      </w:r>
      <w:hyperlink w:history="0" w:anchor="P830" w:tooltip="[2] Методика определения расчетных величин пожарного риска на производственных объектах, утвержденная приказом МЧС России от 26.06.2024 N 533;">
        <w:r>
          <w:rPr>
            <w:sz w:val="24"/>
            <w:color w:val="0000ff"/>
          </w:rPr>
          <w:t xml:space="preserve">[2]</w:t>
        </w:r>
      </w:hyperlink>
      <w:r>
        <w:rPr>
          <w:sz w:val="24"/>
        </w:rPr>
        <w:t xml:space="preserve"> (значение величины t</w:t>
      </w:r>
      <w:r>
        <w:rPr>
          <w:sz w:val="24"/>
          <w:vertAlign w:val="subscript"/>
        </w:rPr>
        <w:t xml:space="preserve">н.э.</w:t>
      </w:r>
      <w:r>
        <w:rPr>
          <w:sz w:val="24"/>
        </w:rPr>
        <w:t xml:space="preserve"> определяется по </w:t>
      </w:r>
      <w:hyperlink w:history="0" r:id="rId61" w:tooltip="Приказ МЧС России от 26.06.2024 N 533 &quot;Об утверждении методики определения расчетных величин пожарного риска на производственных объектах&quot; (Зарегистрировано в Минюсте России 02.09.2024 N 79360) {КонсультантПлюс}">
        <w:r>
          <w:rPr>
            <w:sz w:val="24"/>
            <w:color w:val="0000ff"/>
          </w:rPr>
          <w:t xml:space="preserve">формуле (12)</w:t>
        </w:r>
      </w:hyperlink>
      <w:r>
        <w:rPr>
          <w:sz w:val="24"/>
        </w:rPr>
        <w:t xml:space="preserve"> Методики </w:t>
      </w:r>
      <w:hyperlink w:history="0" w:anchor="P830" w:tooltip="[2] Методика определения расчетных величин пожарного риска на производственных объектах, утвержденная приказом МЧС России от 26.06.2024 N 533;">
        <w:r>
          <w:rPr>
            <w:sz w:val="24"/>
            <w:color w:val="0000ff"/>
          </w:rPr>
          <w:t xml:space="preserve">[2]</w:t>
        </w:r>
      </w:hyperlink>
      <w:r>
        <w:rPr>
          <w:sz w:val="24"/>
        </w:rPr>
        <w:t xml:space="preserve">), оценку времени срабатывания АУП допускается выполнять в соответствии с </w:t>
      </w:r>
      <w:hyperlink w:history="0" r:id="rId62"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Приложением N 11</w:t>
        </w:r>
      </w:hyperlink>
      <w:r>
        <w:rPr>
          <w:sz w:val="24"/>
        </w:rPr>
        <w:t xml:space="preserve"> к Методике </w:t>
      </w:r>
      <w:hyperlink w:history="0" w:anchor="P831" w:tooltip="[3]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11.2022 N 1140.">
        <w:r>
          <w:rPr>
            <w:sz w:val="24"/>
            <w:color w:val="0000ff"/>
          </w:rPr>
          <w:t xml:space="preserve">[3]</w:t>
        </w:r>
      </w:hyperlink>
      <w:r>
        <w:rPr>
          <w:sz w:val="24"/>
        </w:rPr>
        <w:t xml:space="preserve">.</w:t>
      </w:r>
    </w:p>
    <w:p>
      <w:pPr>
        <w:pStyle w:val="0"/>
        <w:jc w:val="both"/>
      </w:pPr>
      <w:r>
        <w:rPr>
          <w:sz w:val="24"/>
        </w:rPr>
        <w:t xml:space="preserve">(абзац введен </w:t>
      </w:r>
      <w:hyperlink w:history="0" r:id="rId63"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spacing w:before="240" w:lineRule="auto"/>
        <w:ind w:firstLine="540"/>
        <w:jc w:val="both"/>
      </w:pPr>
      <w:r>
        <w:rPr>
          <w:sz w:val="24"/>
        </w:rPr>
        <w:t xml:space="preserve">4.10 Помещения, перечисленные в </w:t>
      </w:r>
      <w:hyperlink w:history="0" w:anchor="P424" w:tooltip="Таблица 3 - Помещения">
        <w:r>
          <w:rPr>
            <w:sz w:val="24"/>
            <w:color w:val="0000ff"/>
          </w:rPr>
          <w:t xml:space="preserve">таблице 3</w:t>
        </w:r>
      </w:hyperlink>
      <w:r>
        <w:rPr>
          <w:sz w:val="24"/>
        </w:rPr>
        <w:t xml:space="preserve">, а также сооружения, указанные в </w:t>
      </w:r>
      <w:hyperlink w:history="0" w:anchor="P384" w:tooltip="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lt;2&gt;, &lt;3&gt;">
        <w:r>
          <w:rPr>
            <w:sz w:val="24"/>
            <w:color w:val="0000ff"/>
          </w:rPr>
          <w:t xml:space="preserve">пункте 10</w:t>
        </w:r>
      </w:hyperlink>
      <w:r>
        <w:rPr>
          <w:sz w:val="24"/>
        </w:rPr>
        <w:t xml:space="preserve"> таблицы 2, оборудуются соответствующими системами противопожарной защиты независимо от назначения здания, в состав которого они входят.</w:t>
      </w:r>
    </w:p>
    <w:p>
      <w:pPr>
        <w:pStyle w:val="0"/>
        <w:spacing w:before="240" w:lineRule="auto"/>
        <w:ind w:firstLine="540"/>
        <w:jc w:val="both"/>
      </w:pPr>
      <w:r>
        <w:rPr>
          <w:sz w:val="24"/>
        </w:rPr>
        <w:t xml:space="preserve">4.11 Оборудование системами противопожарной защиты помещений автозаправочных станций (далее - АЗС) следует осуществлять в соответствии с положениями </w:t>
      </w:r>
      <w:hyperlink w:history="0" r:id="rId64" w:tooltip="Приказ МЧС России от 05.05.2014 N 221 (ред. от 29.12.2025) &quot;Об утверждении свода правил &quot;Станции автомобильные заправочные. Требования пожарной безопасности&quot; (вместе с &quot;СП 156.13130.2014. Свод правил...&quot;) {КонсультантПлюс}">
        <w:r>
          <w:rPr>
            <w:sz w:val="24"/>
            <w:color w:val="0000ff"/>
          </w:rPr>
          <w:t xml:space="preserve">СП 156.13130</w:t>
        </w:r>
      </w:hyperlink>
      <w:r>
        <w:rPr>
          <w:sz w:val="24"/>
        </w:rPr>
        <w:t xml:space="preserve">.</w:t>
      </w:r>
    </w:p>
    <w:p>
      <w:pPr>
        <w:pStyle w:val="0"/>
        <w:spacing w:before="240" w:lineRule="auto"/>
        <w:ind w:firstLine="540"/>
        <w:jc w:val="both"/>
      </w:pPr>
      <w:r>
        <w:rPr>
          <w:sz w:val="24"/>
        </w:rPr>
        <w:t xml:space="preserve">4.12 Здания, сооружения и помещения, не вошедшие в настоящий свод правил, оборудуются системами противопожарной защиты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4.13. Этажность зданий в </w:t>
      </w:r>
      <w:hyperlink w:history="0" w:anchor="P173" w:tooltip="Таблица 1 - Здания">
        <w:r>
          <w:rPr>
            <w:sz w:val="24"/>
            <w:color w:val="0000ff"/>
          </w:rPr>
          <w:t xml:space="preserve">таблице 1</w:t>
        </w:r>
      </w:hyperlink>
      <w:r>
        <w:rPr>
          <w:sz w:val="24"/>
        </w:rPr>
        <w:t xml:space="preserve"> настоящего свода правил определяется по </w:t>
      </w:r>
      <w:hyperlink w:history="0" r:id="rId6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за исключением </w:t>
      </w:r>
      <w:hyperlink w:history="0" w:anchor="P304" w:tooltip="15 Здания общеобразовательных школ высотой более 4-х этажей, не считая верхнего технического этажа">
        <w:r>
          <w:rPr>
            <w:sz w:val="24"/>
            <w:color w:val="0000ff"/>
          </w:rPr>
          <w:t xml:space="preserve">пунктов 15</w:t>
        </w:r>
      </w:hyperlink>
      <w:r>
        <w:rPr>
          <w:sz w:val="24"/>
        </w:rPr>
        <w:t xml:space="preserve">, </w:t>
      </w:r>
      <w:hyperlink w:history="0" w:anchor="P313" w:tooltip="18. Отдельно стоящие (не пристроенные к другим зданиям) площадью не более 100 м2: магазины продовольственных товаров, аптеки, фельдшерско-акушерские пункты, офисы">
        <w:r>
          <w:rPr>
            <w:sz w:val="24"/>
            <w:color w:val="0000ff"/>
          </w:rPr>
          <w:t xml:space="preserve">18</w:t>
        </w:r>
      </w:hyperlink>
      <w:r>
        <w:rPr>
          <w:sz w:val="24"/>
        </w:rPr>
        <w:t xml:space="preserve"> таблицы 1 настоящего свода правил.</w:t>
      </w:r>
    </w:p>
    <w:p>
      <w:pPr>
        <w:pStyle w:val="0"/>
        <w:jc w:val="both"/>
      </w:pPr>
      <w:r>
        <w:rPr>
          <w:sz w:val="24"/>
        </w:rPr>
        <w:t xml:space="preserve">(п. 4.13 введен </w:t>
      </w:r>
      <w:hyperlink w:history="0" r:id="rId6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p>
      <w:pPr>
        <w:pStyle w:val="0"/>
        <w:jc w:val="both"/>
      </w:pPr>
      <w:r>
        <w:rPr>
          <w:sz w:val="24"/>
        </w:rPr>
      </w:r>
    </w:p>
    <w:bookmarkStart w:id="173" w:name="P173"/>
    <w:bookmarkEnd w:id="173"/>
    <w:p>
      <w:pPr>
        <w:pStyle w:val="0"/>
        <w:jc w:val="both"/>
      </w:pPr>
      <w:r>
        <w:rPr>
          <w:sz w:val="24"/>
        </w:rPr>
        <w:t xml:space="preserve">Таблица 1 - Здания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blPrEx>
          <w:tblBorders>
            <w:insideH w:val="nil"/>
          </w:tblBorders>
        </w:tblPrEx>
        <w:tc>
          <w:tcPr>
            <w:tcW w:w="4589" w:type="dxa"/>
            <w:tcBorders>
              <w:bottom w:val="nil"/>
            </w:tcBorders>
          </w:tcPr>
          <w:p>
            <w:pPr>
              <w:pStyle w:val="0"/>
              <w:jc w:val="both"/>
            </w:pPr>
            <w:r>
              <w:rPr>
                <w:sz w:val="24"/>
              </w:rPr>
              <w:t xml:space="preserve">1 Здания складов категории В по пожарной опасности с хранением на стеллажах высотой 5,5 м и более (за исключением зданий по переработке и хранению зерна, овощей и фруктов, зданий промышленных холодильников)</w:t>
            </w:r>
          </w:p>
        </w:tc>
        <w:tc>
          <w:tcPr>
            <w:tcW w:w="2429" w:type="dxa"/>
            <w:vAlign w:val="center"/>
            <w:tcBorders>
              <w:bottom w:val="nil"/>
            </w:tcBorders>
          </w:tcPr>
          <w:p>
            <w:pPr>
              <w:pStyle w:val="0"/>
              <w:jc w:val="center"/>
            </w:pPr>
            <w:r>
              <w:rPr>
                <w:sz w:val="24"/>
              </w:rPr>
              <w:t xml:space="preserve">Независимо от площади и этажности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6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2 Здания складов категории В по пожарной опасности высотой два этажа и более (за исключением зданий по переработке и хранению зерна, овощей и фруктов, зданий промышленных холодильников)</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6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3 Здания архивов уникальных изданий, отчетов, рукописей и других носителей информации особой ценности, а также здания хранилищ предметов культурного наследия</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 Здания и сооружения для автомобилей: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 Автостоянки закрытого типа </w:t>
            </w:r>
            <w:hyperlink w:history="0" w:anchor="P322" w:tooltip="&lt;1&gt; В одно- и двухэтажных автостоянках боксового типа с непосредственным выездом наружу из каждого бокса АУП и СПС допускается не предусматривать, при условии, что в одном боксе размещается не более двух автомобилей.">
              <w:r>
                <w:rPr>
                  <w:sz w:val="24"/>
                  <w:color w:val="0000ff"/>
                </w:rPr>
                <w:t xml:space="preserve">&lt;1&gt;</w:t>
              </w:r>
            </w:hyperlink>
            <w:r>
              <w:rPr>
                <w:sz w:val="24"/>
              </w:rPr>
              <w:t xml:space="preserve">:</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4.1.1 Подземные, надземные высотой 2 этажа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4.1.2 Надземные одноэтажные: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4.1.2.1 Здания I, II, III степени огнестойкости класса конструктивной пожарной опасности С0</w:t>
            </w:r>
          </w:p>
        </w:tc>
        <w:tc>
          <w:tcPr>
            <w:tcW w:w="2429" w:type="dxa"/>
            <w:vAlign w:val="center"/>
          </w:tcPr>
          <w:p>
            <w:pPr>
              <w:pStyle w:val="0"/>
              <w:jc w:val="center"/>
            </w:pPr>
            <w:r>
              <w:rPr>
                <w:sz w:val="24"/>
              </w:rPr>
              <w:t xml:space="preserve">При общей площади здания (пожарного отсека) 7000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7000 м</w:t>
            </w:r>
            <w:r>
              <w:rPr>
                <w:sz w:val="24"/>
                <w:vertAlign w:val="superscript"/>
              </w:rPr>
              <w:t xml:space="preserve">2</w:t>
            </w:r>
          </w:p>
        </w:tc>
      </w:tr>
      <w:tr>
        <w:tc>
          <w:tcPr>
            <w:tcW w:w="4589" w:type="dxa"/>
          </w:tcPr>
          <w:p>
            <w:pPr>
              <w:pStyle w:val="0"/>
              <w:jc w:val="both"/>
            </w:pPr>
            <w:r>
              <w:rPr>
                <w:sz w:val="24"/>
              </w:rPr>
              <w:t xml:space="preserve">4.1.2.2 Здания I, II, III степени огнестойкости класса конструктивной пожарной опасности С1</w:t>
            </w:r>
          </w:p>
        </w:tc>
        <w:tc>
          <w:tcPr>
            <w:tcW w:w="2429" w:type="dxa"/>
            <w:vAlign w:val="center"/>
          </w:tcPr>
          <w:p>
            <w:pPr>
              <w:pStyle w:val="0"/>
              <w:jc w:val="center"/>
            </w:pPr>
            <w:r>
              <w:rPr>
                <w:sz w:val="24"/>
              </w:rPr>
              <w:t xml:space="preserve">При общей площади здания (пожарного отсека) 3600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3600 м</w:t>
            </w:r>
            <w:r>
              <w:rPr>
                <w:sz w:val="24"/>
                <w:vertAlign w:val="superscript"/>
              </w:rPr>
              <w:t xml:space="preserve">2</w:t>
            </w:r>
          </w:p>
        </w:tc>
      </w:tr>
      <w:tr>
        <w:tc>
          <w:tcPr>
            <w:tcW w:w="4589" w:type="dxa"/>
          </w:tcPr>
          <w:p>
            <w:pPr>
              <w:pStyle w:val="0"/>
              <w:jc w:val="both"/>
            </w:pPr>
            <w:r>
              <w:rPr>
                <w:sz w:val="24"/>
              </w:rPr>
              <w:t xml:space="preserve">4.1.2.3 Здания IV степени огнестойкости класса конструктивной пожарной опасности С0</w:t>
            </w:r>
          </w:p>
        </w:tc>
        <w:tc>
          <w:tcPr>
            <w:tcW w:w="2429" w:type="dxa"/>
            <w:vAlign w:val="center"/>
          </w:tcPr>
          <w:p>
            <w:pPr>
              <w:pStyle w:val="0"/>
              <w:jc w:val="center"/>
            </w:pPr>
            <w:r>
              <w:rPr>
                <w:sz w:val="24"/>
              </w:rPr>
              <w:t xml:space="preserve">При общей площади здания (пожарного отсека) 3600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3600 м</w:t>
            </w:r>
            <w:r>
              <w:rPr>
                <w:sz w:val="24"/>
                <w:vertAlign w:val="superscript"/>
              </w:rPr>
              <w:t xml:space="preserve">2</w:t>
            </w:r>
          </w:p>
        </w:tc>
      </w:tr>
      <w:tr>
        <w:tc>
          <w:tcPr>
            <w:tcW w:w="4589" w:type="dxa"/>
          </w:tcPr>
          <w:p>
            <w:pPr>
              <w:pStyle w:val="0"/>
              <w:jc w:val="both"/>
            </w:pPr>
            <w:r>
              <w:rPr>
                <w:sz w:val="24"/>
              </w:rPr>
              <w:t xml:space="preserve">4.1.2.4 Здания IV степени огнестойкости класса конструктивной пожарной опасности С1</w:t>
            </w:r>
          </w:p>
        </w:tc>
        <w:tc>
          <w:tcPr>
            <w:tcW w:w="2429" w:type="dxa"/>
            <w:vAlign w:val="center"/>
          </w:tcPr>
          <w:p>
            <w:pPr>
              <w:pStyle w:val="0"/>
              <w:jc w:val="center"/>
            </w:pPr>
            <w:r>
              <w:rPr>
                <w:sz w:val="24"/>
              </w:rPr>
              <w:t xml:space="preserve">При общей площади здания (пожарного отсека) 2000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2000 м</w:t>
            </w:r>
            <w:r>
              <w:rPr>
                <w:sz w:val="24"/>
                <w:vertAlign w:val="superscript"/>
              </w:rPr>
              <w:t xml:space="preserve">2</w:t>
            </w:r>
          </w:p>
        </w:tc>
      </w:tr>
      <w:tr>
        <w:tc>
          <w:tcPr>
            <w:tcW w:w="4589" w:type="dxa"/>
          </w:tcPr>
          <w:p>
            <w:pPr>
              <w:pStyle w:val="0"/>
              <w:jc w:val="both"/>
            </w:pPr>
            <w:r>
              <w:rPr>
                <w:sz w:val="24"/>
              </w:rPr>
              <w:t xml:space="preserve">4.1.2.5 Здания IV степени огнестойкости класса конструктивной пожарной опасности С2, С3</w:t>
            </w:r>
          </w:p>
        </w:tc>
        <w:tc>
          <w:tcPr>
            <w:tcW w:w="2429" w:type="dxa"/>
            <w:vAlign w:val="center"/>
          </w:tcPr>
          <w:p>
            <w:pPr>
              <w:pStyle w:val="0"/>
              <w:jc w:val="center"/>
            </w:pPr>
            <w:r>
              <w:rPr>
                <w:sz w:val="24"/>
              </w:rPr>
              <w:t xml:space="preserve">При общей площади здания (пожарного отсека) 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1000 м</w:t>
            </w:r>
            <w:r>
              <w:rPr>
                <w:sz w:val="24"/>
                <w:vertAlign w:val="superscript"/>
              </w:rPr>
              <w:t xml:space="preserve">2</w:t>
            </w:r>
          </w:p>
        </w:tc>
      </w:tr>
      <w:tr>
        <w:tc>
          <w:tcPr>
            <w:tcW w:w="4589" w:type="dxa"/>
          </w:tcPr>
          <w:p>
            <w:pPr>
              <w:pStyle w:val="0"/>
              <w:jc w:val="both"/>
            </w:pPr>
            <w:r>
              <w:rPr>
                <w:sz w:val="24"/>
              </w:rPr>
              <w:t xml:space="preserve">4.1.3 Здания механизированных автостоянок</w:t>
            </w:r>
          </w:p>
        </w:tc>
        <w:tc>
          <w:tcPr>
            <w:tcW w:w="2429" w:type="dxa"/>
            <w:vAlign w:val="center"/>
          </w:tcPr>
          <w:p>
            <w:pPr>
              <w:pStyle w:val="0"/>
              <w:jc w:val="center"/>
            </w:pPr>
            <w:r>
              <w:rPr>
                <w:sz w:val="24"/>
              </w:rPr>
              <w:t xml:space="preserve">Независимо от площади и этажности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5 Здания высотой более 30 м (за исключением жилых зданий (класса функциональной пожарной опасности Ф1.3) и производственных зданий категории Г и Д по пожарной опасности, а также зданий по переработке и хранению зерна, овощей и фруктов, зданий промышленных холодильников) </w:t>
            </w:r>
            <w:hyperlink w:history="0" w:anchor="P323" w:tooltip="&lt;2&gt; Здесь и далее высота здания (кроме зданий класса функциональной пожарной опасности Ф5) определяется по СП 1.13130. Высота здания класса функциональной пожарной опасности Ф5 измеряется от пола 1-го этажа до потолка верхнего этажа, включая технический, при переменной высоте потолка принимается средняя высота этажа.">
              <w:r>
                <w:rPr>
                  <w:sz w:val="24"/>
                  <w:color w:val="0000ff"/>
                </w:rPr>
                <w:t xml:space="preserve">&lt;2&gt;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6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6 Жилые здания </w:t>
            </w:r>
            <w:hyperlink w:history="0" w:anchor="P324" w:tooltip="&lt;3&gt; Оснащение СПС многоквартирных жилых зданий осуществляется с учетом положений СП 484.1311500 и раздела 6.1 СП 1.13130.">
              <w:r>
                <w:rPr>
                  <w:sz w:val="24"/>
                  <w:color w:val="0000ff"/>
                </w:rPr>
                <w:t xml:space="preserve">&lt;3&gt;</w:t>
              </w:r>
            </w:hyperlink>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6.1 Жилые здания многоквартирные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6.2 Жилые здания одноквартирные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Оборудуются автономными дымовыми пожарными извещателями независимо от площади</w:t>
            </w:r>
          </w:p>
        </w:tc>
      </w:tr>
      <w:tr>
        <w:tc>
          <w:tcPr>
            <w:tcW w:w="4589" w:type="dxa"/>
          </w:tcPr>
          <w:p>
            <w:pPr>
              <w:pStyle w:val="0"/>
              <w:jc w:val="both"/>
            </w:pPr>
            <w:r>
              <w:rPr>
                <w:sz w:val="24"/>
              </w:rPr>
              <w:t xml:space="preserve">6.3 Жилые здания высотой более 75 м </w:t>
            </w:r>
            <w:hyperlink w:history="0" w:anchor="P326" w:tooltip="&lt;4&gt; Спринклерные оросители АУП устанавливаются в общих (внеквартирных) коридорах с орошением входных дверей квартир.">
              <w:r>
                <w:rPr>
                  <w:sz w:val="24"/>
                  <w:color w:val="0000ff"/>
                </w:rPr>
                <w:t xml:space="preserve">&lt;4&gt;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7 Специализированные дома (не квартирные), дома-интернаты для престарелых и инвалидов, детей-инвалидов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8 Здания общежитий и гостиниц</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8.1 Общежития квартирного типа (класса функциональной пожарной опасности Ф1.3)</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8.2 Гостиницы и общежития не квартирного типа, спальные корпуса санаториев и домов отдыха общего типа, кемпингов, мотелей и пансионатов (класса функциональной пожарной опасности Ф1.2)</w:t>
            </w:r>
          </w:p>
        </w:tc>
        <w:tc>
          <w:tcPr>
            <w:tcW w:w="2429" w:type="dxa"/>
            <w:vAlign w:val="center"/>
          </w:tcPr>
          <w:p>
            <w:pPr>
              <w:pStyle w:val="0"/>
              <w:jc w:val="center"/>
            </w:pPr>
            <w:r>
              <w:rPr>
                <w:sz w:val="24"/>
              </w:rPr>
              <w:t xml:space="preserve">При высоте 30 м и более</w:t>
            </w:r>
          </w:p>
        </w:tc>
        <w:tc>
          <w:tcPr>
            <w:tcW w:w="2041" w:type="dxa"/>
            <w:vAlign w:val="center"/>
          </w:tcPr>
          <w:p>
            <w:pPr>
              <w:pStyle w:val="0"/>
              <w:jc w:val="center"/>
            </w:pPr>
            <w:r>
              <w:rPr>
                <w:sz w:val="24"/>
              </w:rPr>
              <w:t xml:space="preserve">При высоте менее 30 м</w:t>
            </w:r>
          </w:p>
        </w:tc>
      </w:tr>
      <w:tr>
        <w:tc>
          <w:tcPr>
            <w:tcW w:w="4589" w:type="dxa"/>
          </w:tcPr>
          <w:p>
            <w:pPr>
              <w:pStyle w:val="0"/>
              <w:jc w:val="both"/>
            </w:pPr>
            <w:r>
              <w:rPr>
                <w:sz w:val="24"/>
              </w:rPr>
              <w:t xml:space="preserve">9 Здания общественного и административно-бытового назначения из легких металлических конструкций (IV - V степени огнестойкости) класса конструктивной пожарной опасности С2 - С3</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9.1 Общественного назначения</w:t>
            </w:r>
          </w:p>
        </w:tc>
        <w:tc>
          <w:tcPr>
            <w:tcW w:w="2429" w:type="dxa"/>
            <w:vAlign w:val="center"/>
          </w:tcPr>
          <w:p>
            <w:pPr>
              <w:pStyle w:val="0"/>
              <w:jc w:val="center"/>
            </w:pPr>
            <w:r>
              <w:rPr>
                <w:sz w:val="24"/>
              </w:rPr>
              <w:t xml:space="preserve">800 м</w:t>
            </w:r>
            <w:r>
              <w:rPr>
                <w:sz w:val="24"/>
                <w:vertAlign w:val="superscript"/>
              </w:rPr>
              <w:t xml:space="preserve">2</w:t>
            </w:r>
            <w:r>
              <w:rPr>
                <w:sz w:val="24"/>
              </w:rPr>
              <w:t xml:space="preserve"> и более </w:t>
            </w:r>
            <w:hyperlink w:history="0" w:anchor="P327" w:tooltip="&lt;5&gt; Здесь и далее в таблице 1 указана общая площадь помещений, кроме специально оговоренных случаев.">
              <w:r>
                <w:rPr>
                  <w:sz w:val="24"/>
                  <w:color w:val="0000ff"/>
                </w:rPr>
                <w:t xml:space="preserve">&lt;5&gt;</w:t>
              </w:r>
            </w:hyperlink>
          </w:p>
        </w:tc>
        <w:tc>
          <w:tcPr>
            <w:tcW w:w="2041" w:type="dxa"/>
            <w:vAlign w:val="center"/>
          </w:tcPr>
          <w:p>
            <w:pPr>
              <w:pStyle w:val="0"/>
              <w:jc w:val="center"/>
            </w:pPr>
            <w:r>
              <w:rPr>
                <w:sz w:val="24"/>
              </w:rPr>
              <w:t xml:space="preserve">Менее 800 м</w:t>
            </w:r>
            <w:r>
              <w:rPr>
                <w:sz w:val="24"/>
                <w:vertAlign w:val="superscript"/>
              </w:rPr>
              <w:t xml:space="preserve">2</w:t>
            </w:r>
          </w:p>
        </w:tc>
      </w:tr>
      <w:tr>
        <w:tc>
          <w:tcPr>
            <w:tcW w:w="4589" w:type="dxa"/>
          </w:tcPr>
          <w:p>
            <w:pPr>
              <w:pStyle w:val="0"/>
              <w:jc w:val="both"/>
            </w:pPr>
            <w:r>
              <w:rPr>
                <w:sz w:val="24"/>
              </w:rPr>
              <w:t xml:space="preserve">9.2 Административно-бытового назначения</w:t>
            </w:r>
          </w:p>
        </w:tc>
        <w:tc>
          <w:tcPr>
            <w:tcW w:w="2429" w:type="dxa"/>
            <w:vAlign w:val="center"/>
          </w:tcPr>
          <w:p>
            <w:pPr>
              <w:pStyle w:val="0"/>
              <w:jc w:val="center"/>
            </w:pPr>
            <w:r>
              <w:rPr>
                <w:sz w:val="24"/>
              </w:rPr>
              <w:t xml:space="preserve">1200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1200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10 Здания и сооружения по переработке и хранению зерна, овощей и фруктов</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 и этажности</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7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11 Здания общественного и административно-бытового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этажности</w:t>
            </w:r>
          </w:p>
        </w:tc>
      </w:tr>
      <w:tr>
        <w:tc>
          <w:tcPr>
            <w:tcW w:w="4589" w:type="dxa"/>
          </w:tcPr>
          <w:p>
            <w:pPr>
              <w:pStyle w:val="0"/>
              <w:jc w:val="both"/>
            </w:pPr>
            <w:r>
              <w:rPr>
                <w:sz w:val="24"/>
              </w:rPr>
              <w:t xml:space="preserve">12 Здания предприятий торговли (кроме зданий по продаже и подготовке к продаже автомобилей), за исключением помещений хранения и подготовки к продаже мяса, рыбы, фруктов и овощей (в негорючей упаковке), металлической посуды, негорючих строительных материалов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12.1 Одноэтажные: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12.1.1 При размещении торгового зала в цокольном, заглубленном более чем на 0,5 м, или подвальном этажах</w:t>
            </w:r>
          </w:p>
        </w:tc>
        <w:tc>
          <w:tcPr>
            <w:tcW w:w="2429" w:type="dxa"/>
            <w:vAlign w:val="center"/>
          </w:tcPr>
          <w:p>
            <w:pPr>
              <w:pStyle w:val="0"/>
              <w:jc w:val="center"/>
            </w:pPr>
            <w:r>
              <w:rPr>
                <w:sz w:val="24"/>
              </w:rPr>
              <w:t xml:space="preserve">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200 м</w:t>
            </w:r>
            <w:r>
              <w:rPr>
                <w:sz w:val="24"/>
                <w:vertAlign w:val="superscript"/>
              </w:rPr>
              <w:t xml:space="preserve">2</w:t>
            </w:r>
          </w:p>
        </w:tc>
      </w:tr>
      <w:tr>
        <w:tc>
          <w:tcPr>
            <w:tcW w:w="4589" w:type="dxa"/>
          </w:tcPr>
          <w:p>
            <w:pPr>
              <w:pStyle w:val="0"/>
              <w:jc w:val="both"/>
            </w:pPr>
            <w:r>
              <w:rPr>
                <w:sz w:val="24"/>
              </w:rPr>
              <w:t xml:space="preserve">12.1.2 При размещении торгового зала в наземной части здания</w:t>
            </w:r>
          </w:p>
        </w:tc>
        <w:tc>
          <w:tcPr>
            <w:tcW w:w="2429" w:type="dxa"/>
            <w:vAlign w:val="center"/>
          </w:tcPr>
          <w:p>
            <w:pPr>
              <w:pStyle w:val="0"/>
              <w:jc w:val="center"/>
            </w:pPr>
            <w:r>
              <w:rPr>
                <w:sz w:val="24"/>
              </w:rPr>
              <w:t xml:space="preserve">При площади здания 3500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площади здания менее 3500 м</w:t>
            </w:r>
            <w:r>
              <w:rPr>
                <w:sz w:val="24"/>
                <w:vertAlign w:val="superscript"/>
              </w:rPr>
              <w:t xml:space="preserve">2</w:t>
            </w:r>
          </w:p>
        </w:tc>
      </w:tr>
      <w:tr>
        <w:tc>
          <w:tcPr>
            <w:tcW w:w="4589" w:type="dxa"/>
          </w:tcPr>
          <w:p>
            <w:pPr>
              <w:pStyle w:val="0"/>
              <w:jc w:val="both"/>
            </w:pPr>
            <w:r>
              <w:rPr>
                <w:sz w:val="24"/>
              </w:rPr>
              <w:t xml:space="preserve">12.2 Двухэтажные: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12.2.1 При размещении торгового зала в цокольном, заглубленном более чем на 0,5 м, или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12.2.2 При размещении торгового зала в наземной части здания</w:t>
            </w:r>
          </w:p>
        </w:tc>
        <w:tc>
          <w:tcPr>
            <w:tcW w:w="2429" w:type="dxa"/>
            <w:vAlign w:val="center"/>
          </w:tcPr>
          <w:p>
            <w:pPr>
              <w:pStyle w:val="0"/>
              <w:jc w:val="center"/>
            </w:pPr>
            <w:r>
              <w:rPr>
                <w:sz w:val="24"/>
              </w:rPr>
              <w:t xml:space="preserve">При площади здания 4000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площади здания менее 4000 м</w:t>
            </w:r>
            <w:r>
              <w:rPr>
                <w:sz w:val="24"/>
                <w:vertAlign w:val="superscript"/>
              </w:rPr>
              <w:t xml:space="preserve">2</w:t>
            </w:r>
          </w:p>
        </w:tc>
      </w:tr>
      <w:tr>
        <w:tc>
          <w:tcPr>
            <w:tcW w:w="4589" w:type="dxa"/>
          </w:tcPr>
          <w:p>
            <w:pPr>
              <w:pStyle w:val="0"/>
              <w:jc w:val="both"/>
            </w:pPr>
            <w:r>
              <w:rPr>
                <w:sz w:val="24"/>
              </w:rPr>
              <w:t xml:space="preserve">12.3 Трехэтажные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12.4 Здания специализированных предприятий торговли по продаже легковоспламеняющихся и горючих жидкостей (за исключением расфасованного товара в таре емкостью не более 20 л)</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13 Объекты и комплексы религиозного назначения (кроме отдельно стоящих объектов, состоящих из единственного помещения).</w:t>
            </w:r>
          </w:p>
          <w:p>
            <w:pPr>
              <w:pStyle w:val="0"/>
              <w:jc w:val="both"/>
            </w:pPr>
            <w:r>
              <w:rPr>
                <w:sz w:val="24"/>
              </w:rPr>
              <w:t xml:space="preserve">(Производственные, складские и жилые здания комплексов религиозного назначения оборудуются по требованиям соответствующих пунктов настоящего свода правил)</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этажности</w:t>
            </w:r>
          </w:p>
        </w:tc>
      </w:tr>
      <w:tr>
        <w:tc>
          <w:tcPr>
            <w:tcW w:w="4589" w:type="dxa"/>
          </w:tcPr>
          <w:p>
            <w:pPr>
              <w:pStyle w:val="0"/>
              <w:jc w:val="both"/>
            </w:pPr>
            <w:r>
              <w:rPr>
                <w:sz w:val="24"/>
              </w:rPr>
              <w:t xml:space="preserve">14 Здания выставочных павильонов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14.1 Одноэтажные</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14.2 Двухэтажные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bookmarkStart w:id="304" w:name="P304"/>
          <w:bookmarkEnd w:id="304"/>
          <w:p>
            <w:pPr>
              <w:pStyle w:val="0"/>
              <w:jc w:val="both"/>
            </w:pPr>
            <w:r>
              <w:rPr>
                <w:sz w:val="24"/>
              </w:rPr>
              <w:t xml:space="preserve">15 Здания общеобразовательных школ высотой более 4-х этажей, не считая верхнего технического этажа</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16 Здания пожарных депо</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числа пожарных автомобилей</w:t>
            </w:r>
          </w:p>
        </w:tc>
      </w:tr>
      <w:tr>
        <w:tc>
          <w:tcPr>
            <w:tcW w:w="4589" w:type="dxa"/>
          </w:tcPr>
          <w:p>
            <w:pPr>
              <w:pStyle w:val="0"/>
              <w:jc w:val="both"/>
            </w:pPr>
            <w:r>
              <w:rPr>
                <w:sz w:val="24"/>
              </w:rPr>
              <w:t xml:space="preserve">17 Животноводческие, птицеводческие и звероводческие здания </w:t>
            </w:r>
            <w:hyperlink w:history="0" w:anchor="P328" w:tooltip="&lt;6&gt; Встроенные и встроенно-пристроенные административные помещения указанных зданий оборудуются автономными дымовыми пожарными извещателями при площади здания не более 10000 м2.">
              <w:r>
                <w:rPr>
                  <w:sz w:val="24"/>
                  <w:color w:val="0000ff"/>
                </w:rPr>
                <w:t xml:space="preserve">&lt;6&gt;</w:t>
              </w:r>
            </w:hyperlink>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При площади здания более 10000 м</w:t>
            </w:r>
            <w:r>
              <w:rPr>
                <w:sz w:val="24"/>
                <w:vertAlign w:val="superscript"/>
              </w:rPr>
              <w:t xml:space="preserve">2</w:t>
            </w:r>
          </w:p>
        </w:tc>
      </w:tr>
      <w:tr>
        <w:tblPrEx>
          <w:tblBorders>
            <w:insideH w:val="nil"/>
          </w:tblBorders>
        </w:tblPrEx>
        <w:tc>
          <w:tcPr>
            <w:tcW w:w="4589" w:type="dxa"/>
            <w:tcBorders>
              <w:bottom w:val="nil"/>
            </w:tcBorders>
          </w:tcPr>
          <w:bookmarkStart w:id="313" w:name="P313"/>
          <w:bookmarkEnd w:id="313"/>
          <w:p>
            <w:pPr>
              <w:pStyle w:val="0"/>
              <w:jc w:val="both"/>
            </w:pPr>
            <w:r>
              <w:rPr>
                <w:sz w:val="24"/>
              </w:rPr>
              <w:t xml:space="preserve">18. Отдельно стоящие (не пристроенные к другим зданиям) площадью не более 100 м</w:t>
            </w:r>
            <w:r>
              <w:rPr>
                <w:sz w:val="24"/>
                <w:vertAlign w:val="superscript"/>
              </w:rPr>
              <w:t xml:space="preserve">2</w:t>
            </w:r>
            <w:r>
              <w:rPr>
                <w:sz w:val="24"/>
              </w:rPr>
              <w:t xml:space="preserve">: магазины продовольственных товаров, аптеки, фельдшерско-акушерские пункты, офисы</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 </w:t>
            </w:r>
            <w:hyperlink w:history="0" w:anchor="P329" w:tooltip="&lt;7&gt; Допускается вместо СПС применять автономные дымовые пожарные извещатели.">
              <w:r>
                <w:rPr>
                  <w:sz w:val="24"/>
                  <w:color w:val="0000ff"/>
                </w:rPr>
                <w:t xml:space="preserve">&lt;7&gt;</w:t>
              </w:r>
            </w:hyperlink>
          </w:p>
        </w:tc>
      </w:tr>
      <w:tr>
        <w:tblPrEx>
          <w:tblBorders>
            <w:insideH w:val="nil"/>
          </w:tblBorders>
        </w:tblPrEx>
        <w:tc>
          <w:tcPr>
            <w:gridSpan w:val="3"/>
            <w:tcW w:w="9059" w:type="dxa"/>
            <w:tcBorders>
              <w:top w:val="nil"/>
            </w:tcBorders>
          </w:tcPr>
          <w:p>
            <w:pPr>
              <w:pStyle w:val="0"/>
              <w:jc w:val="both"/>
            </w:pPr>
            <w:r>
              <w:rPr>
                <w:sz w:val="24"/>
              </w:rPr>
              <w:t xml:space="preserve">(п. 18 в ред. </w:t>
            </w:r>
            <w:hyperlink w:history="0" r:id="rId7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19. Здания медицинских организаций, предназначенные для оказания медицинской помощи в стационарных условиях (круглосуточно) и психоневрологических интернатов</w:t>
            </w:r>
          </w:p>
        </w:tc>
        <w:tc>
          <w:tcPr>
            <w:tcW w:w="2429" w:type="dxa"/>
            <w:vAlign w:val="center"/>
            <w:tcBorders>
              <w:bottom w:val="nil"/>
            </w:tcBorders>
          </w:tcPr>
          <w:p>
            <w:pPr>
              <w:pStyle w:val="0"/>
              <w:jc w:val="center"/>
            </w:pPr>
            <w:r>
              <w:rPr>
                <w:sz w:val="24"/>
              </w:rPr>
              <w:t xml:space="preserve">при этажности 3-х и более этажей, не считая верхнего технического этажа</w:t>
            </w:r>
          </w:p>
        </w:tc>
        <w:tc>
          <w:tcPr>
            <w:tcW w:w="2041" w:type="dxa"/>
            <w:vAlign w:val="center"/>
            <w:tcBorders>
              <w:bottom w:val="nil"/>
            </w:tcBorders>
          </w:tcPr>
          <w:p>
            <w:pPr>
              <w:pStyle w:val="0"/>
              <w:jc w:val="center"/>
            </w:pPr>
            <w:r>
              <w:rPr>
                <w:sz w:val="24"/>
              </w:rPr>
              <w:t xml:space="preserve">при этажности не более 2-х этажей, не считая верхнего технического этажа</w:t>
            </w:r>
          </w:p>
        </w:tc>
      </w:tr>
      <w:tr>
        <w:tblPrEx>
          <w:tblBorders>
            <w:insideH w:val="nil"/>
          </w:tblBorders>
        </w:tblPrEx>
        <w:tc>
          <w:tcPr>
            <w:gridSpan w:val="3"/>
            <w:tcW w:w="9059" w:type="dxa"/>
            <w:tcBorders>
              <w:top w:val="nil"/>
            </w:tcBorders>
          </w:tcPr>
          <w:p>
            <w:pPr>
              <w:pStyle w:val="0"/>
              <w:jc w:val="both"/>
            </w:pPr>
            <w:r>
              <w:rPr>
                <w:sz w:val="24"/>
              </w:rPr>
              <w:t xml:space="preserve">(п. 19 введен </w:t>
            </w:r>
            <w:hyperlink w:history="0" r:id="rId7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322" w:name="P322"/>
          <w:bookmarkEnd w:id="322"/>
          <w:p>
            <w:pPr>
              <w:pStyle w:val="0"/>
              <w:ind w:firstLine="283"/>
              <w:jc w:val="both"/>
            </w:pPr>
            <w:r>
              <w:rPr>
                <w:sz w:val="24"/>
              </w:rPr>
              <w:t xml:space="preserve">&lt;1&gt; В одно- и двухэтажных автостоянках боксового типа с непосредственным выездом наружу из каждого бокса АУП и СПС допускается не предусматривать, при условии, что в одном боксе размещается не более двух автомобилей.</w:t>
            </w:r>
          </w:p>
        </w:tc>
      </w:tr>
      <w:tr>
        <w:tblPrEx>
          <w:tblBorders>
            <w:insideH w:val="nil"/>
          </w:tblBorders>
        </w:tblPrEx>
        <w:tc>
          <w:tcPr>
            <w:gridSpan w:val="3"/>
            <w:tcW w:w="9059" w:type="dxa"/>
            <w:tcBorders>
              <w:top w:val="nil"/>
              <w:bottom w:val="nil"/>
            </w:tcBorders>
          </w:tcPr>
          <w:bookmarkStart w:id="323" w:name="P323"/>
          <w:bookmarkEnd w:id="323"/>
          <w:p>
            <w:pPr>
              <w:pStyle w:val="0"/>
              <w:ind w:firstLine="283"/>
              <w:jc w:val="both"/>
            </w:pPr>
            <w:r>
              <w:rPr>
                <w:sz w:val="24"/>
              </w:rPr>
              <w:t xml:space="preserve">&lt;2&gt; Здесь и далее высота здания (кроме зданий класса функциональной пожарной опасности Ф5) определяется по </w:t>
            </w:r>
            <w:hyperlink w:history="0" r:id="rId7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 Высота здания класса функциональной пожарной опасности Ф5 измеряется от пола 1-го этажа до потолка верхнего этажа, включая технический, при переменной высоте потолка принимается средняя высота этажа.</w:t>
            </w:r>
          </w:p>
        </w:tc>
      </w:tr>
      <w:tr>
        <w:tblPrEx>
          <w:tblBorders>
            <w:insideH w:val="nil"/>
          </w:tblBorders>
        </w:tblPrEx>
        <w:tc>
          <w:tcPr>
            <w:gridSpan w:val="3"/>
            <w:tcW w:w="9059" w:type="dxa"/>
            <w:tcBorders>
              <w:top w:val="nil"/>
              <w:bottom w:val="nil"/>
            </w:tcBorders>
          </w:tcPr>
          <w:bookmarkStart w:id="324" w:name="P324"/>
          <w:bookmarkEnd w:id="324"/>
          <w:p>
            <w:pPr>
              <w:pStyle w:val="0"/>
              <w:ind w:firstLine="283"/>
              <w:jc w:val="both"/>
            </w:pPr>
            <w:r>
              <w:rPr>
                <w:sz w:val="24"/>
              </w:rPr>
              <w:t xml:space="preserve">&lt;3&gt; Оснащение СПС многоквартирных жилых зданий осуществляется с учетом положений </w:t>
            </w:r>
            <w:hyperlink w:history="0" r:id="rId7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и </w:t>
            </w:r>
            <w:hyperlink w:history="0" r:id="rId7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раздела 6.1</w:t>
              </w:r>
            </w:hyperlink>
            <w:r>
              <w:rPr>
                <w:sz w:val="24"/>
              </w:rPr>
              <w:t xml:space="preserve"> СП 1.13130.</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hyperlink w:history="0" r:id="rId7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326" w:name="P326"/>
          <w:bookmarkEnd w:id="326"/>
          <w:p>
            <w:pPr>
              <w:pStyle w:val="0"/>
              <w:ind w:firstLine="283"/>
              <w:jc w:val="both"/>
            </w:pPr>
            <w:r>
              <w:rPr>
                <w:sz w:val="24"/>
              </w:rPr>
              <w:t xml:space="preserve">&lt;4&gt; Спринклерные оросители АУП устанавливаются в общих (внеквартирных) коридорах с орошением входных дверей квартир.</w:t>
            </w:r>
          </w:p>
        </w:tc>
      </w:tr>
      <w:tr>
        <w:tblPrEx>
          <w:tblBorders>
            <w:insideH w:val="nil"/>
          </w:tblBorders>
        </w:tblPrEx>
        <w:tc>
          <w:tcPr>
            <w:gridSpan w:val="3"/>
            <w:tcW w:w="9059" w:type="dxa"/>
            <w:tcBorders>
              <w:top w:val="nil"/>
              <w:bottom w:val="nil"/>
            </w:tcBorders>
          </w:tcPr>
          <w:bookmarkStart w:id="327" w:name="P327"/>
          <w:bookmarkEnd w:id="327"/>
          <w:p>
            <w:pPr>
              <w:pStyle w:val="0"/>
              <w:ind w:firstLine="283"/>
              <w:jc w:val="both"/>
            </w:pPr>
            <w:r>
              <w:rPr>
                <w:sz w:val="24"/>
              </w:rPr>
              <w:t xml:space="preserve">&lt;5&gt; Здесь и далее в таблице 1 указана общая площадь помещений, кроме специально оговоренных случаев.</w:t>
            </w:r>
          </w:p>
        </w:tc>
      </w:tr>
      <w:tr>
        <w:tblPrEx>
          <w:tblBorders>
            <w:insideH w:val="nil"/>
          </w:tblBorders>
        </w:tblPrEx>
        <w:tc>
          <w:tcPr>
            <w:gridSpan w:val="3"/>
            <w:tcW w:w="9059" w:type="dxa"/>
            <w:tcBorders>
              <w:top w:val="nil"/>
              <w:bottom w:val="nil"/>
            </w:tcBorders>
          </w:tcPr>
          <w:bookmarkStart w:id="328" w:name="P328"/>
          <w:bookmarkEnd w:id="328"/>
          <w:p>
            <w:pPr>
              <w:pStyle w:val="0"/>
              <w:ind w:firstLine="283"/>
              <w:jc w:val="both"/>
            </w:pPr>
            <w:r>
              <w:rPr>
                <w:sz w:val="24"/>
              </w:rPr>
              <w:t xml:space="preserve">&lt;6&gt; Встроенные и встроенно-пристроенные административные помещения указанных зданий оборудуются автономными дымовыми пожарными извещателями при площади здания не более 10000 м2.</w:t>
            </w:r>
          </w:p>
        </w:tc>
      </w:tr>
      <w:tr>
        <w:tblPrEx>
          <w:tblBorders>
            <w:insideH w:val="nil"/>
          </w:tblBorders>
        </w:tblPrEx>
        <w:tc>
          <w:tcPr>
            <w:gridSpan w:val="3"/>
            <w:tcW w:w="9059" w:type="dxa"/>
            <w:tcBorders>
              <w:top w:val="nil"/>
              <w:bottom w:val="nil"/>
            </w:tcBorders>
          </w:tcPr>
          <w:bookmarkStart w:id="329" w:name="P329"/>
          <w:bookmarkEnd w:id="329"/>
          <w:p>
            <w:pPr>
              <w:pStyle w:val="0"/>
              <w:ind w:firstLine="283"/>
              <w:jc w:val="both"/>
            </w:pPr>
            <w:r>
              <w:rPr>
                <w:sz w:val="24"/>
              </w:rPr>
              <w:t xml:space="preserve">&lt;7&gt; Допускается вместо СПС применять автономные дымовые пожарные извещатели.</w:t>
            </w:r>
          </w:p>
        </w:tc>
      </w:tr>
      <w:tr>
        <w:tblPrEx>
          <w:tblBorders>
            <w:insideH w:val="nil"/>
          </w:tblBorders>
        </w:tblPrEx>
        <w:tc>
          <w:tcPr>
            <w:gridSpan w:val="3"/>
            <w:tcW w:w="9059" w:type="dxa"/>
            <w:tcBorders>
              <w:top w:val="nil"/>
            </w:tcBorders>
          </w:tcPr>
          <w:p>
            <w:pPr>
              <w:pStyle w:val="0"/>
              <w:jc w:val="both"/>
            </w:pPr>
            <w:r>
              <w:rPr>
                <w:sz w:val="24"/>
              </w:rPr>
              <w:t xml:space="preserve">(примечание в ред. </w:t>
            </w:r>
            <w:hyperlink w:history="0" r:id="rId7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bl>
    <w:p>
      <w:pPr>
        <w:pStyle w:val="0"/>
        <w:jc w:val="both"/>
      </w:pPr>
      <w:r>
        <w:rPr>
          <w:sz w:val="24"/>
        </w:rPr>
      </w:r>
    </w:p>
    <w:bookmarkStart w:id="332" w:name="P332"/>
    <w:bookmarkEnd w:id="332"/>
    <w:p>
      <w:pPr>
        <w:pStyle w:val="0"/>
        <w:jc w:val="both"/>
      </w:pPr>
      <w:r>
        <w:rPr>
          <w:sz w:val="24"/>
        </w:rPr>
        <w:t xml:space="preserve">Таблица 2 - Сооружения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tcW w:w="4589" w:type="dxa"/>
          </w:tcPr>
          <w:bookmarkStart w:id="338" w:name="P338"/>
          <w:bookmarkEnd w:id="338"/>
          <w:p>
            <w:pPr>
              <w:pStyle w:val="0"/>
              <w:jc w:val="both"/>
            </w:pPr>
            <w:r>
              <w:rPr>
                <w:sz w:val="24"/>
              </w:rPr>
              <w:t xml:space="preserve">1 Кабельные сооружения </w:t>
            </w:r>
            <w:hyperlink w:history="0" w:anchor="P404" w:tooltip="&lt;1&gt; Под кабельными сооружениями в настоящем своде правил понимаются тоннели, проходные шахты, этажи, двойные полы, галереи, камеры, используемые для прокладки кабелей (в том числе совместно с другими коммуникациями).">
              <w:r>
                <w:rPr>
                  <w:sz w:val="24"/>
                  <w:color w:val="0000ff"/>
                </w:rPr>
                <w:t xml:space="preserve">&lt;1&gt;</w:t>
              </w:r>
            </w:hyperlink>
            <w:r>
              <w:rPr>
                <w:sz w:val="24"/>
              </w:rPr>
              <w:t xml:space="preserve"> электростанций (за исключением частично закрытых кабельных галерей, прокладываемых снаружи зданий, сооружений)</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 Кабельные сооружения подстанций напряжением, кВ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2.1 500 и выше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2.2 Менее 500</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bookmarkStart w:id="350" w:name="P350"/>
          <w:bookmarkEnd w:id="350"/>
          <w:p>
            <w:pPr>
              <w:pStyle w:val="0"/>
              <w:jc w:val="both"/>
            </w:pPr>
            <w:r>
              <w:rPr>
                <w:sz w:val="24"/>
              </w:rPr>
              <w:t xml:space="preserve">3 Кабельные сооружения подстанций глубокого ввода напряжением 110 - 220 кВ с трансформаторами мощностью</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3.1 63 МВА и выше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3.2 Менее 63 МВА</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4 Кабельные сооружения промышленных и общественных зданий</w:t>
            </w:r>
          </w:p>
        </w:tc>
        <w:tc>
          <w:tcPr>
            <w:tcW w:w="2429" w:type="dxa"/>
            <w:vAlign w:val="center"/>
          </w:tcPr>
          <w:p>
            <w:pPr>
              <w:pStyle w:val="0"/>
              <w:jc w:val="center"/>
            </w:pPr>
            <w:r>
              <w:rPr>
                <w:sz w:val="24"/>
              </w:rPr>
              <w:t xml:space="preserve">Более 100 м</w:t>
            </w:r>
            <w:r>
              <w:rPr>
                <w:sz w:val="24"/>
                <w:vertAlign w:val="superscript"/>
              </w:rPr>
              <w:t xml:space="preserve">3</w:t>
            </w:r>
          </w:p>
        </w:tc>
        <w:tc>
          <w:tcPr>
            <w:tcW w:w="2041" w:type="dxa"/>
            <w:vAlign w:val="center"/>
          </w:tcPr>
          <w:p>
            <w:pPr>
              <w:pStyle w:val="0"/>
              <w:jc w:val="center"/>
            </w:pPr>
            <w:r>
              <w:rPr>
                <w:sz w:val="24"/>
              </w:rPr>
              <w:t xml:space="preserve">100 м</w:t>
            </w:r>
            <w:r>
              <w:rPr>
                <w:sz w:val="24"/>
                <w:vertAlign w:val="superscript"/>
              </w:rPr>
              <w:t xml:space="preserve">3</w:t>
            </w:r>
            <w:r>
              <w:rPr>
                <w:sz w:val="24"/>
              </w:rPr>
              <w:t xml:space="preserve"> и менее</w:t>
            </w:r>
          </w:p>
        </w:tc>
      </w:tr>
      <w:tr>
        <w:tc>
          <w:tcPr>
            <w:tcW w:w="4589" w:type="dxa"/>
          </w:tcPr>
          <w:p>
            <w:pPr>
              <w:pStyle w:val="0"/>
              <w:jc w:val="both"/>
            </w:pPr>
            <w:r>
              <w:rPr>
                <w:sz w:val="24"/>
              </w:rPr>
              <w:t xml:space="preserve">5 Комбинированные тоннели производственных и общественных зданий при прокладке в них кабелей и проводов напряжением 220 В и выше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5.1 Объемом более 100 м</w:t>
            </w:r>
            <w:r>
              <w:rPr>
                <w:sz w:val="24"/>
                <w:vertAlign w:val="superscript"/>
              </w:rPr>
              <w:t xml:space="preserve">3</w:t>
            </w:r>
          </w:p>
        </w:tc>
        <w:tc>
          <w:tcPr>
            <w:tcW w:w="2429" w:type="dxa"/>
            <w:vAlign w:val="center"/>
          </w:tcPr>
          <w:p>
            <w:pPr>
              <w:pStyle w:val="0"/>
              <w:jc w:val="center"/>
            </w:pPr>
            <w:r>
              <w:rPr>
                <w:sz w:val="24"/>
              </w:rPr>
              <w:t xml:space="preserve">12 шт. и более</w:t>
            </w:r>
          </w:p>
        </w:tc>
        <w:tc>
          <w:tcPr>
            <w:tcW w:w="2041" w:type="dxa"/>
            <w:vAlign w:val="center"/>
          </w:tcPr>
          <w:p>
            <w:pPr>
              <w:pStyle w:val="0"/>
              <w:jc w:val="center"/>
            </w:pPr>
            <w:r>
              <w:rPr>
                <w:sz w:val="24"/>
              </w:rPr>
              <w:t xml:space="preserve">От 5 до 12 шт.</w:t>
            </w:r>
          </w:p>
        </w:tc>
      </w:tr>
      <w:tr>
        <w:tc>
          <w:tcPr>
            <w:tcW w:w="4589" w:type="dxa"/>
          </w:tcPr>
          <w:p>
            <w:pPr>
              <w:pStyle w:val="0"/>
              <w:jc w:val="both"/>
            </w:pPr>
            <w:r>
              <w:rPr>
                <w:sz w:val="24"/>
              </w:rPr>
              <w:t xml:space="preserve">5.2 Объемом 100 м</w:t>
            </w:r>
            <w:r>
              <w:rPr>
                <w:sz w:val="24"/>
                <w:vertAlign w:val="superscript"/>
              </w:rPr>
              <w:t xml:space="preserve">3</w:t>
            </w:r>
            <w:r>
              <w:rPr>
                <w:sz w:val="24"/>
              </w:rPr>
              <w:t xml:space="preserve"> и менее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5 шт. и более</w:t>
            </w:r>
          </w:p>
        </w:tc>
      </w:tr>
      <w:tr>
        <w:tc>
          <w:tcPr>
            <w:tcW w:w="4589" w:type="dxa"/>
          </w:tcPr>
          <w:p>
            <w:pPr>
              <w:pStyle w:val="0"/>
              <w:jc w:val="both"/>
            </w:pPr>
            <w:r>
              <w:rPr>
                <w:sz w:val="24"/>
              </w:rPr>
              <w:t xml:space="preserve">6 Кабельные тоннели и полностью закрытые галереи (в том числе комбинированные), прокладываемые между промышленными зданиями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50 м</w:t>
            </w:r>
            <w:r>
              <w:rPr>
                <w:sz w:val="24"/>
                <w:vertAlign w:val="superscript"/>
              </w:rPr>
              <w:t xml:space="preserve">3</w:t>
            </w:r>
            <w:r>
              <w:rPr>
                <w:sz w:val="24"/>
              </w:rPr>
              <w:t xml:space="preserve"> и более</w:t>
            </w:r>
          </w:p>
        </w:tc>
      </w:tr>
      <w:tr>
        <w:tc>
          <w:tcPr>
            <w:tcW w:w="4589" w:type="dxa"/>
          </w:tcPr>
          <w:p>
            <w:pPr>
              <w:pStyle w:val="0"/>
              <w:jc w:val="both"/>
            </w:pPr>
            <w:r>
              <w:rPr>
                <w:sz w:val="24"/>
              </w:rPr>
              <w:t xml:space="preserve">7 Городские кабельные коллекторы и тоннели (в том числе комбинированные)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объема</w:t>
            </w:r>
          </w:p>
        </w:tc>
      </w:tr>
      <w:tr>
        <w:tblPrEx>
          <w:tblBorders>
            <w:insideH w:val="nil"/>
          </w:tblBorders>
        </w:tblPrEx>
        <w:tc>
          <w:tcPr>
            <w:tcW w:w="4589" w:type="dxa"/>
            <w:tcBorders>
              <w:bottom w:val="nil"/>
            </w:tcBorders>
          </w:tcPr>
          <w:p>
            <w:pPr>
              <w:pStyle w:val="0"/>
              <w:jc w:val="both"/>
            </w:pPr>
            <w:r>
              <w:rPr>
                <w:sz w:val="24"/>
              </w:rPr>
              <w:t xml:space="preserve">8 Кабельные сооружения при прокладке в них маслонаполненных кабелей в металлических трубах</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7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9 Закрытые галереи, эстакады для транспортирования лесоматериалов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длины</w:t>
            </w:r>
          </w:p>
        </w:tc>
      </w:tr>
      <w:tr>
        <w:tc>
          <w:tcPr>
            <w:tcW w:w="4589" w:type="dxa"/>
          </w:tcPr>
          <w:bookmarkStart w:id="384" w:name="P384"/>
          <w:bookmarkEnd w:id="384"/>
          <w:p>
            <w:pPr>
              <w:pStyle w:val="0"/>
              <w:jc w:val="both"/>
            </w:pPr>
            <w:r>
              <w:rPr>
                <w:sz w:val="24"/>
              </w:rPr>
              <w:t xml:space="preserve">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w:t>
            </w:r>
            <w:hyperlink w:history="0" w:anchor="P405" w:tooltip="&lt;2&gt; Кабельные сооружения, пространства за подвесными потолками и между двойными полами АУП и СПС не оборудуются (за исключением пунктов 1 - 3 настоящей таблицы):">
              <w:r>
                <w:rPr>
                  <w:sz w:val="24"/>
                  <w:color w:val="0000ff"/>
                </w:rPr>
                <w:t xml:space="preserve">&lt;2&gt;</w:t>
              </w:r>
            </w:hyperlink>
            <w:r>
              <w:rPr>
                <w:sz w:val="24"/>
              </w:rPr>
              <w:t xml:space="preserve">, </w:t>
            </w:r>
            <w:hyperlink w:history="0" w:anchor="P411" w:tooltip="&lt;3&gt; Объем горючей массы изоляции кабелей (проводов) определяется по методике ГОСТ IEC 60332-3-22.">
              <w:r>
                <w:rPr>
                  <w:sz w:val="24"/>
                  <w:color w:val="0000ff"/>
                </w:rPr>
                <w:t xml:space="preserve">&lt;3&gt;</w:t>
              </w:r>
            </w:hyperlink>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bookmarkStart w:id="387" w:name="P387"/>
          <w:bookmarkEnd w:id="387"/>
          <w:p>
            <w:pPr>
              <w:pStyle w:val="0"/>
              <w:jc w:val="both"/>
            </w:pPr>
            <w:r>
              <w:rPr>
                <w:sz w:val="24"/>
              </w:rPr>
              <w:t xml:space="preserve">10.1 Трубопроводов с изоляцией, выполненной из материалов группы горючести Г2 - Г4, независимо от массы данных материалов </w:t>
            </w:r>
            <w:hyperlink w:history="0" w:anchor="P412" w:tooltip="&lt;4&gt; Требования пунктов 10.1 и 10.2 настоящей таблицы (с учетом пункта 2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
              <w:r>
                <w:rPr>
                  <w:sz w:val="24"/>
                  <w:color w:val="0000ff"/>
                </w:rPr>
                <w:t xml:space="preserve">&lt;4&gt;</w:t>
              </w:r>
            </w:hyperlink>
          </w:p>
        </w:tc>
        <w:tc>
          <w:tcPr>
            <w:tcW w:w="2429" w:type="dxa"/>
            <w:vAlign w:val="center"/>
          </w:tcPr>
          <w:p>
            <w:pPr>
              <w:pStyle w:val="0"/>
              <w:jc w:val="center"/>
            </w:pPr>
            <w:r>
              <w:rPr>
                <w:sz w:val="24"/>
              </w:rPr>
              <w:t xml:space="preserve">Независимо от площади и объема</w:t>
            </w:r>
          </w:p>
        </w:tc>
        <w:tc>
          <w:tcPr>
            <w:tcW w:w="2041" w:type="dxa"/>
            <w:vAlign w:val="center"/>
          </w:tcPr>
          <w:p>
            <w:pPr>
              <w:pStyle w:val="0"/>
              <w:jc w:val="center"/>
            </w:pPr>
            <w:r>
              <w:rPr>
                <w:sz w:val="24"/>
              </w:rPr>
              <w:t xml:space="preserve">-</w:t>
            </w:r>
          </w:p>
        </w:tc>
      </w:tr>
      <w:tr>
        <w:tc>
          <w:tcPr>
            <w:tcW w:w="4589" w:type="dxa"/>
          </w:tcPr>
          <w:bookmarkStart w:id="390" w:name="P390"/>
          <w:bookmarkEnd w:id="390"/>
          <w:p>
            <w:pPr>
              <w:pStyle w:val="0"/>
              <w:jc w:val="both"/>
            </w:pPr>
            <w:r>
              <w:rPr>
                <w:sz w:val="24"/>
              </w:rPr>
              <w:t xml:space="preserve">10.2 Кабелей (проводов) с объемом горючей массы 7 и более литров на метр кабельной линии (электропроводки) </w:t>
            </w:r>
            <w:hyperlink w:history="0" w:anchor="P412" w:tooltip="&lt;4&gt; Требования пунктов 10.1 и 10.2 настоящей таблицы (с учетом пункта 2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
              <w:r>
                <w:rPr>
                  <w:sz w:val="24"/>
                  <w:color w:val="0000ff"/>
                </w:rPr>
                <w:t xml:space="preserve">&lt;4&gt;</w:t>
              </w:r>
            </w:hyperlink>
          </w:p>
        </w:tc>
        <w:tc>
          <w:tcPr>
            <w:tcW w:w="2429" w:type="dxa"/>
            <w:vAlign w:val="center"/>
          </w:tcPr>
          <w:p>
            <w:pPr>
              <w:pStyle w:val="0"/>
              <w:jc w:val="center"/>
            </w:pPr>
            <w:r>
              <w:rPr>
                <w:sz w:val="24"/>
              </w:rPr>
              <w:t xml:space="preserve">Независимо от площади и объема</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10.3 Кабелей (проводов) с объемом горючей массы от 1,5 до 7 л на метр кабельной линии (электропроводки)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объема</w:t>
            </w:r>
          </w:p>
        </w:tc>
      </w:tr>
      <w:tr>
        <w:tc>
          <w:tcPr>
            <w:tcW w:w="4589" w:type="dxa"/>
          </w:tcPr>
          <w:p>
            <w:pPr>
              <w:pStyle w:val="0"/>
              <w:jc w:val="both"/>
            </w:pPr>
            <w:r>
              <w:rPr>
                <w:sz w:val="24"/>
              </w:rPr>
              <w:t xml:space="preserve">11 Мобильные (инвентарные) здания контейнерного типа для временного проживания людей (строительные бытовки, вагончики и пр.) </w:t>
            </w:r>
            <w:hyperlink w:history="0" w:anchor="P421" w:tooltip="&lt;5&gt; Для отдельно стоящих строительных бытовок (вагончиков) для временного проживания людей, а также для сгруппированных и расположенных не более чем в два уровня по высоте, при организации выхода непосредственно наружу из каждой бытовки (вагончика) допускается вместо СПС применять автономные дымовые пожарные извещатели.">
              <w:r>
                <w:rPr>
                  <w:sz w:val="24"/>
                  <w:color w:val="0000ff"/>
                </w:rPr>
                <w:t xml:space="preserve">&lt;5&gt;</w:t>
              </w:r>
            </w:hyperlink>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12. Кабельные каналы и кабельные непроходные шахты зданий для прокладки кабелей (проводов) с объемом горючей массы более 1,5 литров на метр кабельной линии (электропроводки)</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объема</w:t>
            </w:r>
          </w:p>
        </w:tc>
      </w:tr>
      <w:tr>
        <w:tblPrEx>
          <w:tblBorders>
            <w:insideH w:val="nil"/>
          </w:tblBorders>
        </w:tblPrEx>
        <w:tc>
          <w:tcPr>
            <w:gridSpan w:val="3"/>
            <w:tcW w:w="9059" w:type="dxa"/>
            <w:tcBorders>
              <w:top w:val="nil"/>
            </w:tcBorders>
          </w:tcPr>
          <w:p>
            <w:pPr>
              <w:pStyle w:val="0"/>
              <w:jc w:val="both"/>
            </w:pPr>
            <w:r>
              <w:rPr>
                <w:sz w:val="24"/>
              </w:rPr>
              <w:t xml:space="preserve">(п. 12 введен </w:t>
            </w:r>
            <w:hyperlink w:history="0" r:id="rId7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404" w:name="P404"/>
          <w:bookmarkEnd w:id="404"/>
          <w:p>
            <w:pPr>
              <w:pStyle w:val="0"/>
              <w:ind w:firstLine="283"/>
              <w:jc w:val="both"/>
            </w:pPr>
            <w:r>
              <w:rPr>
                <w:sz w:val="24"/>
              </w:rPr>
              <w:t xml:space="preserve">&lt;1&gt; Под кабельными сооружениями в настоящем своде правил понимаются тоннели, проходные шахты, этажи, двойные полы, галереи, камеры, используемые для прокладки кабелей (в том числе совместно с другими коммуникациями).</w:t>
            </w:r>
          </w:p>
        </w:tc>
      </w:tr>
      <w:tr>
        <w:tblPrEx>
          <w:tblBorders>
            <w:insideH w:val="nil"/>
          </w:tblBorders>
        </w:tblPrEx>
        <w:tc>
          <w:tcPr>
            <w:gridSpan w:val="3"/>
            <w:tcW w:w="9059" w:type="dxa"/>
            <w:tcBorders>
              <w:top w:val="nil"/>
              <w:bottom w:val="nil"/>
            </w:tcBorders>
          </w:tcPr>
          <w:bookmarkStart w:id="405" w:name="P405"/>
          <w:bookmarkEnd w:id="405"/>
          <w:p>
            <w:pPr>
              <w:pStyle w:val="0"/>
              <w:ind w:firstLine="283"/>
              <w:jc w:val="both"/>
            </w:pPr>
            <w:r>
              <w:rPr>
                <w:sz w:val="24"/>
              </w:rPr>
              <w:t xml:space="preserve">&lt;2&gt; Кабельные сооружения, пространства за подвесными потолками и между двойными полами АУП и СПС не оборудуются (за исключением </w:t>
            </w:r>
            <w:hyperlink w:history="0" w:anchor="P338" w:tooltip="1 Кабельные сооружения &lt;1&gt; электростанций (за исключением частично закрытых кабельных галерей, прокладываемых снаружи зданий, сооружений)">
              <w:r>
                <w:rPr>
                  <w:sz w:val="24"/>
                  <w:color w:val="0000ff"/>
                </w:rPr>
                <w:t xml:space="preserve">пунктов 1</w:t>
              </w:r>
            </w:hyperlink>
            <w:r>
              <w:rPr>
                <w:sz w:val="24"/>
              </w:rPr>
              <w:t xml:space="preserve"> - </w:t>
            </w:r>
            <w:hyperlink w:history="0" w:anchor="P350" w:tooltip="3 Кабельные сооружения подстанций глубокого ввода напряжением 110 - 220 кВ с трансформаторами мощностью">
              <w:r>
                <w:rPr>
                  <w:sz w:val="24"/>
                  <w:color w:val="0000ff"/>
                </w:rPr>
                <w:t xml:space="preserve">3</w:t>
              </w:r>
            </w:hyperlink>
            <w:r>
              <w:rPr>
                <w:sz w:val="24"/>
              </w:rPr>
              <w:t xml:space="preserve"> настоящей таблицы):</w:t>
            </w:r>
          </w:p>
          <w:bookmarkStart w:id="406" w:name="P406"/>
          <w:bookmarkEnd w:id="406"/>
          <w:p>
            <w:pPr>
              <w:pStyle w:val="0"/>
              <w:ind w:firstLine="283"/>
              <w:jc w:val="both"/>
            </w:pPr>
            <w:r>
              <w:rPr>
                <w:sz w:val="24"/>
              </w:rPr>
              <w:t xml:space="preserve">а) при прокладке кабелей (проводов) в стальных трубах или стальных сплошных коробах с открываемыми сплошными крышками, огнестойких коробах, а также при применении иных технических решений, обеспечивающих требуемые эксплуатационные характеристики и сохранение работоспособности в условиях стандартного температурного режима пожара электропроводок систем противопожарной защиты по </w:t>
            </w:r>
            <w:hyperlink w:history="0" r:id="rId80"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w:t>
            </w:r>
          </w:p>
          <w:p>
            <w:pPr>
              <w:pStyle w:val="0"/>
              <w:ind w:firstLine="283"/>
              <w:jc w:val="both"/>
            </w:pPr>
            <w:r>
              <w:rPr>
                <w:sz w:val="24"/>
              </w:rPr>
              <w:t xml:space="preserve">б) при прокладке трубопроводов с изоляцией, выполненной из материалов группы горючести НГ и Г1 (в соответствии с требованиями </w:t>
            </w:r>
            <w:hyperlink w:history="0" r:id="rId8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воздуховоды допускается предусматривать только из материалов группы горючести НГ и Г1);</w:t>
            </w:r>
          </w:p>
          <w:p>
            <w:pPr>
              <w:pStyle w:val="0"/>
              <w:ind w:firstLine="283"/>
              <w:jc w:val="both"/>
            </w:pPr>
            <w:r>
              <w:rPr>
                <w:sz w:val="24"/>
              </w:rPr>
              <w:t xml:space="preserve">в) при прокладке одиночных кабелей (проводов) для питания цепей освещения и организации структурированной кабельной сети;</w:t>
            </w:r>
          </w:p>
          <w:p>
            <w:pPr>
              <w:pStyle w:val="0"/>
              <w:ind w:firstLine="283"/>
              <w:jc w:val="both"/>
            </w:pPr>
            <w:r>
              <w:rPr>
                <w:sz w:val="24"/>
              </w:rPr>
              <w:t xml:space="preserve">г) при прокладке кабелей (проводов) с общим объемом горючей массы менее 1,5 л на 1 м кабельной линии (электропроводки) за подвесными потолками, выполненными из материалов группы горючести НГ и Г1.</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hyperlink w:history="0" r:id="rId8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411" w:name="P411"/>
          <w:bookmarkEnd w:id="411"/>
          <w:p>
            <w:pPr>
              <w:pStyle w:val="0"/>
              <w:ind w:firstLine="283"/>
              <w:jc w:val="both"/>
            </w:pPr>
            <w:r>
              <w:rPr>
                <w:sz w:val="24"/>
              </w:rPr>
              <w:t xml:space="preserve">&lt;3&gt; Объем горючей массы изоляции кабелей (проводов) определяется по методике </w:t>
            </w:r>
            <w:hyperlink w:history="0" r:id="rId83" w:tooltip="&quot;ГОСТ IEC 60332-3-22-2011. Межгосударственный стандарт. Испытания электрических и оптических кабелей в условиях воздействия пламени. Часть 3-22. Распространение пламени по вертикально расположенным пучкам проводов или кабелей. Категория A&quot; (введен в действие Приказом Росстандарта от 13.12.2011 N 1431-ст) ------------ Утратил силу или отменен {КонсультантПлюс}">
              <w:r>
                <w:rPr>
                  <w:sz w:val="24"/>
                  <w:color w:val="0000ff"/>
                </w:rPr>
                <w:t xml:space="preserve">ГОСТ IEC 60332-3-22</w:t>
              </w:r>
            </w:hyperlink>
            <w:r>
              <w:rPr>
                <w:sz w:val="24"/>
              </w:rPr>
              <w:t xml:space="preserve">.</w:t>
            </w:r>
          </w:p>
        </w:tc>
      </w:tr>
      <w:tr>
        <w:tblPrEx>
          <w:tblBorders>
            <w:insideH w:val="nil"/>
          </w:tblBorders>
        </w:tblPrEx>
        <w:tc>
          <w:tcPr>
            <w:gridSpan w:val="3"/>
            <w:tcW w:w="9059" w:type="dxa"/>
            <w:tcBorders>
              <w:top w:val="nil"/>
              <w:bottom w:val="nil"/>
            </w:tcBorders>
          </w:tcPr>
          <w:bookmarkStart w:id="412" w:name="P412"/>
          <w:bookmarkEnd w:id="412"/>
          <w:p>
            <w:pPr>
              <w:pStyle w:val="0"/>
              <w:ind w:firstLine="283"/>
              <w:jc w:val="both"/>
            </w:pPr>
            <w:r>
              <w:rPr>
                <w:sz w:val="24"/>
              </w:rPr>
              <w:t xml:space="preserve">&lt;4&gt; Требования </w:t>
            </w:r>
            <w:hyperlink w:history="0" w:anchor="P387" w:tooltip="10.1 Трубопроводов с изоляцией, выполненной из материалов группы горючести Г2 - Г4, независимо от массы данных материалов &lt;4&gt;">
              <w:r>
                <w:rPr>
                  <w:sz w:val="24"/>
                  <w:color w:val="0000ff"/>
                </w:rPr>
                <w:t xml:space="preserve">пунктов 10.1</w:t>
              </w:r>
            </w:hyperlink>
            <w:r>
              <w:rPr>
                <w:sz w:val="24"/>
              </w:rPr>
              <w:t xml:space="preserve"> и </w:t>
            </w:r>
            <w:hyperlink w:history="0" w:anchor="P390" w:tooltip="10.2 Кабелей (проводов) с объемом горючей массы 7 и более литров на метр кабельной линии (электропроводки) &lt;4&gt;">
              <w:r>
                <w:rPr>
                  <w:sz w:val="24"/>
                  <w:color w:val="0000ff"/>
                </w:rPr>
                <w:t xml:space="preserve">10.2</w:t>
              </w:r>
            </w:hyperlink>
            <w:r>
              <w:rPr>
                <w:sz w:val="24"/>
              </w:rPr>
              <w:t xml:space="preserve"> настоящей таблицы (с учетом </w:t>
            </w:r>
            <w:hyperlink w:history="0" w:anchor="P405" w:tooltip="&lt;2&gt; Кабельные сооружения, пространства за подвесными потолками и между двойными полами АУП и СПС не оборудуются (за исключением пунктов 1 - 3 настоящей таблицы):">
              <w:r>
                <w:rPr>
                  <w:sz w:val="24"/>
                  <w:color w:val="0000ff"/>
                </w:rPr>
                <w:t xml:space="preserve">пункта 2</w:t>
              </w:r>
            </w:hyperlink>
            <w:r>
              <w:rPr>
                <w:sz w:val="24"/>
              </w:rPr>
              <w:t xml:space="preserve">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w:t>
            </w:r>
          </w:p>
          <w:p>
            <w:pPr>
              <w:pStyle w:val="0"/>
              <w:ind w:firstLine="283"/>
              <w:jc w:val="both"/>
            </w:pPr>
            <w:r>
              <w:rPr>
                <w:sz w:val="24"/>
              </w:rPr>
              <w:t xml:space="preserve">в зданиях (помещениях), подлежащих в целом защите АУП;</w:t>
            </w:r>
          </w:p>
          <w:p>
            <w:pPr>
              <w:pStyle w:val="0"/>
              <w:ind w:firstLine="283"/>
              <w:jc w:val="both"/>
            </w:pPr>
            <w:r>
              <w:rPr>
                <w:sz w:val="24"/>
              </w:rPr>
              <w:t xml:space="preserve">в эвакуационных коридорах, холлах, фойе, вестибюлях зданий любого назначения;</w:t>
            </w:r>
          </w:p>
          <w:p>
            <w:pPr>
              <w:pStyle w:val="0"/>
              <w:ind w:firstLine="283"/>
              <w:jc w:val="both"/>
            </w:pPr>
            <w:r>
              <w:rPr>
                <w:sz w:val="24"/>
              </w:rPr>
              <w:t xml:space="preserve">в зальных помещениях с посадочными местами, рассчитанных на пребывание 50 и более человек;</w:t>
            </w:r>
          </w:p>
          <w:p>
            <w:pPr>
              <w:pStyle w:val="0"/>
              <w:ind w:firstLine="283"/>
              <w:jc w:val="both"/>
            </w:pPr>
            <w:r>
              <w:rPr>
                <w:sz w:val="24"/>
              </w:rPr>
              <w:t xml:space="preserve">в зданиях (помещениях) классов функциональной пожарной опасности Ф1.1 и Ф4.1;</w:t>
            </w:r>
          </w:p>
          <w:p>
            <w:pPr>
              <w:pStyle w:val="0"/>
              <w:ind w:firstLine="283"/>
              <w:jc w:val="both"/>
            </w:pPr>
            <w:r>
              <w:rPr>
                <w:sz w:val="24"/>
              </w:rPr>
              <w:t xml:space="preserve">в помещениях площадью 50 м2 и более с постоянным или временным пребыванием людей числом более одного человека на 1 м2 площади помещений, не занятой оборудованием и предметами интерьера.</w:t>
            </w:r>
          </w:p>
          <w:p>
            <w:pPr>
              <w:pStyle w:val="0"/>
              <w:ind w:firstLine="283"/>
              <w:jc w:val="both"/>
            </w:pPr>
            <w:r>
              <w:rPr>
                <w:sz w:val="24"/>
              </w:rPr>
              <w:t xml:space="preserve">Допускается не оборудовать пространства за подвесными потолками и между двойными полами АУП при прокладке в них трубопроводов с изоляцией, выполненной из материалов группы горючести Г2, при отсутствии в указанных пространствах кабелей (проводов) или их прокладке согласно </w:t>
            </w:r>
            <w:hyperlink w:history="0" w:anchor="P406" w:tooltip="а) при прокладке кабелей (проводов) в стальных трубах или стальных сплошных коробах с открываемыми сплошными крышками, огнестойких коробах, а также при применении иных технических решений, обеспечивающих требуемые эксплуатационные характеристики и сохранение работоспособности в условиях стандартного температурного режима пожара электропроводок систем противопожарной защиты по ГОСТ Р 53316;">
              <w:r>
                <w:rPr>
                  <w:sz w:val="24"/>
                  <w:color w:val="0000ff"/>
                </w:rPr>
                <w:t xml:space="preserve">подпункту "а"</w:t>
              </w:r>
            </w:hyperlink>
            <w:r>
              <w:rPr>
                <w:sz w:val="24"/>
              </w:rPr>
              <w:t xml:space="preserve"> примечания 2.</w:t>
            </w:r>
          </w:p>
          <w:p>
            <w:pPr>
              <w:pStyle w:val="0"/>
              <w:ind w:firstLine="283"/>
              <w:jc w:val="both"/>
            </w:pPr>
            <w:r>
              <w:rPr>
                <w:sz w:val="24"/>
              </w:rPr>
              <w:t xml:space="preserve">В зданиях класса функциональной пожарной опасности Ф5 в пространствах за подвесными потолками и между двойными полами, подлежащих защите АУП (за исключением указанных пространств на путях эвакуации - в коридорах, холлах, фойе, вестибюлях), допускается вместо АУП применение УПА в сочетании с СПС.</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hyperlink w:history="0" r:id="rId8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421" w:name="P421"/>
          <w:bookmarkEnd w:id="421"/>
          <w:p>
            <w:pPr>
              <w:pStyle w:val="0"/>
              <w:ind w:firstLine="283"/>
              <w:jc w:val="both"/>
            </w:pPr>
            <w:r>
              <w:rPr>
                <w:sz w:val="24"/>
              </w:rPr>
              <w:t xml:space="preserve">&lt;5&gt; Для отдельно стоящих строительных бытовок (вагончиков) для временного проживания людей, а также для сгруппированных и расположенных не более чем в два уровня по высоте, при организации выхода непосредственно наружу из каждой бытовки (вагончика) допускается вместо СПС применять автономные дымовые пожарные извещатели.</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85"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bl>
    <w:p>
      <w:pPr>
        <w:pStyle w:val="0"/>
        <w:jc w:val="both"/>
      </w:pPr>
      <w:r>
        <w:rPr>
          <w:sz w:val="24"/>
        </w:rPr>
      </w:r>
    </w:p>
    <w:bookmarkStart w:id="424" w:name="P424"/>
    <w:bookmarkEnd w:id="424"/>
    <w:p>
      <w:pPr>
        <w:pStyle w:val="0"/>
        <w:jc w:val="both"/>
      </w:pPr>
      <w:r>
        <w:rPr>
          <w:sz w:val="24"/>
        </w:rPr>
        <w:t xml:space="preserve">Таблица 3 - Помещения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gridSpan w:val="3"/>
            <w:tcW w:w="9059" w:type="dxa"/>
          </w:tcPr>
          <w:p>
            <w:pPr>
              <w:pStyle w:val="0"/>
              <w:jc w:val="center"/>
            </w:pPr>
            <w:r>
              <w:rPr>
                <w:sz w:val="24"/>
              </w:rPr>
              <w:t xml:space="preserve">Помещения складского назначения </w:t>
            </w:r>
            <w:hyperlink w:history="0" w:anchor="P734" w:tooltip="&lt;1&gt; Дополнительные требования по защите помещений складов нефти и нефтепродуктов изложены в СП 155.13130.">
              <w:r>
                <w:rPr>
                  <w:sz w:val="24"/>
                  <w:color w:val="0000ff"/>
                </w:rPr>
                <w:t xml:space="preserve">&lt;1&gt;</w:t>
              </w:r>
            </w:hyperlink>
          </w:p>
        </w:tc>
      </w:tr>
      <w:tr>
        <w:tc>
          <w:tcPr>
            <w:tcW w:w="4589" w:type="dxa"/>
          </w:tcPr>
          <w:p>
            <w:pPr>
              <w:pStyle w:val="0"/>
              <w:jc w:val="both"/>
            </w:pPr>
            <w:r>
              <w:rPr>
                <w:sz w:val="24"/>
              </w:rPr>
              <w:t xml:space="preserve">1 Категории А и Б по взрывопожарной опасности (кроме помещений, расположенных в зданиях и сооружениях по переработке и хранению зерна)</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bookmarkStart w:id="434" w:name="P434"/>
          <w:bookmarkEnd w:id="434"/>
          <w:p>
            <w:pPr>
              <w:pStyle w:val="0"/>
              <w:jc w:val="both"/>
            </w:pPr>
            <w:r>
              <w:rPr>
                <w:sz w:val="24"/>
              </w:rPr>
              <w:t xml:space="preserve">2 Для хранения каучука, целлулоида и изделий из него, спичек, щелочных металлов, пиротехнических изделий</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8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bookmarkStart w:id="438" w:name="P438"/>
          <w:bookmarkEnd w:id="438"/>
          <w:p>
            <w:pPr>
              <w:pStyle w:val="0"/>
              <w:jc w:val="both"/>
            </w:pPr>
            <w:r>
              <w:rPr>
                <w:sz w:val="24"/>
              </w:rPr>
              <w:t xml:space="preserve">3 Для хранения шерсти, меха и изделий из них; горючих материалов с малой (менее 3 кг/м</w:t>
            </w:r>
            <w:r>
              <w:rPr>
                <w:sz w:val="24"/>
                <w:vertAlign w:val="superscript"/>
              </w:rPr>
              <w:t xml:space="preserve">3</w:t>
            </w:r>
            <w:r>
              <w:rPr>
                <w:sz w:val="24"/>
              </w:rPr>
              <w:t xml:space="preserve">) насыпной плотностью (стационарных аэровзвесей); фото-, кино-, аудиопленки на горючей основе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4 Категории В1 по пожарной опасности (кроме указанных в </w:t>
            </w:r>
            <w:hyperlink w:history="0" w:anchor="P434" w:tooltip="2 Для хранения каучука, целлулоида и изделий из него, спичек, щелочных металлов, пиротехнических изделий">
              <w:r>
                <w:rPr>
                  <w:sz w:val="24"/>
                  <w:color w:val="0000ff"/>
                </w:rPr>
                <w:t xml:space="preserve">пунктах 2</w:t>
              </w:r>
            </w:hyperlink>
            <w:r>
              <w:rPr>
                <w:sz w:val="24"/>
              </w:rPr>
              <w:t xml:space="preserve">, </w:t>
            </w:r>
            <w:hyperlink w:history="0" w:anchor="P438" w:tooltip="3 Для хранения шерсти, меха и изделий из них; горючих материалов с малой (менее 3 кг/м3) насыпной плотностью (стационарных аэровзвесей); фото-, кино-, аудиопленки на горючей основе">
              <w:r>
                <w:rPr>
                  <w:sz w:val="24"/>
                  <w:color w:val="0000ff"/>
                </w:rPr>
                <w:t xml:space="preserve">3</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8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4.1 В цокольном, заглубленном более чем на 0,5 м, 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В надземных этажах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5 Категорий В2 - В3 по пожарной опасности (кроме указанных в </w:t>
            </w:r>
            <w:hyperlink w:history="0" w:anchor="P434" w:tooltip="2 Для хранения каучука, целлулоида и изделий из него, спичек, щелочных металлов, пиротехнических изделий">
              <w:r>
                <w:rPr>
                  <w:sz w:val="24"/>
                  <w:color w:val="0000ff"/>
                </w:rPr>
                <w:t xml:space="preserve">пунктах 2</w:t>
              </w:r>
            </w:hyperlink>
            <w:r>
              <w:rPr>
                <w:sz w:val="24"/>
              </w:rPr>
              <w:t xml:space="preserve">, </w:t>
            </w:r>
            <w:hyperlink w:history="0" w:anchor="P438" w:tooltip="3 Для хранения шерсти, меха и изделий из них; горючих материалов с малой (менее 3 кг/м3) насыпной плотностью (стационарных аэровзвесей); фото-, кино-, аудиопленки на горючей основе">
              <w:r>
                <w:rPr>
                  <w:sz w:val="24"/>
                  <w:color w:val="0000ff"/>
                </w:rPr>
                <w:t xml:space="preserve">3</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8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5.1 В цокольном, заглубленном более чем на 0,5 м, и подвальном этажах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5.2 В надземных этажах</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6 Помещения охлаждаемых (холодильных) камер промышленных холодильников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gridSpan w:val="3"/>
            <w:tcW w:w="9059" w:type="dxa"/>
          </w:tcPr>
          <w:p>
            <w:pPr>
              <w:pStyle w:val="0"/>
              <w:jc w:val="center"/>
            </w:pPr>
            <w:r>
              <w:rPr>
                <w:sz w:val="24"/>
              </w:rPr>
              <w:t xml:space="preserve">Производственные помещения</w:t>
            </w:r>
          </w:p>
        </w:tc>
      </w:tr>
      <w:tr>
        <w:tc>
          <w:tcPr>
            <w:tcW w:w="4589" w:type="dxa"/>
          </w:tcPr>
          <w:p>
            <w:pPr>
              <w:pStyle w:val="0"/>
              <w:jc w:val="both"/>
            </w:pPr>
            <w:r>
              <w:rPr>
                <w:sz w:val="24"/>
              </w:rPr>
              <w:t xml:space="preserve">7 Категории А и Б по взрывопожарной опасности с обращением легковоспламеняющихся и горючих жидкостей, сжиженных горючих газов, горючих пылей и волокон (кроме указанных в </w:t>
            </w:r>
            <w:hyperlink w:history="0" w:anchor="P518" w:tooltip="11 Маслоподвалы">
              <w:r>
                <w:rPr>
                  <w:sz w:val="24"/>
                  <w:color w:val="0000ff"/>
                </w:rPr>
                <w:t xml:space="preserve">пункте 11</w:t>
              </w:r>
            </w:hyperlink>
            <w:r>
              <w:rPr>
                <w:sz w:val="24"/>
              </w:rPr>
              <w:t xml:space="preserve"> настоящей таблицы и помещений, расположенных в зданиях и сооружениях по переработке и хранению зерна):</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7.1 Производственные помещения категории А по взрывопожарной опасности с обращением только горючих газов (за исключением сжиженных горючих газов) при отсутствии иной пожарной нагрузки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7.2 Производственные помещения категории А по взрывопожарной опасности с обращением горючих газов (за исключением сжиженных горючих газов) при наличии иной пожарной нагрузки в помещении. При величине удельной пожарной нагрузки: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7.2.1 Более 2200 МДж/м</w:t>
            </w:r>
            <w:r>
              <w:rPr>
                <w:sz w:val="24"/>
                <w:vertAlign w:val="superscript"/>
              </w:rPr>
              <w:t xml:space="preserve">2</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7.2.2 От 181 до 2200 МДж/м</w:t>
            </w:r>
            <w:r>
              <w:rPr>
                <w:sz w:val="24"/>
                <w:vertAlign w:val="superscript"/>
              </w:rPr>
              <w:t xml:space="preserve">2</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7.2.3 180 МДж/м</w:t>
            </w:r>
            <w:r>
              <w:rPr>
                <w:sz w:val="24"/>
                <w:vertAlign w:val="superscript"/>
              </w:rPr>
              <w:t xml:space="preserve">2</w:t>
            </w:r>
            <w:r>
              <w:rPr>
                <w:sz w:val="24"/>
              </w:rPr>
              <w:t xml:space="preserve"> и менее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8 С наличием щелочных металлов при размещении: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8.1 В цокольном этаже, заглубленном более чем на 0,5 м</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8.2 В надземных этажах</w:t>
            </w:r>
          </w:p>
        </w:tc>
        <w:tc>
          <w:tcPr>
            <w:tcW w:w="2429" w:type="dxa"/>
            <w:vAlign w:val="center"/>
          </w:tcPr>
          <w:p>
            <w:pPr>
              <w:pStyle w:val="0"/>
              <w:jc w:val="center"/>
            </w:pPr>
            <w:r>
              <w:rPr>
                <w:sz w:val="24"/>
              </w:rPr>
              <w:t xml:space="preserve">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500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9 Категории В1 по пожарной опасности (кроме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8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9.1 В цокольном, заглубленном более чем на 0,5 м, 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9.2 В надземных этажах (кроме указанных в </w:t>
            </w:r>
            <w:hyperlink w:history="0" w:anchor="P518" w:tooltip="11 Маслоподвалы">
              <w:r>
                <w:rPr>
                  <w:sz w:val="24"/>
                  <w:color w:val="0000ff"/>
                </w:rPr>
                <w:t xml:space="preserve">пунктах 11</w:t>
              </w:r>
            </w:hyperlink>
            <w:r>
              <w:rPr>
                <w:sz w:val="24"/>
              </w:rPr>
              <w:t xml:space="preserve"> - </w:t>
            </w:r>
            <w:hyperlink w:history="0" w:anchor="P541" w:tooltip="18 Помещения главных касс, помещения бюро контроля переводов и зональных вычислительных центров почтамтов, городских и районных узлов почтовой связи общим объемом зданий">
              <w:r>
                <w:rPr>
                  <w:sz w:val="24"/>
                  <w:color w:val="0000ff"/>
                </w:rPr>
                <w:t xml:space="preserve">18</w:t>
              </w:r>
            </w:hyperlink>
            <w:r>
              <w:rPr>
                <w:sz w:val="24"/>
              </w:rPr>
              <w:t xml:space="preserve"> настоящей таблицы)</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10 Категории В2 - В3 по пожарной опасности (кроме указанных в </w:t>
            </w:r>
            <w:hyperlink w:history="0" w:anchor="P518" w:tooltip="11 Маслоподвалы">
              <w:r>
                <w:rPr>
                  <w:sz w:val="24"/>
                  <w:color w:val="0000ff"/>
                </w:rPr>
                <w:t xml:space="preserve">пунктах 11</w:t>
              </w:r>
            </w:hyperlink>
            <w:r>
              <w:rPr>
                <w:sz w:val="24"/>
              </w:rPr>
              <w:t xml:space="preserve"> - </w:t>
            </w:r>
            <w:hyperlink w:history="0" w:anchor="P559" w:tooltip="20 Выделенные помещения управляющих устройств на основе ЭВМ автоматических междугородных телефонных станций при емкости станций">
              <w:r>
                <w:rPr>
                  <w:sz w:val="24"/>
                  <w:color w:val="0000ff"/>
                </w:rPr>
                <w:t xml:space="preserve">20</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10.1 В цокольном, заглубленном более чем на 0,5 м, и подвальном этажах</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10.1.1 Не имеющие выходов непосредственно наружу</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10.1.2 При наличии выходов непосредственно наружу</w:t>
            </w:r>
          </w:p>
        </w:tc>
        <w:tc>
          <w:tcPr>
            <w:tcW w:w="2429" w:type="dxa"/>
            <w:vAlign w:val="center"/>
          </w:tcPr>
          <w:p>
            <w:pPr>
              <w:pStyle w:val="0"/>
              <w:jc w:val="center"/>
            </w:pPr>
            <w:r>
              <w:rPr>
                <w:sz w:val="24"/>
              </w:rPr>
              <w:t xml:space="preserve">700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700 м</w:t>
            </w:r>
            <w:r>
              <w:rPr>
                <w:sz w:val="24"/>
                <w:vertAlign w:val="superscript"/>
              </w:rPr>
              <w:t xml:space="preserve">2</w:t>
            </w:r>
          </w:p>
        </w:tc>
      </w:tr>
      <w:tr>
        <w:tc>
          <w:tcPr>
            <w:tcW w:w="4589" w:type="dxa"/>
          </w:tcPr>
          <w:p>
            <w:pPr>
              <w:pStyle w:val="0"/>
              <w:jc w:val="both"/>
            </w:pPr>
            <w:r>
              <w:rPr>
                <w:sz w:val="24"/>
              </w:rPr>
              <w:t xml:space="preserve">10.2 В надземных этажах</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bookmarkStart w:id="518" w:name="P518"/>
          <w:bookmarkEnd w:id="518"/>
          <w:p>
            <w:pPr>
              <w:pStyle w:val="0"/>
              <w:jc w:val="both"/>
            </w:pPr>
            <w:r>
              <w:rPr>
                <w:sz w:val="24"/>
              </w:rPr>
              <w:t xml:space="preserve">11 Маслоподвалы</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 Помещения приготовления: суспензии из алюминиевой пудры, резиновых клеев; на основе ЛВЖ и ГЖ: лаков, красок, клеев, мастик, пропиточных составов; помещения окрасочных, полимеризации синтетического каучука, огневых подогревателей нефти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13 Помещения экранированные горючими материалами</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14 Помещения для размещения оборудования АСУ ТП, работающего в системах управления сложными технологическими процессами, нарушение которых влияет на безопасность людей </w:t>
            </w:r>
            <w:hyperlink w:history="0" w:anchor="P735" w:tooltip="&lt;2&gt; В указанных помещениях допускается не применять АУП для помещения в целом, при условии, что все электронное и электротехническое оборудование (включая оборудование АСУ ТП) защищено автоматическими установками локального пожаротушения или УПА, а в помещениях установлена СПС. При этом защита кабельных линий и электропроводок в указанных помещениях может быть осуществлена конструктивными методами, а при их нахождении за подвесными потолками или между двойными полами следует руководствоваться пунктом 10 ...">
              <w:r>
                <w:rPr>
                  <w:sz w:val="24"/>
                  <w:color w:val="0000ff"/>
                </w:rPr>
                <w:t xml:space="preserve">&lt;2&gt;</w:t>
              </w:r>
            </w:hyperlink>
            <w:r>
              <w:rPr>
                <w:sz w:val="24"/>
              </w:rPr>
              <w:t xml:space="preserve">, </w:t>
            </w:r>
            <w:hyperlink w:history="0" w:anchor="P737" w:tooltip="&lt;3&gt; Для защиты указанных помещений должны применяться АУП, не вызывающие повреждение или сбои в работе защищаемого оборудования при ложном срабатывании.">
              <w:r>
                <w:rPr>
                  <w:sz w:val="24"/>
                  <w:color w:val="0000ff"/>
                </w:rPr>
                <w:t xml:space="preserve">&lt;3&gt;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gridSpan w:val="3"/>
            <w:tcW w:w="9059" w:type="dxa"/>
          </w:tcPr>
          <w:p>
            <w:pPr>
              <w:pStyle w:val="0"/>
              <w:jc w:val="center"/>
            </w:pPr>
            <w:r>
              <w:rPr>
                <w:sz w:val="24"/>
              </w:rPr>
              <w:t xml:space="preserve">Помещения связи</w:t>
            </w:r>
          </w:p>
        </w:tc>
      </w:tr>
      <w:tr>
        <w:tc>
          <w:tcPr>
            <w:tcW w:w="4589" w:type="dxa"/>
          </w:tcPr>
          <w:p>
            <w:pPr>
              <w:pStyle w:val="0"/>
              <w:jc w:val="both"/>
            </w:pPr>
            <w:r>
              <w:rPr>
                <w:sz w:val="24"/>
              </w:rPr>
              <w:t xml:space="preserve">15 Вентиляционные, трансформаторные помещения, помещения разделительных устройств: передающих радиостанций мощностью передатчиков 150 кВт и выше, приемных радиостанций с числом приемников от 20, стационарных станций космической связи с мощностью передающего устройства более 1 кВт, ретрансляционных телевизионных станций мощностью передатчиков 25 - 50 кВт, сетевых узлов, междугородных и городских телефонных станций, телеграфных станций, оконечных усилительных пунктов и районных узлов связи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16 Необслуживаемые и обслуживаемые без вечерних и ночных смен: технические цеха оконечных усилительных пунктов, промежуточных радиорелейных станций, передающих и приемных радиоцентров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17 Необслуживаемые аппаратные базовых станций сотовой системы подвижной радиосвязи и аппаратные радиорелейных станций сотовой системы подвижной радиосвязи</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bookmarkStart w:id="541" w:name="P541"/>
          <w:bookmarkEnd w:id="541"/>
          <w:p>
            <w:pPr>
              <w:pStyle w:val="0"/>
              <w:jc w:val="both"/>
            </w:pPr>
            <w:r>
              <w:rPr>
                <w:sz w:val="24"/>
              </w:rPr>
              <w:t xml:space="preserve">18 Помещения главных касс, помещения бюро контроля переводов и зональных вычислительных центров почтамтов, городских и районных узлов почтовой связи общим объемом зданий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18.1 40 тыс. м</w:t>
            </w:r>
            <w:r>
              <w:rPr>
                <w:sz w:val="24"/>
                <w:vertAlign w:val="superscript"/>
              </w:rPr>
              <w:t xml:space="preserve">3</w:t>
            </w:r>
            <w:r>
              <w:rPr>
                <w:sz w:val="24"/>
              </w:rPr>
              <w:t xml:space="preserve"> и более</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p>
            <w:pPr>
              <w:pStyle w:val="0"/>
              <w:jc w:val="both"/>
            </w:pPr>
            <w:r>
              <w:rPr>
                <w:sz w:val="24"/>
              </w:rPr>
              <w:t xml:space="preserve">18.2 Менее 40 тыс. м</w:t>
            </w:r>
            <w:r>
              <w:rPr>
                <w:sz w:val="24"/>
                <w:vertAlign w:val="superscript"/>
              </w:rPr>
              <w:t xml:space="preserve">3</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19 Автозалы АТС, в которых устанавливается коммутационное оборудование квазиэлектронного и электронного типов совместно с ЭВМ, используемой в качестве управляющего комплекса, устройствами ввода-вывода, помещения электронных коммутационных станций, узлов, центров документальной электросвязи емкостью:</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19.1 10 тыс. и более номеров, каналов или точек подключения</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19.2 Менее 10 тыс. номеров, каналов или точек подключения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bookmarkStart w:id="559" w:name="P559"/>
          <w:bookmarkEnd w:id="559"/>
          <w:p>
            <w:pPr>
              <w:pStyle w:val="0"/>
              <w:jc w:val="both"/>
            </w:pPr>
            <w:r>
              <w:rPr>
                <w:sz w:val="24"/>
              </w:rPr>
              <w:t xml:space="preserve">20 Выделенные помещения управляющих устройств на основе ЭВМ автоматических междугородных телефонных станций при емкости станций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20.1 10 тыс. междугородных каналов и более</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p>
            <w:pPr>
              <w:pStyle w:val="0"/>
              <w:jc w:val="both"/>
            </w:pPr>
            <w:r>
              <w:rPr>
                <w:sz w:val="24"/>
              </w:rPr>
              <w:t xml:space="preserve">20.2 Менее 10 тыс. междугородных каналов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21 Помещения обработки, сортировки, хранения и доставки посылок, письменной корреспонденции, периодической печати, страховой почты</w:t>
            </w:r>
          </w:p>
        </w:tc>
        <w:tc>
          <w:tcPr>
            <w:tcW w:w="2429" w:type="dxa"/>
            <w:vAlign w:val="center"/>
          </w:tcPr>
          <w:p>
            <w:pPr>
              <w:pStyle w:val="0"/>
              <w:jc w:val="center"/>
            </w:pPr>
            <w:r>
              <w:rPr>
                <w:sz w:val="24"/>
              </w:rPr>
              <w:t xml:space="preserve">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500 м</w:t>
            </w:r>
            <w:r>
              <w:rPr>
                <w:sz w:val="24"/>
                <w:vertAlign w:val="superscript"/>
              </w:rPr>
              <w:t xml:space="preserve">2</w:t>
            </w:r>
          </w:p>
        </w:tc>
      </w:tr>
      <w:tr>
        <w:tc>
          <w:tcPr>
            <w:gridSpan w:val="3"/>
            <w:tcW w:w="9059" w:type="dxa"/>
          </w:tcPr>
          <w:p>
            <w:pPr>
              <w:pStyle w:val="0"/>
              <w:jc w:val="center"/>
            </w:pPr>
            <w:r>
              <w:rPr>
                <w:sz w:val="24"/>
              </w:rPr>
              <w:t xml:space="preserve">Помещения транспорта</w:t>
            </w:r>
          </w:p>
        </w:tc>
      </w:tr>
      <w:tr>
        <w:tc>
          <w:tcPr>
            <w:tcW w:w="4589" w:type="dxa"/>
          </w:tcPr>
          <w:p>
            <w:pPr>
              <w:pStyle w:val="0"/>
              <w:jc w:val="both"/>
            </w:pPr>
            <w:r>
              <w:rPr>
                <w:sz w:val="24"/>
              </w:rPr>
              <w:t xml:space="preserve">22 Помещения железнодорожного транспорта</w:t>
            </w:r>
          </w:p>
        </w:tc>
        <w:tc>
          <w:tcPr>
            <w:gridSpan w:val="2"/>
            <w:tcW w:w="4470" w:type="dxa"/>
            <w:vAlign w:val="center"/>
          </w:tcPr>
          <w:p>
            <w:pPr>
              <w:pStyle w:val="0"/>
              <w:jc w:val="center"/>
            </w:pPr>
            <w:r>
              <w:rPr>
                <w:sz w:val="24"/>
              </w:rPr>
              <w:t xml:space="preserve">По </w:t>
            </w:r>
            <w:hyperlink w:history="0" r:id="rId92" w:tooltip="Приказ МЧС России от 25.12.2012 N 804 (ред. от 18.07.2016) &quot;Об утверждении свода правил &quot;Инфраструктура железнодорожного транспорта. Требования пожарной безопасности&quot; (вместе с &quot;СП 153.13130.2013. Свод правил...&quot;) {КонсультантПлюс}">
              <w:r>
                <w:rPr>
                  <w:sz w:val="24"/>
                  <w:color w:val="0000ff"/>
                </w:rPr>
                <w:t xml:space="preserve">СП 153.13130</w:t>
              </w:r>
            </w:hyperlink>
          </w:p>
        </w:tc>
      </w:tr>
      <w:tr>
        <w:tc>
          <w:tcPr>
            <w:tcW w:w="4589" w:type="dxa"/>
          </w:tcPr>
          <w:p>
            <w:pPr>
              <w:pStyle w:val="0"/>
              <w:jc w:val="both"/>
            </w:pPr>
            <w:r>
              <w:rPr>
                <w:sz w:val="24"/>
              </w:rPr>
              <w:t xml:space="preserve">23 Помещения и сооружения метрополитенов</w:t>
            </w:r>
          </w:p>
        </w:tc>
        <w:tc>
          <w:tcPr>
            <w:gridSpan w:val="2"/>
            <w:tcW w:w="4470" w:type="dxa"/>
            <w:vAlign w:val="center"/>
          </w:tcPr>
          <w:p>
            <w:pPr>
              <w:pStyle w:val="0"/>
              <w:jc w:val="center"/>
            </w:pPr>
            <w:r>
              <w:rPr>
                <w:sz w:val="24"/>
              </w:rPr>
              <w:t xml:space="preserve">По </w:t>
            </w:r>
            <w:hyperlink w:history="0" r:id="rId93" w:tooltip="&quot;СП 120.13330.2012. Свод правил. Метрополитены. Актуализированная редакция СНиП 32-02-2003&quot; (утв. Приказом Минрегиона России от 30.06.2012 N 264) (ред. от 24.12.2019) ------------ Утратил силу или отменен {КонсультантПлюс}">
              <w:r>
                <w:rPr>
                  <w:sz w:val="24"/>
                  <w:color w:val="0000ff"/>
                </w:rPr>
                <w:t xml:space="preserve">СП 120.13330</w:t>
              </w:r>
            </w:hyperlink>
          </w:p>
        </w:tc>
      </w:tr>
      <w:tr>
        <w:tc>
          <w:tcPr>
            <w:tcW w:w="4589" w:type="dxa"/>
          </w:tcPr>
          <w:p>
            <w:pPr>
              <w:pStyle w:val="0"/>
              <w:jc w:val="both"/>
            </w:pPr>
            <w:r>
              <w:rPr>
                <w:sz w:val="24"/>
              </w:rPr>
              <w:t xml:space="preserve">24 Помещения контрольно-диспетчерского пункта с автоматической системой, центра коммутации сообщений, дальних и ближних приводных радиостанций с радиомаркерами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25 Помещения демонтажа и монтажа авиадвигателей, воздушных винтов, шасси и колес самолетов и вертолетов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26 Помещения самолетного и двигателеремонтного производств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27 Помещения для хранения транспортных средств, размещаемые в зданиях иного назначения (за исключением индивидуальных жилых домов), при их расположении: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27.1 В цокольных, заглубленных более чем на 0,5 м, подвальных и подземных этажах (в том числе под мостами)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27.2 В надземных этажах </w:t>
            </w:r>
            <w:hyperlink w:history="0" w:anchor="P738" w:tooltip="&lt;4&gt; При размещении автомобилей в выставочных и торговых залах помещения данных выставочных и торговых залов оборудуются АУП в соответствии с пунктами 31 и 39 настоящей таблицы соответственно.">
              <w:r>
                <w:rPr>
                  <w:sz w:val="24"/>
                  <w:color w:val="0000ff"/>
                </w:rPr>
                <w:t xml:space="preserve">&lt;4&gt;</w:t>
              </w:r>
            </w:hyperlink>
          </w:p>
        </w:tc>
        <w:tc>
          <w:tcPr>
            <w:tcW w:w="2429" w:type="dxa"/>
            <w:vAlign w:val="center"/>
            <w:tcBorders>
              <w:bottom w:val="nil"/>
            </w:tcBorders>
          </w:tcPr>
          <w:p>
            <w:pPr>
              <w:pStyle w:val="0"/>
              <w:jc w:val="center"/>
            </w:pPr>
            <w:r>
              <w:rPr>
                <w:sz w:val="24"/>
              </w:rPr>
              <w:t xml:space="preserve">При хранении 3 и более автомобилей</w:t>
            </w:r>
          </w:p>
        </w:tc>
        <w:tc>
          <w:tcPr>
            <w:tcW w:w="2041" w:type="dxa"/>
            <w:vAlign w:val="center"/>
            <w:tcBorders>
              <w:bottom w:val="nil"/>
            </w:tcBorders>
          </w:tcPr>
          <w:p>
            <w:pPr>
              <w:pStyle w:val="0"/>
              <w:jc w:val="center"/>
            </w:pPr>
            <w:r>
              <w:rPr>
                <w:sz w:val="24"/>
              </w:rPr>
              <w:t xml:space="preserve">При хранении менее 3 автомобилей</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28 Производственные, складские, а также технические помещения для инженерного оборудования зданий и сооружений для обслуживания автомобилей</w:t>
            </w:r>
          </w:p>
        </w:tc>
        <w:tc>
          <w:tcPr>
            <w:gridSpan w:val="2"/>
            <w:tcW w:w="4470" w:type="dxa"/>
            <w:vAlign w:val="center"/>
          </w:tcPr>
          <w:p>
            <w:pPr>
              <w:pStyle w:val="0"/>
              <w:jc w:val="center"/>
            </w:pPr>
            <w:r>
              <w:rPr>
                <w:sz w:val="24"/>
              </w:rPr>
              <w:t xml:space="preserve">По </w:t>
            </w:r>
            <w:hyperlink w:history="0" r:id="rId95" w:tooltip="Приказ МЧС России от 10.04.2018 N 154 (ред. от 24.05.2023) &quot;Об утверждении свода правил &quot;Здания и сооружения для обслуживания автомобилей. Требования пожарной безопасности&quot; (вместе с &quot;СП 364.1311500.2018. Свод правил. Здания и сооружения для обслуживания автомобилей. Требования пожарной безопасности&quot;) {КонсультантПлюс}">
              <w:r>
                <w:rPr>
                  <w:sz w:val="24"/>
                  <w:color w:val="0000ff"/>
                </w:rPr>
                <w:t xml:space="preserve">СП 364.1311500</w:t>
              </w:r>
            </w:hyperlink>
          </w:p>
        </w:tc>
      </w:tr>
      <w:tr>
        <w:tc>
          <w:tcPr>
            <w:gridSpan w:val="3"/>
            <w:tcW w:w="9059" w:type="dxa"/>
          </w:tcPr>
          <w:p>
            <w:pPr>
              <w:pStyle w:val="0"/>
              <w:jc w:val="center"/>
            </w:pPr>
            <w:r>
              <w:rPr>
                <w:sz w:val="24"/>
              </w:rPr>
              <w:t xml:space="preserve">Общественные помещения</w:t>
            </w:r>
          </w:p>
        </w:tc>
      </w:tr>
      <w:tr>
        <w:tc>
          <w:tcPr>
            <w:tcW w:w="4589" w:type="dxa"/>
          </w:tcPr>
          <w:p>
            <w:pPr>
              <w:pStyle w:val="0"/>
              <w:jc w:val="both"/>
            </w:pPr>
            <w:r>
              <w:rPr>
                <w:sz w:val="24"/>
              </w:rPr>
              <w:t xml:space="preserve">29 Помещения хранения и выдачи уникальных изданий, отчетов, рукописей и другой документации особой ценности (в том числе архивов операционных отделов)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30 Помещения хранилищ и помещения хранения служебных каталогов и описей в библиотеках и архивах с общим фондом хранения:</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30.1 500 тыс. единиц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30.2 Менее 500 тыс. единиц</w:t>
            </w:r>
          </w:p>
        </w:tc>
        <w:tc>
          <w:tcPr>
            <w:tcW w:w="2429" w:type="dxa"/>
            <w:vAlign w:val="center"/>
          </w:tcPr>
          <w:p>
            <w:pPr>
              <w:pStyle w:val="0"/>
              <w:jc w:val="center"/>
            </w:pPr>
            <w:r>
              <w:rPr>
                <w:sz w:val="24"/>
              </w:rPr>
            </w:r>
          </w:p>
        </w:tc>
        <w:tc>
          <w:tcPr>
            <w:tcW w:w="2041" w:type="dxa"/>
            <w:vAlign w:val="center"/>
          </w:tcPr>
          <w:p>
            <w:pPr>
              <w:pStyle w:val="0"/>
              <w:jc w:val="center"/>
            </w:pPr>
            <w:r>
              <w:rPr>
                <w:sz w:val="24"/>
              </w:rPr>
              <w:t xml:space="preserve">Независимо от площади</w:t>
            </w:r>
          </w:p>
        </w:tc>
      </w:tr>
      <w:tr>
        <w:tc>
          <w:tcPr>
            <w:tcW w:w="4589" w:type="dxa"/>
          </w:tcPr>
          <w:bookmarkStart w:id="610" w:name="P610"/>
          <w:bookmarkEnd w:id="610"/>
          <w:p>
            <w:pPr>
              <w:pStyle w:val="0"/>
              <w:jc w:val="both"/>
            </w:pPr>
            <w:r>
              <w:rPr>
                <w:sz w:val="24"/>
              </w:rPr>
              <w:t xml:space="preserve">31 Выставочные залы </w:t>
            </w:r>
            <w:hyperlink w:history="0" w:anchor="P739" w:tooltip="&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
              <w:r>
                <w:rPr>
                  <w:sz w:val="24"/>
                  <w:color w:val="0000ff"/>
                </w:rPr>
                <w:t xml:space="preserve">&lt;5&gt;</w:t>
              </w:r>
            </w:hyperlink>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32 Помещения хранения музейных ценностей </w:t>
            </w:r>
            <w:hyperlink w:history="0" w:anchor="P739" w:tooltip="&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
              <w:r>
                <w:rPr>
                  <w:sz w:val="24"/>
                  <w:color w:val="0000ff"/>
                </w:rPr>
                <w:t xml:space="preserve">&lt;5&gt;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33 В зданиях культурно-зрелищного назначения (клубы, концертные и киноконцертные залы, филармонии, дома культуры, цирки) со сценой (манежем в цирке) и зрительным залом:</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33.1 При вместимости зала более 700 мест и (или) площади сцены более 200 м</w:t>
            </w:r>
            <w:r>
              <w:rPr>
                <w:sz w:val="24"/>
                <w:vertAlign w:val="superscript"/>
              </w:rPr>
              <w:t xml:space="preserve">2</w:t>
            </w:r>
            <w:r>
              <w:rPr>
                <w:sz w:val="24"/>
              </w:rPr>
              <w:t xml:space="preserve">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33.2 При вместимости зала более 400 мест и (или) площади сцены более 200 м</w:t>
            </w:r>
            <w:r>
              <w:rPr>
                <w:sz w:val="24"/>
                <w:vertAlign w:val="superscript"/>
              </w:rPr>
              <w:t xml:space="preserve">2</w:t>
            </w:r>
            <w:r>
              <w:rPr>
                <w:sz w:val="24"/>
              </w:rPr>
              <w:t xml:space="preserve">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9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33.3. В театрах независимо от вместимости зала и площади сцены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33.3 в ред. </w:t>
            </w:r>
            <w:hyperlink w:history="0" r:id="rId9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Borders>
              <w:bottom w:val="nil"/>
            </w:tcBorders>
            <w:vMerge w:val="restart"/>
          </w:tcPr>
          <w:p>
            <w:pPr>
              <w:pStyle w:val="0"/>
              <w:jc w:val="both"/>
            </w:pPr>
            <w:r>
              <w:rPr>
                <w:sz w:val="24"/>
              </w:rPr>
              <w:t xml:space="preserve">33.4. Склады декораций, бутафории и реквизита, столярные мастерские, фуражные, инвентарные и хозяйственные кладовые, помещения хранения и изготовления рекламы, помещения производственного назначения и обслуживания сцены, помещения для животных, чердачное подкупольное пространство над зрительным залом</w:t>
            </w:r>
          </w:p>
        </w:tc>
        <w:tc>
          <w:tcPr>
            <w:tcW w:w="2429" w:type="dxa"/>
            <w:vAlign w:val="center"/>
            <w:tcBorders>
              <w:bottom w:val="nil"/>
            </w:tcBorders>
          </w:tcPr>
          <w:p>
            <w:pPr>
              <w:pStyle w:val="0"/>
              <w:jc w:val="center"/>
            </w:pPr>
            <w:r>
              <w:rPr>
                <w:sz w:val="24"/>
              </w:rPr>
              <w:t xml:space="preserve">Независимо от площади при вместимости зала более 200 мест,</w:t>
            </w:r>
          </w:p>
        </w:tc>
        <w:tc>
          <w:tcPr>
            <w:tcW w:w="2041" w:type="dxa"/>
            <w:vAlign w:val="center"/>
            <w:tcBorders>
              <w:bottom w:val="nil"/>
            </w:tcBorders>
            <w:vMerge w:val="restart"/>
          </w:tcPr>
          <w:p>
            <w:pPr>
              <w:pStyle w:val="0"/>
              <w:jc w:val="center"/>
            </w:pPr>
            <w:r>
              <w:rPr>
                <w:sz w:val="24"/>
              </w:rPr>
              <w:t xml:space="preserve">-</w:t>
            </w:r>
          </w:p>
        </w:tc>
      </w:tr>
      <w:tr>
        <w:tblPrEx>
          <w:tblBorders>
            <w:insideH w:val="nil"/>
          </w:tblBorders>
        </w:tblPrEx>
        <w:tc>
          <w:tcPr>
            <w:tcBorders>
              <w:bottom w:val="nil"/>
            </w:tcBorders>
            <w:vMerge w:val="continue"/>
          </w:tcPr>
          <w:p/>
        </w:tc>
        <w:tc>
          <w:tcPr>
            <w:tcW w:w="2429" w:type="dxa"/>
            <w:tcBorders>
              <w:top w:val="nil"/>
              <w:bottom w:val="nil"/>
            </w:tcBorders>
          </w:tcPr>
          <w:p>
            <w:pPr>
              <w:pStyle w:val="0"/>
              <w:jc w:val="center"/>
            </w:pPr>
            <w:r>
              <w:rPr>
                <w:sz w:val="24"/>
              </w:rPr>
              <w:t xml:space="preserve">в театрах независимо от площади и вместимости зала</w:t>
            </w:r>
          </w:p>
        </w:tc>
        <w:tc>
          <w:tcPr>
            <w:tcBorders>
              <w:bottom w:val="nil"/>
            </w:tcBorders>
            <w:vMerge w:val="continue"/>
          </w:tcPr>
          <w:p/>
        </w:tc>
      </w:tr>
      <w:tr>
        <w:tblPrEx>
          <w:tblBorders>
            <w:insideH w:val="nil"/>
          </w:tblBorders>
        </w:tblPrEx>
        <w:tc>
          <w:tcPr>
            <w:gridSpan w:val="3"/>
            <w:tcW w:w="9059" w:type="dxa"/>
            <w:tcBorders>
              <w:top w:val="nil"/>
            </w:tcBorders>
          </w:tcPr>
          <w:p>
            <w:pPr>
              <w:pStyle w:val="0"/>
              <w:jc w:val="both"/>
            </w:pPr>
            <w:r>
              <w:rPr>
                <w:sz w:val="24"/>
              </w:rPr>
              <w:t xml:space="preserve">(п. 33.4 введен </w:t>
            </w:r>
            <w:hyperlink w:history="0" r:id="rId10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c>
          <w:tcPr>
            <w:tcW w:w="4589" w:type="dxa"/>
          </w:tcPr>
          <w:p>
            <w:pPr>
              <w:pStyle w:val="0"/>
              <w:jc w:val="both"/>
            </w:pPr>
            <w:r>
              <w:rPr>
                <w:sz w:val="24"/>
              </w:rPr>
              <w:t xml:space="preserve">34 Помещения хранилищ ценностей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blPrEx>
          <w:tblBorders>
            <w:insideH w:val="nil"/>
          </w:tblBorders>
        </w:tblPrEx>
        <w:tc>
          <w:tcPr>
            <w:tcW w:w="4589" w:type="dxa"/>
            <w:tcBorders>
              <w:bottom w:val="nil"/>
            </w:tcBorders>
          </w:tcPr>
          <w:p>
            <w:pPr>
              <w:pStyle w:val="0"/>
              <w:jc w:val="both"/>
            </w:pPr>
            <w:r>
              <w:rPr>
                <w:sz w:val="24"/>
              </w:rPr>
              <w:t xml:space="preserve">34.1. В банках</w:t>
            </w:r>
          </w:p>
        </w:tc>
        <w:tc>
          <w:tcPr>
            <w:tcW w:w="2429" w:type="dxa"/>
            <w:vAlign w:val="center"/>
            <w:tcBorders>
              <w:bottom w:val="nil"/>
            </w:tcBorders>
          </w:tcPr>
          <w:p>
            <w:pPr>
              <w:pStyle w:val="0"/>
              <w:jc w:val="center"/>
            </w:pPr>
            <w:r>
              <w:rPr>
                <w:sz w:val="24"/>
              </w:rPr>
              <w:t xml:space="preserve">по ВНП 001-01/Банк России</w:t>
            </w:r>
          </w:p>
        </w:tc>
        <w:tc>
          <w:tcPr>
            <w:tcW w:w="2041" w:type="dxa"/>
            <w:tcBorders>
              <w:bottom w:val="nil"/>
            </w:tcBorders>
          </w:tcPr>
          <w:p>
            <w:pPr>
              <w:pStyle w:val="0"/>
              <w:jc w:val="both"/>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34.1 в ред. </w:t>
            </w:r>
            <w:hyperlink w:history="0" r:id="rId10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34.2 В ломбардах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35 Съемочные павильоны киностудий</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36 Помещения (камеры) хранения багажа ручной клади (кроме оборудованных автоматическими ячейками) и склады горючих материалов в зданиях вокзалов (в том числе аэровокзалов) в этажах</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36.1 В цокольном, заглубленном более чем на 0,5 м, и подвальном</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36.2 В надземных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37 Помещения для хранения горючих материалов или негорючих материалов в горючей упаковке при их расположении: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37.1 Под трибунами любой вместимости в крытых спортивных сооружениях</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37.2 В зданиях крытых спортивных сооружений вместимостью 800 и более зрителей</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37.3 Под трибунами вместимостью 3 тыс. и более зрителей при открытых спортивных сооружениях</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38 Специализированные помещения для размещения серверов</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blPrEx>
          <w:tblBorders>
            <w:insideH w:val="nil"/>
          </w:tblBorders>
        </w:tblPrEx>
        <w:tc>
          <w:tcPr>
            <w:tcW w:w="4589" w:type="dxa"/>
            <w:tcBorders>
              <w:bottom w:val="nil"/>
            </w:tcBorders>
          </w:tcPr>
          <w:bookmarkStart w:id="674" w:name="P674"/>
          <w:bookmarkEnd w:id="674"/>
          <w:p>
            <w:pPr>
              <w:pStyle w:val="0"/>
              <w:jc w:val="both"/>
            </w:pPr>
            <w:r>
              <w:rPr>
                <w:sz w:val="24"/>
              </w:rPr>
              <w:t xml:space="preserve">39 Помещения предприятий торговли, встроенные и встроенно-пристроенные в здания другого назначения: </w:t>
            </w:r>
            <w:hyperlink w:history="0" w:anchor="P745" w:tooltip="&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
              <w:r>
                <w:rPr>
                  <w:sz w:val="24"/>
                  <w:color w:val="0000ff"/>
                </w:rPr>
                <w:t xml:space="preserve">&lt;9&gt;</w:t>
              </w:r>
            </w:hyperlink>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0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39.1 Цокольные, заглубленные более чем на 0,5 м, и подвальные этажи</w:t>
            </w:r>
          </w:p>
        </w:tc>
        <w:tc>
          <w:tcPr>
            <w:tcW w:w="2429" w:type="dxa"/>
            <w:vAlign w:val="center"/>
          </w:tcPr>
          <w:p>
            <w:pPr>
              <w:pStyle w:val="0"/>
              <w:jc w:val="center"/>
            </w:pPr>
            <w:r>
              <w:rPr>
                <w:sz w:val="24"/>
              </w:rPr>
              <w:t xml:space="preserve">Общей площадью 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Общей площадью менее 200 м</w:t>
            </w:r>
            <w:r>
              <w:rPr>
                <w:sz w:val="24"/>
                <w:vertAlign w:val="superscript"/>
              </w:rPr>
              <w:t xml:space="preserve">2</w:t>
            </w:r>
          </w:p>
        </w:tc>
      </w:tr>
      <w:tr>
        <w:tc>
          <w:tcPr>
            <w:tcW w:w="4589" w:type="dxa"/>
          </w:tcPr>
          <w:p>
            <w:pPr>
              <w:pStyle w:val="0"/>
              <w:jc w:val="both"/>
            </w:pPr>
            <w:r>
              <w:rPr>
                <w:sz w:val="24"/>
              </w:rPr>
              <w:t xml:space="preserve">39.2 Надземные этажи</w:t>
            </w:r>
          </w:p>
        </w:tc>
        <w:tc>
          <w:tcPr>
            <w:tcW w:w="2429" w:type="dxa"/>
            <w:vAlign w:val="center"/>
          </w:tcPr>
          <w:p>
            <w:pPr>
              <w:pStyle w:val="0"/>
              <w:jc w:val="center"/>
            </w:pPr>
            <w:r>
              <w:rPr>
                <w:sz w:val="24"/>
              </w:rPr>
              <w:t xml:space="preserve">Общей площадью 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Общей площадью менее 500 м</w:t>
            </w:r>
            <w:r>
              <w:rPr>
                <w:sz w:val="24"/>
                <w:vertAlign w:val="superscript"/>
              </w:rPr>
              <w:t xml:space="preserve">2</w:t>
            </w:r>
          </w:p>
        </w:tc>
      </w:tr>
      <w:tr>
        <w:tc>
          <w:tcPr>
            <w:tcW w:w="4589" w:type="dxa"/>
          </w:tcPr>
          <w:p>
            <w:pPr>
              <w:pStyle w:val="0"/>
              <w:jc w:val="both"/>
            </w:pPr>
            <w:r>
              <w:rPr>
                <w:sz w:val="24"/>
              </w:rPr>
              <w:t xml:space="preserve">40 Помещения производственного и складского назначения категории В4 по пожарной опасности, расположенные в зданиях классов функциональной пожарной опасности Ф1.1, Ф1.2, Ф2.1, Ф4.1 и Ф4.2</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41 Помещения для размещения детских игровых зон (кроме помещений в зданиях дошкольных образовательных организаций) с применением материалов групп горючести Г2 - Г4</w:t>
            </w:r>
          </w:p>
        </w:tc>
        <w:tc>
          <w:tcPr>
            <w:tcW w:w="2429" w:type="dxa"/>
            <w:vAlign w:val="center"/>
          </w:tcPr>
          <w:p>
            <w:pPr>
              <w:pStyle w:val="0"/>
              <w:jc w:val="center"/>
            </w:pPr>
            <w:r>
              <w:rPr>
                <w:sz w:val="24"/>
              </w:rPr>
              <w:t xml:space="preserve">При площади зоны 50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Чердаки в зданиях классов функциональной пожарной опасности Ф1.1, Ф1.2, Ф4.1 и Ф4.2</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43 Помещения класса функциональной пожарной опасности Ф3.2, размещаемые в подвальных этажах </w:t>
            </w:r>
            <w:hyperlink w:history="0" w:anchor="P745" w:tooltip="&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
              <w:r>
                <w:rPr>
                  <w:sz w:val="24"/>
                  <w:color w:val="0000ff"/>
                </w:rPr>
                <w:t xml:space="preserve">&lt;9&gt;</w:t>
              </w:r>
            </w:hyperlink>
          </w:p>
        </w:tc>
        <w:tc>
          <w:tcPr>
            <w:tcW w:w="2429" w:type="dxa"/>
            <w:vAlign w:val="center"/>
            <w:tcBorders>
              <w:bottom w:val="nil"/>
            </w:tcBorders>
          </w:tcPr>
          <w:p>
            <w:pPr>
              <w:pStyle w:val="0"/>
              <w:jc w:val="center"/>
            </w:pPr>
            <w:r>
              <w:rPr>
                <w:sz w:val="24"/>
              </w:rPr>
              <w:t xml:space="preserve">Общей площадью 200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03"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44 Помещения детских дошкольных учреждений и организаций, встроенные в здания иного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r>
          </w:p>
        </w:tc>
      </w:tr>
      <w:tr>
        <w:tc>
          <w:tcPr>
            <w:tcW w:w="4589" w:type="dxa"/>
          </w:tcPr>
          <w:p>
            <w:pPr>
              <w:pStyle w:val="0"/>
              <w:jc w:val="both"/>
            </w:pPr>
            <w:r>
              <w:rPr>
                <w:sz w:val="24"/>
              </w:rPr>
              <w:t xml:space="preserve">45 Помещения для предоставления гостиничных услуг, встроенные в здания иного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46. Мусоросборные камеры жилых многоквартирных зданий:</w:t>
            </w:r>
          </w:p>
        </w:tc>
        <w:tc>
          <w:tcPr>
            <w:tcW w:w="2429" w:type="dxa"/>
            <w:tcBorders>
              <w:bottom w:val="nil"/>
            </w:tcBorders>
          </w:tcPr>
          <w:p>
            <w:pPr>
              <w:pStyle w:val="0"/>
            </w:pPr>
            <w:r>
              <w:rPr>
                <w:sz w:val="24"/>
              </w:rPr>
            </w:r>
          </w:p>
        </w:tc>
        <w:tc>
          <w:tcPr>
            <w:tcW w:w="2041" w:type="dxa"/>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46 в ред. </w:t>
            </w:r>
            <w:hyperlink w:history="0" r:id="rId10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46.1. при наличии мусоропровода</w:t>
            </w:r>
          </w:p>
        </w:tc>
        <w:tc>
          <w:tcPr>
            <w:tcW w:w="2429" w:type="dxa"/>
            <w:vAlign w:val="center"/>
            <w:tcBorders>
              <w:bottom w:val="nil"/>
            </w:tcBorders>
          </w:tcPr>
          <w:p>
            <w:pPr>
              <w:pStyle w:val="0"/>
              <w:jc w:val="center"/>
            </w:pPr>
            <w:r>
              <w:rPr>
                <w:sz w:val="24"/>
              </w:rPr>
              <w:t xml:space="preserve">Независимо от площади </w:t>
            </w:r>
            <w:hyperlink w:history="0" w:anchor="P743" w:tooltip="&lt;8&gt; В многоквартирных жилых зданиях с мусоропроводом мусоросборная камера должна быть защищена по всей площади спринклерными оросителями. Участок распределительного трубопровода оросителей должен быть кольцевым, подключенным к сети хозяйственно-питьевого водопровода многоквартирного здания и оснащенным теплоизоляцией из негорючих материалов.">
              <w:r>
                <w:rPr>
                  <w:sz w:val="24"/>
                  <w:color w:val="0000ff"/>
                </w:rPr>
                <w:t xml:space="preserve">&lt;8&gt;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46.1 введен </w:t>
            </w:r>
            <w:hyperlink w:history="0" r:id="rId105"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46.2. при отсутствии мусоропровода</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46.2 введен </w:t>
            </w:r>
            <w:hyperlink w:history="0" r:id="rId10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c>
          <w:tcPr>
            <w:tcW w:w="4589" w:type="dxa"/>
          </w:tcPr>
          <w:p>
            <w:pPr>
              <w:pStyle w:val="0"/>
              <w:jc w:val="both"/>
            </w:pPr>
            <w:r>
              <w:rPr>
                <w:sz w:val="24"/>
              </w:rPr>
              <w:t xml:space="preserve">47 Помещения производственного и складского назначения, расположенные в научно-исследовательских учреждениях и других общественных зданиях</w:t>
            </w:r>
          </w:p>
        </w:tc>
        <w:tc>
          <w:tcPr>
            <w:gridSpan w:val="2"/>
            <w:tcW w:w="4470" w:type="dxa"/>
            <w:vAlign w:val="center"/>
          </w:tcPr>
          <w:p>
            <w:pPr>
              <w:pStyle w:val="0"/>
              <w:jc w:val="center"/>
            </w:pPr>
            <w:r>
              <w:rPr>
                <w:sz w:val="24"/>
              </w:rPr>
              <w:t xml:space="preserve">Оборудуются согласно соответствующим разделам </w:t>
            </w:r>
            <w:hyperlink w:history="0" w:anchor="P424" w:tooltip="Таблица 3 - Помещения">
              <w:r>
                <w:rPr>
                  <w:sz w:val="24"/>
                  <w:color w:val="0000ff"/>
                </w:rPr>
                <w:t xml:space="preserve">таблицы 3</w:t>
              </w:r>
            </w:hyperlink>
          </w:p>
        </w:tc>
      </w:tr>
      <w:tr>
        <w:tblPrEx>
          <w:tblBorders>
            <w:insideH w:val="nil"/>
          </w:tblBorders>
        </w:tblPrEx>
        <w:tc>
          <w:tcPr>
            <w:tcW w:w="4589" w:type="dxa"/>
            <w:tcBorders>
              <w:bottom w:val="nil"/>
            </w:tcBorders>
          </w:tcPr>
          <w:p>
            <w:pPr>
              <w:pStyle w:val="0"/>
              <w:jc w:val="both"/>
            </w:pPr>
            <w:r>
              <w:rPr>
                <w:sz w:val="24"/>
              </w:rPr>
              <w:t xml:space="preserve">48 Помещения иного административного, административно-бытового и общественного назначения, в том числе встроенные и пристроенные с учетом положений </w:t>
            </w:r>
            <w:hyperlink w:history="0" w:anchor="P129" w:tooltip="4.4 В зданиях и сооружениях, указанных в данном перечне, следует защищать АУП и (или) СПС все помещения независимо от площади, кроме помещений:">
              <w:r>
                <w:rPr>
                  <w:sz w:val="24"/>
                  <w:color w:val="0000ff"/>
                </w:rPr>
                <w:t xml:space="preserve">пункта 4.4</w:t>
              </w:r>
            </w:hyperlink>
            <w:r>
              <w:rPr>
                <w:sz w:val="24"/>
              </w:rPr>
              <w:t xml:space="preserve"> </w:t>
            </w:r>
            <w:hyperlink w:history="0" w:anchor="P748" w:tooltip="&lt;10&gt; Во встроенных в здания иного назначения банях и саунах помещение парильной следует оборудовать дренчерным устройством (из перфорированных сухотрубов) или дренчерными оросителями, подключенными к сети хозяйственно-питьевого водопровода, с ручным управлением перед входом в парильную (кроме парильных типа &quot;хамам&quot; и инфракрасных кабин, а также индивидуальных саун в квартирах).">
              <w:r>
                <w:rPr>
                  <w:sz w:val="24"/>
                  <w:color w:val="0000ff"/>
                </w:rPr>
                <w:t xml:space="preserve">&lt;10&gt;</w:t>
              </w:r>
            </w:hyperlink>
            <w:r>
              <w:rPr>
                <w:sz w:val="24"/>
              </w:rPr>
              <w:t xml:space="preserve"> настоящего свода правил</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0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49. Внеквартирные хозяйственные кладовые жильцов в жилых многоквартирных зданиях:</w:t>
            </w:r>
          </w:p>
        </w:tc>
        <w:tc>
          <w:tcPr>
            <w:tcW w:w="2429" w:type="dxa"/>
            <w:tcBorders>
              <w:bottom w:val="nil"/>
            </w:tcBorders>
          </w:tcPr>
          <w:p>
            <w:pPr>
              <w:pStyle w:val="0"/>
            </w:pPr>
            <w:r>
              <w:rPr>
                <w:sz w:val="24"/>
              </w:rPr>
            </w:r>
          </w:p>
        </w:tc>
        <w:tc>
          <w:tcPr>
            <w:tcW w:w="2041" w:type="dxa"/>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49 введен </w:t>
            </w:r>
            <w:hyperlink w:history="0" r:id="rId10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49.1. Цокольные, заглубленные более чем на 0,5 м, и подвальные этажи</w:t>
            </w:r>
          </w:p>
        </w:tc>
        <w:tc>
          <w:tcPr>
            <w:tcW w:w="2429" w:type="dxa"/>
            <w:vAlign w:val="center"/>
            <w:tcBorders>
              <w:bottom w:val="nil"/>
            </w:tcBorders>
          </w:tcPr>
          <w:p>
            <w:pPr>
              <w:pStyle w:val="0"/>
              <w:jc w:val="center"/>
            </w:pPr>
            <w:r>
              <w:rPr>
                <w:sz w:val="24"/>
              </w:rPr>
              <w:t xml:space="preserve">при общей площади кладовых в пределах пожарного отсека 200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49.1 введен </w:t>
            </w:r>
            <w:hyperlink w:history="0" r:id="rId10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49.2. Надземные этажи</w:t>
            </w:r>
          </w:p>
        </w:tc>
        <w:tc>
          <w:tcPr>
            <w:tcW w:w="2429" w:type="dxa"/>
            <w:vAlign w:val="center"/>
            <w:tcBorders>
              <w:bottom w:val="nil"/>
            </w:tcBorders>
          </w:tcPr>
          <w:p>
            <w:pPr>
              <w:pStyle w:val="0"/>
              <w:jc w:val="center"/>
            </w:pPr>
            <w:r>
              <w:rPr>
                <w:sz w:val="24"/>
              </w:rPr>
              <w:t xml:space="preserve">при общей площади кладовых в пределах пожарного отсека 500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49.2 введен </w:t>
            </w:r>
            <w:hyperlink w:history="0" r:id="rId11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734" w:name="P734"/>
          <w:bookmarkEnd w:id="734"/>
          <w:p>
            <w:pPr>
              <w:pStyle w:val="0"/>
              <w:ind w:firstLine="283"/>
              <w:jc w:val="both"/>
            </w:pPr>
            <w:r>
              <w:rPr>
                <w:sz w:val="24"/>
              </w:rPr>
              <w:t xml:space="preserve">&lt;1&gt; Дополнительные требования по защите помещений складов нефти и нефтепродуктов изложены в </w:t>
            </w:r>
            <w:hyperlink w:history="0" r:id="rId111" w:tooltip="Приказ МЧС России от 26.12.2013 N 837 (ред. от 29.12.2023) &quot;Об утверждении свода правил &quot;Склады нефти и нефтепродуктов. Требования пожарной безопасности&quot; (вместе с &quot;СП 155.13130.2014. Свод правил...&quot;) {КонсультантПлюс}">
              <w:r>
                <w:rPr>
                  <w:sz w:val="24"/>
                  <w:color w:val="0000ff"/>
                </w:rPr>
                <w:t xml:space="preserve">СП 155.13130</w:t>
              </w:r>
            </w:hyperlink>
            <w:r>
              <w:rPr>
                <w:sz w:val="24"/>
              </w:rPr>
              <w:t xml:space="preserve">.</w:t>
            </w:r>
          </w:p>
        </w:tc>
      </w:tr>
      <w:tr>
        <w:tblPrEx>
          <w:tblBorders>
            <w:insideH w:val="nil"/>
          </w:tblBorders>
        </w:tblPrEx>
        <w:tc>
          <w:tcPr>
            <w:gridSpan w:val="3"/>
            <w:tcW w:w="9059" w:type="dxa"/>
            <w:tcBorders>
              <w:top w:val="nil"/>
              <w:bottom w:val="nil"/>
            </w:tcBorders>
          </w:tcPr>
          <w:bookmarkStart w:id="735" w:name="P735"/>
          <w:bookmarkEnd w:id="735"/>
          <w:p>
            <w:pPr>
              <w:pStyle w:val="0"/>
              <w:ind w:firstLine="283"/>
              <w:jc w:val="both"/>
            </w:pPr>
            <w:r>
              <w:rPr>
                <w:sz w:val="24"/>
              </w:rPr>
              <w:t xml:space="preserve">&lt;2&gt; В указанных помещениях допускается не применять АУП для помещения в целом, при условии, что все электронное и электротехническое оборудование (включая оборудование АСУ ТП) защищено автоматическими установками локального пожаротушения или УПА, а в помещениях установлена СПС. При этом защита кабельных линий и электропроводок в указанных помещениях может быть осуществлена конструктивными методами, а при их нахождении за подвесными потолками или между двойными полами следует руководствоваться </w:t>
            </w:r>
            <w:hyperlink w:history="0" w:anchor="P384" w:tooltip="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lt;2&gt;, &lt;3&gt;">
              <w:r>
                <w:rPr>
                  <w:sz w:val="24"/>
                  <w:color w:val="0000ff"/>
                </w:rPr>
                <w:t xml:space="preserve">пунктом 10</w:t>
              </w:r>
            </w:hyperlink>
            <w:r>
              <w:rPr>
                <w:sz w:val="24"/>
              </w:rPr>
              <w:t xml:space="preserve"> таблицы 2.</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hyperlink w:history="0" r:id="rId11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37" w:name="P737"/>
          <w:bookmarkEnd w:id="737"/>
          <w:p>
            <w:pPr>
              <w:pStyle w:val="0"/>
              <w:ind w:firstLine="283"/>
              <w:jc w:val="both"/>
            </w:pPr>
            <w:r>
              <w:rPr>
                <w:sz w:val="24"/>
              </w:rPr>
              <w:t xml:space="preserve">&lt;3&gt; Для защиты указанных помещений должны применяться АУП, не вызывающие повреждение или сбои в работе защищаемого оборудования при ложном срабатывании.</w:t>
            </w:r>
          </w:p>
        </w:tc>
      </w:tr>
      <w:tr>
        <w:tblPrEx>
          <w:tblBorders>
            <w:insideH w:val="nil"/>
          </w:tblBorders>
        </w:tblPrEx>
        <w:tc>
          <w:tcPr>
            <w:gridSpan w:val="3"/>
            <w:tcW w:w="9059" w:type="dxa"/>
            <w:tcBorders>
              <w:top w:val="nil"/>
              <w:bottom w:val="nil"/>
            </w:tcBorders>
          </w:tcPr>
          <w:bookmarkStart w:id="738" w:name="P738"/>
          <w:bookmarkEnd w:id="738"/>
          <w:p>
            <w:pPr>
              <w:pStyle w:val="0"/>
              <w:ind w:firstLine="283"/>
              <w:jc w:val="both"/>
            </w:pPr>
            <w:r>
              <w:rPr>
                <w:sz w:val="24"/>
              </w:rPr>
              <w:t xml:space="preserve">&lt;4&gt; При размещении автомобилей в выставочных и торговых залах помещения данных выставочных и торговых залов оборудуются АУП в соответствии с </w:t>
            </w:r>
            <w:hyperlink w:history="0" w:anchor="P610" w:tooltip="31 Выставочные залы &lt;5&gt;">
              <w:r>
                <w:rPr>
                  <w:sz w:val="24"/>
                  <w:color w:val="0000ff"/>
                </w:rPr>
                <w:t xml:space="preserve">пунктами 31</w:t>
              </w:r>
            </w:hyperlink>
            <w:r>
              <w:rPr>
                <w:sz w:val="24"/>
              </w:rPr>
              <w:t xml:space="preserve"> и </w:t>
            </w:r>
            <w:hyperlink w:history="0" w:anchor="P674" w:tooltip="39 Помещения предприятий торговли, встроенные и встроенно-пристроенные в здания другого назначения: &lt;9&gt;">
              <w:r>
                <w:rPr>
                  <w:sz w:val="24"/>
                  <w:color w:val="0000ff"/>
                </w:rPr>
                <w:t xml:space="preserve">39</w:t>
              </w:r>
            </w:hyperlink>
            <w:r>
              <w:rPr>
                <w:sz w:val="24"/>
              </w:rPr>
              <w:t xml:space="preserve"> настоящей таблицы соответственно.</w:t>
            </w:r>
          </w:p>
        </w:tc>
      </w:tr>
      <w:tr>
        <w:tblPrEx>
          <w:tblBorders>
            <w:insideH w:val="nil"/>
          </w:tblBorders>
        </w:tblPrEx>
        <w:tc>
          <w:tcPr>
            <w:gridSpan w:val="3"/>
            <w:tcW w:w="9059" w:type="dxa"/>
            <w:tcBorders>
              <w:top w:val="nil"/>
              <w:bottom w:val="nil"/>
            </w:tcBorders>
          </w:tcPr>
          <w:bookmarkStart w:id="739" w:name="P739"/>
          <w:bookmarkEnd w:id="739"/>
          <w:p>
            <w:pPr>
              <w:pStyle w:val="0"/>
              <w:ind w:firstLine="283"/>
              <w:jc w:val="both"/>
            </w:pPr>
            <w:r>
              <w:rPr>
                <w:sz w:val="24"/>
              </w:rPr>
              <w:t xml:space="preserve">&lt;5&gt;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w:t>
            </w:r>
          </w:p>
          <w:p>
            <w:pPr>
              <w:pStyle w:val="0"/>
              <w:ind w:firstLine="283"/>
              <w:jc w:val="both"/>
            </w:pPr>
            <w:r>
              <w:rPr>
                <w:sz w:val="24"/>
              </w:rPr>
              <w:t xml:space="preserve">На объектах культурного наследия (памятники истории и культуры) народов Российской Федерации допускается не применять АУП для помещения в целом, при условии, что помещение защищается автоматическими установками локального пожаротушения или автономными установками пожаротушения.</w:t>
            </w:r>
          </w:p>
        </w:tc>
      </w:tr>
      <w:tr>
        <w:tblPrEx>
          <w:tblBorders>
            <w:insideH w:val="nil"/>
          </w:tblBorders>
        </w:tblPrEx>
        <w:tc>
          <w:tcPr>
            <w:gridSpan w:val="3"/>
            <w:tcW w:w="9059" w:type="dxa"/>
            <w:tcBorders>
              <w:top w:val="nil"/>
              <w:bottom w:val="nil"/>
            </w:tcBorders>
          </w:tcPr>
          <w:bookmarkStart w:id="741" w:name="P741"/>
          <w:bookmarkEnd w:id="741"/>
          <w:p>
            <w:pPr>
              <w:pStyle w:val="0"/>
              <w:ind w:firstLine="283"/>
              <w:jc w:val="both"/>
            </w:pPr>
            <w:r>
              <w:rPr>
                <w:sz w:val="24"/>
              </w:rPr>
              <w:t xml:space="preserve">&lt;6&gt;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w:t>
            </w:r>
          </w:p>
        </w:tc>
      </w:tr>
      <w:tr>
        <w:tblPrEx>
          <w:tblBorders>
            <w:insideH w:val="nil"/>
          </w:tblBorders>
        </w:tblPrEx>
        <w:tc>
          <w:tcPr>
            <w:gridSpan w:val="3"/>
            <w:tcW w:w="9059" w:type="dxa"/>
            <w:tcBorders>
              <w:top w:val="nil"/>
              <w:bottom w:val="nil"/>
            </w:tcBorders>
          </w:tcPr>
          <w:bookmarkStart w:id="742" w:name="P742"/>
          <w:bookmarkEnd w:id="742"/>
          <w:p>
            <w:pPr>
              <w:pStyle w:val="0"/>
              <w:ind w:firstLine="283"/>
              <w:jc w:val="both"/>
            </w:pPr>
            <w:r>
              <w:rPr>
                <w:sz w:val="24"/>
              </w:rPr>
              <w:t xml:space="preserve">&lt;7&gt;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w:t>
            </w:r>
          </w:p>
        </w:tc>
      </w:tr>
      <w:tr>
        <w:tblPrEx>
          <w:tblBorders>
            <w:insideH w:val="nil"/>
          </w:tblBorders>
        </w:tblPrEx>
        <w:tc>
          <w:tcPr>
            <w:gridSpan w:val="3"/>
            <w:tcW w:w="9059" w:type="dxa"/>
            <w:tcBorders>
              <w:top w:val="nil"/>
              <w:bottom w:val="nil"/>
            </w:tcBorders>
          </w:tcPr>
          <w:bookmarkStart w:id="743" w:name="P743"/>
          <w:bookmarkEnd w:id="743"/>
          <w:p>
            <w:pPr>
              <w:pStyle w:val="0"/>
              <w:ind w:firstLine="283"/>
              <w:jc w:val="both"/>
            </w:pPr>
            <w:r>
              <w:rPr>
                <w:sz w:val="24"/>
              </w:rPr>
              <w:t xml:space="preserve">&lt;8&gt; В многоквартирных жилых зданиях с мусоропроводом мусоросборная камера должна быть защищена по всей площади спринклерными оросителями. Участок распределительного трубопровода оросителей должен быть кольцевым, подключенным к сети хозяйственно-питьевого водопровода многоквартирного здания и оснащенным теплоизоляцией из негорючих материалов.</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hyperlink w:history="0" r:id="rId113"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45" w:name="P745"/>
          <w:bookmarkEnd w:id="745"/>
          <w:p>
            <w:pPr>
              <w:pStyle w:val="0"/>
              <w:ind w:firstLine="283"/>
              <w:jc w:val="both"/>
            </w:pPr>
            <w:r>
              <w:rPr>
                <w:sz w:val="24"/>
              </w:rPr>
              <w:t xml:space="preserve">&lt;9&gt;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w:t>
            </w:r>
          </w:p>
          <w:p>
            <w:pPr>
              <w:pStyle w:val="0"/>
              <w:ind w:firstLine="283"/>
              <w:jc w:val="both"/>
            </w:pPr>
            <w:r>
              <w:rPr>
                <w:sz w:val="24"/>
              </w:rPr>
              <w:t xml:space="preserve">В зданиях I и II степеней огнестойкости класса конструктивной пожарной опасности C0, расположенных в крупных и крупнейших городах, для надземных этажей в указанных выше противопожарных преградах допускается наличие проемов с заполнением противопожарными дверями не ниже 2-го типа.</w:t>
            </w:r>
          </w:p>
        </w:tc>
      </w:tr>
      <w:tr>
        <w:tblPrEx>
          <w:tblBorders>
            <w:insideH w:val="nil"/>
          </w:tblBorders>
        </w:tblPrEx>
        <w:tc>
          <w:tcPr>
            <w:gridSpan w:val="3"/>
            <w:tcW w:w="9059" w:type="dxa"/>
            <w:tcBorders>
              <w:top w:val="nil"/>
              <w:bottom w:val="nil"/>
            </w:tcBorders>
          </w:tcPr>
          <w:p>
            <w:pPr>
              <w:pStyle w:val="0"/>
              <w:jc w:val="both"/>
            </w:pPr>
            <w:r>
              <w:rPr>
                <w:sz w:val="24"/>
              </w:rPr>
              <w:t xml:space="preserve">(введено </w:t>
            </w:r>
            <w:hyperlink w:history="0" r:id="rId11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48" w:name="P748"/>
          <w:bookmarkEnd w:id="748"/>
          <w:p>
            <w:pPr>
              <w:pStyle w:val="0"/>
              <w:ind w:firstLine="283"/>
              <w:jc w:val="both"/>
            </w:pPr>
            <w:r>
              <w:rPr>
                <w:sz w:val="24"/>
              </w:rPr>
              <w:t xml:space="preserve">&lt;10&gt; Во встроенных в здания иного назначения банях и саунах помещение парильной следует оборудовать дренчерным устройством (из перфорированных сухотрубов) или дренчерными оросителями, подключенными к сети хозяйственно-питьевого водопровода, с ручным управлением перед входом в парильную (кроме парильных типа "хамам" и инфракрасных кабин, а также индивидуальных саун в квартирах).</w:t>
            </w:r>
          </w:p>
        </w:tc>
      </w:tr>
      <w:tr>
        <w:tblPrEx>
          <w:tblBorders>
            <w:insideH w:val="nil"/>
          </w:tblBorders>
        </w:tblPrEx>
        <w:tc>
          <w:tcPr>
            <w:gridSpan w:val="3"/>
            <w:tcW w:w="9059" w:type="dxa"/>
            <w:tcBorders>
              <w:top w:val="nil"/>
            </w:tcBorders>
          </w:tcPr>
          <w:p>
            <w:pPr>
              <w:pStyle w:val="0"/>
              <w:jc w:val="both"/>
            </w:pPr>
            <w:r>
              <w:rPr>
                <w:sz w:val="24"/>
              </w:rPr>
              <w:t xml:space="preserve">(введено </w:t>
            </w:r>
            <w:hyperlink w:history="0" r:id="rId115"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bl>
    <w:p>
      <w:pPr>
        <w:pStyle w:val="0"/>
        <w:jc w:val="both"/>
      </w:pPr>
      <w:r>
        <w:rPr>
          <w:sz w:val="24"/>
        </w:rPr>
      </w:r>
    </w:p>
    <w:bookmarkStart w:id="751" w:name="P751"/>
    <w:bookmarkEnd w:id="751"/>
    <w:p>
      <w:pPr>
        <w:pStyle w:val="0"/>
        <w:jc w:val="both"/>
      </w:pPr>
      <w:r>
        <w:rPr>
          <w:sz w:val="24"/>
        </w:rPr>
        <w:t xml:space="preserve">Таблица 4 - Оборудование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tcW w:w="4589" w:type="dxa"/>
          </w:tcPr>
          <w:p>
            <w:pPr>
              <w:pStyle w:val="0"/>
              <w:jc w:val="both"/>
            </w:pPr>
            <w:r>
              <w:rPr>
                <w:sz w:val="24"/>
              </w:rPr>
              <w:t xml:space="preserve">1 Окрасочные камеры с применением ЛВЖ и ГЖ</w:t>
            </w:r>
          </w:p>
        </w:tc>
        <w:tc>
          <w:tcPr>
            <w:tcW w:w="2429" w:type="dxa"/>
            <w:vAlign w:val="center"/>
          </w:tcPr>
          <w:p>
            <w:pPr>
              <w:pStyle w:val="0"/>
              <w:jc w:val="center"/>
            </w:pPr>
            <w:r>
              <w:rPr>
                <w:sz w:val="24"/>
              </w:rPr>
              <w:t xml:space="preserve">Независимо от типа</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 Сушильные камеры (кроме камер с влажностью внутреннего воздуха свыше 60% при температуре свыше 24 °C)</w:t>
            </w:r>
          </w:p>
        </w:tc>
        <w:tc>
          <w:tcPr>
            <w:tcW w:w="2429" w:type="dxa"/>
            <w:vAlign w:val="center"/>
          </w:tcPr>
          <w:p>
            <w:pPr>
              <w:pStyle w:val="0"/>
              <w:jc w:val="center"/>
            </w:pPr>
            <w:r>
              <w:rPr>
                <w:sz w:val="24"/>
              </w:rPr>
              <w:t xml:space="preserve">Независимо от типа</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3 Циклоны (бункеры) для сбора горючих отходов </w:t>
            </w:r>
            <w:hyperlink w:history="0" w:anchor="P820" w:tooltip="&lt;1&gt; Допускается вместо АУП применение УПА.">
              <w:r>
                <w:rPr>
                  <w:sz w:val="24"/>
                  <w:color w:val="0000ff"/>
                </w:rPr>
                <w:t xml:space="preserve">&lt;1&gt;</w:t>
              </w:r>
            </w:hyperlink>
            <w:r>
              <w:rPr>
                <w:sz w:val="24"/>
              </w:rPr>
              <w:t xml:space="preserve"> (расположенные в зданиях)</w:t>
            </w:r>
          </w:p>
        </w:tc>
        <w:tc>
          <w:tcPr>
            <w:tcW w:w="2429" w:type="dxa"/>
            <w:vAlign w:val="center"/>
            <w:tcBorders>
              <w:bottom w:val="nil"/>
            </w:tcBorders>
          </w:tcPr>
          <w:p>
            <w:pPr>
              <w:pStyle w:val="0"/>
              <w:jc w:val="center"/>
            </w:pPr>
            <w:r>
              <w:rPr>
                <w:sz w:val="24"/>
              </w:rPr>
              <w:t xml:space="preserve">Независимо от типа</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1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4 Масляные силовые трансформаторы и реакторы</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 Напряжением 500 кВ и выше</w:t>
            </w:r>
          </w:p>
        </w:tc>
        <w:tc>
          <w:tcPr>
            <w:tcW w:w="2429" w:type="dxa"/>
            <w:vAlign w:val="center"/>
          </w:tcPr>
          <w:p>
            <w:pPr>
              <w:pStyle w:val="0"/>
              <w:jc w:val="center"/>
            </w:pPr>
            <w:r>
              <w:rPr>
                <w:sz w:val="24"/>
              </w:rPr>
              <w:t xml:space="preserve">Независимо от мощности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Напряжением 220 - 330 кВ и выше, мощностью</w:t>
            </w:r>
          </w:p>
        </w:tc>
        <w:tc>
          <w:tcPr>
            <w:tcW w:w="2429" w:type="dxa"/>
            <w:vAlign w:val="center"/>
          </w:tcPr>
          <w:p>
            <w:pPr>
              <w:pStyle w:val="0"/>
              <w:jc w:val="center"/>
            </w:pPr>
            <w:r>
              <w:rPr>
                <w:sz w:val="24"/>
              </w:rPr>
              <w:t xml:space="preserve">200 МВА и выше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4.3 Напряжением 110 кВ и выше, установленные у здания гидроэлектростанций, с единичной мощностью</w:t>
            </w:r>
          </w:p>
        </w:tc>
        <w:tc>
          <w:tcPr>
            <w:tcW w:w="2429" w:type="dxa"/>
            <w:vAlign w:val="center"/>
          </w:tcPr>
          <w:p>
            <w:pPr>
              <w:pStyle w:val="0"/>
              <w:jc w:val="center"/>
            </w:pPr>
            <w:r>
              <w:rPr>
                <w:sz w:val="24"/>
              </w:rPr>
              <w:t xml:space="preserve">63 МВА и выше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4.4 Напряжением 110 кВ и выше, установленные в камерах закрытых подстанций глубокого ввода и в закрытых распределительных установках электростанций и подстанций, мощностью</w:t>
            </w:r>
          </w:p>
        </w:tc>
        <w:tc>
          <w:tcPr>
            <w:tcW w:w="2429" w:type="dxa"/>
            <w:vAlign w:val="center"/>
          </w:tcPr>
          <w:p>
            <w:pPr>
              <w:pStyle w:val="0"/>
              <w:jc w:val="center"/>
            </w:pPr>
            <w:r>
              <w:rPr>
                <w:sz w:val="24"/>
              </w:rPr>
              <w:t xml:space="preserve">63 МВА и выше</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5. Испытательные станции передвижных электростанций и агрегатов с дизель- и бензоэлектрическими агрегатами, смонтированными на автомашинах и прицепах </w:t>
            </w:r>
            <w:hyperlink w:history="0" w:anchor="P820" w:tooltip="&lt;1&gt; Допускается вместо АУП применение УПА.">
              <w:r>
                <w:rPr>
                  <w:sz w:val="24"/>
                  <w:color w:val="0000ff"/>
                </w:rPr>
                <w:t xml:space="preserve">&lt;1&gt;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5 в ред. </w:t>
            </w:r>
            <w:hyperlink w:history="0" r:id="rId11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6 Стеллажи высотой более 5,5 м для хранения горючих материалов и негорючих материалов в горючей упаковке в зданиях любого назначения (за исключением стеллажей в зданиях и сооружениях по переработке и хранению зерна, овощей и фруктов, в животноводческих, птицеводческих и звероводческих зданиях, в помещениях охлаждаемых (холодильных) камер)</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1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c>
          <w:tcPr>
            <w:tcW w:w="4589" w:type="dxa"/>
          </w:tcPr>
          <w:p>
            <w:pPr>
              <w:pStyle w:val="0"/>
              <w:jc w:val="both"/>
            </w:pPr>
            <w:r>
              <w:rPr>
                <w:sz w:val="24"/>
              </w:rPr>
              <w:t xml:space="preserve">7 Масляные емкости для закаливания</w:t>
            </w:r>
          </w:p>
        </w:tc>
        <w:tc>
          <w:tcPr>
            <w:tcW w:w="2429" w:type="dxa"/>
            <w:vAlign w:val="center"/>
          </w:tcPr>
          <w:p>
            <w:pPr>
              <w:pStyle w:val="0"/>
              <w:jc w:val="center"/>
            </w:pPr>
            <w:r>
              <w:rPr>
                <w:sz w:val="24"/>
              </w:rPr>
              <w:t xml:space="preserve">3 м</w:t>
            </w:r>
            <w:r>
              <w:rPr>
                <w:sz w:val="24"/>
                <w:vertAlign w:val="superscript"/>
              </w:rPr>
              <w:t xml:space="preserve">3</w:t>
            </w:r>
            <w:r>
              <w:rPr>
                <w:sz w:val="24"/>
              </w:rPr>
              <w:t xml:space="preserve"> и более</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8 Охлаждаемые (холодильные) камеры заводского изготовления с возможностью пребывания в них людей, размещаемые в помещениях</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При площади 10 м</w:t>
            </w:r>
            <w:r>
              <w:rPr>
                <w:sz w:val="24"/>
                <w:vertAlign w:val="superscript"/>
              </w:rPr>
              <w:t xml:space="preserve">2</w:t>
            </w:r>
            <w:r>
              <w:rPr>
                <w:sz w:val="24"/>
              </w:rPr>
              <w:t xml:space="preserve"> и более</w:t>
            </w:r>
          </w:p>
        </w:tc>
      </w:tr>
      <w:tr>
        <w:tblPrEx>
          <w:tblBorders>
            <w:insideH w:val="nil"/>
          </w:tblBorders>
        </w:tblPrEx>
        <w:tc>
          <w:tcPr>
            <w:gridSpan w:val="3"/>
            <w:tcW w:w="9059" w:type="dxa"/>
            <w:tcBorders>
              <w:top w:val="nil"/>
            </w:tcBorders>
          </w:tcPr>
          <w:p>
            <w:pPr>
              <w:pStyle w:val="0"/>
              <w:jc w:val="both"/>
            </w:pPr>
            <w:r>
              <w:rPr>
                <w:sz w:val="24"/>
              </w:rPr>
              <w:t xml:space="preserve">(в ред. </w:t>
            </w:r>
            <w:hyperlink w:history="0" r:id="rId119"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9. Электрощиты и электрошкафы (в том числе распределительных устройств), расположенные:</w:t>
            </w:r>
          </w:p>
        </w:tc>
        <w:tc>
          <w:tcPr>
            <w:tcW w:w="2429" w:type="dxa"/>
            <w:vAlign w:val="center"/>
            <w:tcBorders>
              <w:bottom w:val="nil"/>
            </w:tcBorders>
          </w:tcPr>
          <w:p>
            <w:pPr>
              <w:pStyle w:val="0"/>
            </w:pPr>
            <w:r>
              <w:rPr>
                <w:sz w:val="24"/>
              </w:rPr>
            </w:r>
          </w:p>
        </w:tc>
        <w:tc>
          <w:tcPr>
            <w:tcW w:w="2041" w:type="dxa"/>
            <w:vAlign w:val="center"/>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9 введен </w:t>
            </w:r>
            <w:hyperlink w:history="0" r:id="rId120"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9.1. В зданиях классов функциональной пожарной опасности Ф1.1, Ф1.2, Ф1.3 (в помещениях общего пользования: коридоры, холлы, вестибюли, лестничные клетки), Ф2.1, Ф2.2, Ф3.1, Ф3.2, Ф3.3, Ф3.4, Ф3.5, Ф3.6, Ф3.7, Ф4.1, Ф4.2, Ф4.3</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9.1 введен </w:t>
            </w:r>
            <w:hyperlink w:history="0" r:id="rId121"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vAlign w:val="bottom"/>
            <w:tcBorders>
              <w:bottom w:val="nil"/>
            </w:tcBorders>
          </w:tcPr>
          <w:p>
            <w:pPr>
              <w:pStyle w:val="0"/>
              <w:jc w:val="both"/>
            </w:pPr>
            <w:r>
              <w:rPr>
                <w:sz w:val="24"/>
              </w:rPr>
              <w:t xml:space="preserve">9.2. В зданиях классов функциональной пожарной опасности Ф5.1, Ф5.2, Ф5.3 площадью более 100 м</w:t>
            </w:r>
            <w:r>
              <w:rPr>
                <w:sz w:val="24"/>
                <w:vertAlign w:val="superscript"/>
              </w:rPr>
              <w:t xml:space="preserve">2</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9.2 введен </w:t>
            </w:r>
            <w:hyperlink w:history="0" r:id="rId122"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Нумерации пунктов приведена в соответствии с </w:t>
                  </w:r>
                  <w:hyperlink w:history="0" r:id="rId123"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изменением</w:t>
                    </w:r>
                  </w:hyperlink>
                  <w:r>
                    <w:rPr>
                      <w:sz w:val="24"/>
                      <w:color w:val="392c69"/>
                    </w:rPr>
                    <w:t xml:space="preserve"> N 1.</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89" w:type="dxa"/>
            <w:tcBorders>
              <w:top w:val="nil"/>
              <w:bottom w:val="nil"/>
            </w:tcBorders>
          </w:tcPr>
          <w:p>
            <w:pPr>
              <w:pStyle w:val="0"/>
              <w:jc w:val="both"/>
            </w:pPr>
            <w:r>
              <w:rPr>
                <w:sz w:val="24"/>
              </w:rPr>
              <w:t xml:space="preserve">9.2. На объектах культурного наследия (памятники истории и культуры) народов Российской Федерации</w:t>
            </w:r>
          </w:p>
        </w:tc>
        <w:tc>
          <w:tcPr>
            <w:tcW w:w="2429" w:type="dxa"/>
            <w:vAlign w:val="center"/>
            <w:tcBorders>
              <w:top w:val="nil"/>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top w:val="nil"/>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9.2 введен </w:t>
            </w:r>
            <w:hyperlink w:history="0" r:id="rId124"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tcW w:w="4589" w:type="dxa"/>
            <w:vAlign w:val="bottom"/>
            <w:tcBorders>
              <w:bottom w:val="nil"/>
            </w:tcBorders>
          </w:tcPr>
          <w:p>
            <w:pPr>
              <w:pStyle w:val="0"/>
              <w:jc w:val="both"/>
            </w:pPr>
            <w:r>
              <w:rPr>
                <w:sz w:val="24"/>
              </w:rPr>
              <w:t xml:space="preserve">9.3. Во временных зданиях и сооружениях, предназначенных для проведения мероприятий с массовым пребыванием людей</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9.3 введен </w:t>
            </w:r>
            <w:hyperlink w:history="0" r:id="rId125"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820" w:name="P820"/>
          <w:bookmarkEnd w:id="820"/>
          <w:p>
            <w:pPr>
              <w:pStyle w:val="0"/>
              <w:ind w:firstLine="283"/>
              <w:jc w:val="both"/>
            </w:pPr>
            <w:r>
              <w:rPr>
                <w:sz w:val="24"/>
              </w:rPr>
              <w:t xml:space="preserve">&lt;1&gt; Допускается вместо АУП применение УПА.</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hyperlink w:history="0" r:id="rId126"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822" w:name="P822"/>
          <w:bookmarkEnd w:id="822"/>
          <w:p>
            <w:pPr>
              <w:pStyle w:val="0"/>
              <w:ind w:firstLine="283"/>
              <w:jc w:val="both"/>
            </w:pPr>
            <w:r>
              <w:rPr>
                <w:sz w:val="24"/>
              </w:rPr>
              <w:t xml:space="preserve">&lt;2&gt;.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w:t>
            </w:r>
          </w:p>
        </w:tc>
      </w:tr>
      <w:tr>
        <w:tblPrEx>
          <w:tblBorders>
            <w:insideH w:val="nil"/>
          </w:tblBorders>
        </w:tblPrEx>
        <w:tc>
          <w:tcPr>
            <w:gridSpan w:val="3"/>
            <w:tcW w:w="9059" w:type="dxa"/>
            <w:tcBorders>
              <w:top w:val="nil"/>
            </w:tcBorders>
          </w:tcPr>
          <w:p>
            <w:pPr>
              <w:pStyle w:val="0"/>
              <w:jc w:val="both"/>
            </w:pPr>
            <w:r>
              <w:rPr>
                <w:sz w:val="24"/>
              </w:rPr>
              <w:t xml:space="preserve">(введено </w:t>
            </w:r>
            <w:hyperlink w:history="0" r:id="rId127"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Приказом</w:t>
              </w:r>
            </w:hyperlink>
            <w:r>
              <w:rPr>
                <w:sz w:val="24"/>
              </w:rPr>
              <w:t xml:space="preserve"> МЧС России от 16.05.2025 N 417)</w:t>
            </w:r>
          </w:p>
        </w:tc>
      </w:tr>
    </w:tbl>
    <w:p>
      <w:pPr>
        <w:pStyle w:val="0"/>
        <w:jc w:val="both"/>
      </w:pPr>
      <w:r>
        <w:rPr>
          <w:sz w:val="24"/>
        </w:rPr>
      </w:r>
    </w:p>
    <w:p>
      <w:pPr>
        <w:pStyle w:val="2"/>
        <w:outlineLvl w:val="1"/>
        <w:jc w:val="center"/>
      </w:pPr>
      <w:r>
        <w:rPr>
          <w:sz w:val="24"/>
        </w:rPr>
        <w:t xml:space="preserve">Библиография</w:t>
      </w:r>
    </w:p>
    <w:p>
      <w:pPr>
        <w:pStyle w:val="0"/>
        <w:jc w:val="center"/>
      </w:pPr>
      <w:r>
        <w:rPr>
          <w:sz w:val="24"/>
        </w:rPr>
      </w:r>
    </w:p>
    <w:p>
      <w:pPr>
        <w:pStyle w:val="0"/>
        <w:jc w:val="center"/>
      </w:pPr>
      <w:r>
        <w:rPr>
          <w:sz w:val="24"/>
        </w:rPr>
        <w:t xml:space="preserve">(в ред. </w:t>
      </w:r>
      <w:hyperlink w:history="0" r:id="rId128" w:tooltip="Приказ МЧС России от 16.05.2025 N 417 &quot;Об утверждении изменения N 1 к своду правил СП 486.1311500.2020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КонсультантПлюс}">
        <w:r>
          <w:rPr>
            <w:sz w:val="24"/>
            <w:color w:val="0000ff"/>
          </w:rPr>
          <w:t xml:space="preserve">Приказа</w:t>
        </w:r>
      </w:hyperlink>
      <w:r>
        <w:rPr>
          <w:sz w:val="24"/>
        </w:rPr>
        <w:t xml:space="preserve"> МЧС России от 16.05.2025 N 417)</w:t>
      </w:r>
    </w:p>
    <w:p>
      <w:pPr>
        <w:pStyle w:val="0"/>
        <w:jc w:val="both"/>
      </w:pPr>
      <w:r>
        <w:rPr>
          <w:sz w:val="24"/>
        </w:rPr>
      </w:r>
    </w:p>
    <w:bookmarkStart w:id="829" w:name="P829"/>
    <w:bookmarkEnd w:id="829"/>
    <w:p>
      <w:pPr>
        <w:pStyle w:val="0"/>
        <w:ind w:firstLine="540"/>
        <w:jc w:val="both"/>
      </w:pPr>
      <w:r>
        <w:rPr>
          <w:sz w:val="24"/>
        </w:rPr>
        <w:t xml:space="preserve">[1] Федеральный </w:t>
      </w:r>
      <w:hyperlink w:history="0" r:id="rId12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22.07.2008 N 123-ФЗ "Технический регламент о требованиях пожарной безопасности";</w:t>
      </w:r>
    </w:p>
    <w:bookmarkStart w:id="830" w:name="P830"/>
    <w:bookmarkEnd w:id="830"/>
    <w:p>
      <w:pPr>
        <w:pStyle w:val="0"/>
        <w:spacing w:before="240" w:lineRule="auto"/>
        <w:ind w:firstLine="540"/>
        <w:jc w:val="both"/>
      </w:pPr>
      <w:r>
        <w:rPr>
          <w:sz w:val="24"/>
        </w:rPr>
        <w:t xml:space="preserve">[2] </w:t>
      </w:r>
      <w:hyperlink w:history="0" r:id="rId130" w:tooltip="Приказ МЧС России от 26.06.2024 N 533 &quot;Об утверждении методики определения расчетных величин пожарного риска на производственных объектах&quot; (Зарегистрировано в Минюсте России 02.09.2024 N 79360) {КонсультантПлюс}">
        <w:r>
          <w:rPr>
            <w:sz w:val="24"/>
            <w:color w:val="0000ff"/>
          </w:rPr>
          <w:t xml:space="preserve">Методика</w:t>
        </w:r>
      </w:hyperlink>
      <w:r>
        <w:rPr>
          <w:sz w:val="24"/>
        </w:rPr>
        <w:t xml:space="preserve"> определения расчетных величин пожарного риска на производственных объектах, утвержденная приказом МЧС России от 26.06.2024 N 533;</w:t>
      </w:r>
    </w:p>
    <w:bookmarkStart w:id="831" w:name="P831"/>
    <w:bookmarkEnd w:id="831"/>
    <w:p>
      <w:pPr>
        <w:pStyle w:val="0"/>
        <w:spacing w:before="240" w:lineRule="auto"/>
        <w:ind w:firstLine="540"/>
        <w:jc w:val="both"/>
      </w:pPr>
      <w:r>
        <w:rPr>
          <w:sz w:val="24"/>
        </w:rPr>
        <w:t xml:space="preserve">[3] </w:t>
      </w:r>
      <w:hyperlink w:history="0" r:id="rId131"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14.11.2022 N 1140.</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905"/>
        <w:gridCol w:w="4109"/>
      </w:tblGrid>
      <w:tr>
        <w:tc>
          <w:tcPr>
            <w:tcW w:w="4905" w:type="dxa"/>
            <w:vAlign w:val="bottom"/>
            <w:tcBorders>
              <w:top w:val="single" w:sz="4"/>
              <w:left w:val="nil"/>
              <w:bottom w:val="nil"/>
              <w:right w:val="nil"/>
            </w:tcBorders>
          </w:tcPr>
          <w:p>
            <w:pPr>
              <w:pStyle w:val="0"/>
            </w:pPr>
            <w:hyperlink w:history="0" r:id="rId132" w:tooltip="&quot;ГОСТ Р 7.0.90-2016. Национальный стандарт Российской Федерации. Система стандартов по информации, библиотечному и издательскому делу. Универсальная десятичная классификация. Структура, правила ведения и индексирования&quot; (утв. и введен в действие Приказом Росстандарта от 08.12.2016 N 2002-ст) {КонсультантПлюс}">
              <w:r>
                <w:rPr>
                  <w:sz w:val="24"/>
                  <w:color w:val="0000ff"/>
                </w:rPr>
                <w:t xml:space="preserve">УДК</w:t>
              </w:r>
            </w:hyperlink>
            <w:r>
              <w:rPr>
                <w:sz w:val="24"/>
              </w:rPr>
              <w:t xml:space="preserve"> 614.841.45:629.114.6:006.354</w:t>
            </w:r>
          </w:p>
        </w:tc>
        <w:tc>
          <w:tcPr>
            <w:tcW w:w="4109" w:type="dxa"/>
            <w:tcBorders>
              <w:top w:val="single" w:sz="4"/>
              <w:left w:val="nil"/>
              <w:bottom w:val="nil"/>
              <w:right w:val="nil"/>
            </w:tcBorders>
          </w:tcPr>
          <w:p>
            <w:pPr>
              <w:pStyle w:val="0"/>
              <w:jc w:val="right"/>
            </w:pPr>
            <w:r>
              <w:rPr>
                <w:sz w:val="24"/>
              </w:rPr>
              <w:t xml:space="preserve">ОКС </w:t>
            </w:r>
            <w:hyperlink w:history="0" r:id="rId133"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13.220.01</w:t>
              </w:r>
            </w:hyperlink>
          </w:p>
        </w:tc>
      </w:tr>
      <w:tr>
        <w:tc>
          <w:tcPr>
            <w:gridSpan w:val="2"/>
            <w:tcW w:w="9014" w:type="dxa"/>
            <w:vAlign w:val="bottom"/>
            <w:tcBorders>
              <w:top w:val="nil"/>
              <w:left w:val="nil"/>
              <w:bottom w:val="single" w:sz="4"/>
              <w:right w:val="nil"/>
            </w:tcBorders>
          </w:tcPr>
          <w:p>
            <w:pPr>
              <w:pStyle w:val="0"/>
              <w:jc w:val="both"/>
            </w:pPr>
            <w:r>
              <w:rPr>
                <w:sz w:val="24"/>
              </w:rPr>
              <w:t xml:space="preserve">Ключевые слова: автоматическая установка пожаротушения, система пожарной сигнализации, объекты защиты</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20.07.2020 N 539</w:t>
            <w:br/>
            <w:t>(ред. от 16.05.2025)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7782&amp;date=03.04.2026&amp;dst=100005&amp;field=134" TargetMode = "External"/><Relationship Id="rId9" Type="http://schemas.openxmlformats.org/officeDocument/2006/relationships/hyperlink" Target="https://login.consultant.ru/link/?req=doc&amp;base=LAW&amp;n=511695&amp;date=03.04.2026&amp;dst=100793&amp;field=134" TargetMode = "External"/><Relationship Id="rId10" Type="http://schemas.openxmlformats.org/officeDocument/2006/relationships/hyperlink" Target="https://login.consultant.ru/link/?req=doc&amp;base=LAW&amp;n=528553&amp;date=03.04.2026&amp;dst=100156&amp;field=134" TargetMode = "External"/><Relationship Id="rId11" Type="http://schemas.openxmlformats.org/officeDocument/2006/relationships/hyperlink" Target="https://login.consultant.ru/link/?req=doc&amp;base=LAW&amp;n=501774&amp;date=03.04.2026&amp;dst=100010&amp;field=134" TargetMode = "External"/><Relationship Id="rId12" Type="http://schemas.openxmlformats.org/officeDocument/2006/relationships/hyperlink" Target="https://login.consultant.ru/link/?req=doc&amp;base=LAW&amp;n=507782&amp;date=03.04.2026&amp;dst=100005&amp;field=134" TargetMode = "External"/><Relationship Id="rId13" Type="http://schemas.openxmlformats.org/officeDocument/2006/relationships/hyperlink" Target="https://login.consultant.ru/link/?req=doc&amp;base=LAW&amp;n=372899&amp;date=03.04.2026" TargetMode = "External"/><Relationship Id="rId14" Type="http://schemas.openxmlformats.org/officeDocument/2006/relationships/hyperlink" Target="https://login.consultant.ru/link/?req=doc&amp;base=LAW&amp;n=501774&amp;date=03.04.2026" TargetMode = "External"/><Relationship Id="rId15" Type="http://schemas.openxmlformats.org/officeDocument/2006/relationships/hyperlink" Target="https://login.consultant.ru/link/?req=doc&amp;base=LAW&amp;n=511695&amp;date=03.04.2026" TargetMode = "External"/><Relationship Id="rId16" Type="http://schemas.openxmlformats.org/officeDocument/2006/relationships/hyperlink" Target="www.gost.ru" TargetMode = "External"/><Relationship Id="rId17" Type="http://schemas.openxmlformats.org/officeDocument/2006/relationships/hyperlink" Target="https://login.consultant.ru/link/?req=doc&amp;base=LAW&amp;n=502595&amp;date=03.04.2026&amp;dst=100012&amp;field=134" TargetMode = "External"/><Relationship Id="rId18" Type="http://schemas.openxmlformats.org/officeDocument/2006/relationships/hyperlink" Target="https://login.consultant.ru/link/?req=doc&amp;base=LAW&amp;n=524773&amp;date=03.04.2026&amp;dst=100014&amp;field=134" TargetMode = "External"/><Relationship Id="rId19" Type="http://schemas.openxmlformats.org/officeDocument/2006/relationships/hyperlink" Target="https://login.consultant.ru/link/?req=doc&amp;base=LAW&amp;n=188227&amp;date=03.04.2026&amp;dst=100011&amp;field=134" TargetMode = "External"/><Relationship Id="rId20" Type="http://schemas.openxmlformats.org/officeDocument/2006/relationships/hyperlink" Target="https://login.consultant.ru/link/?req=doc&amp;base=LAW&amp;n=524773&amp;date=03.04.2026&amp;dst=100014&amp;field=134" TargetMode = "External"/><Relationship Id="rId21" Type="http://schemas.openxmlformats.org/officeDocument/2006/relationships/hyperlink" Target="https://login.consultant.ru/link/?req=doc&amp;base=LAW&amp;n=507782&amp;date=03.04.2026&amp;dst=100012&amp;field=134" TargetMode = "External"/><Relationship Id="rId22" Type="http://schemas.openxmlformats.org/officeDocument/2006/relationships/hyperlink" Target="https://login.consultant.ru/link/?req=doc&amp;base=LAW&amp;n=507782&amp;date=03.04.2026&amp;dst=100015&amp;field=134" TargetMode = "External"/><Relationship Id="rId23" Type="http://schemas.openxmlformats.org/officeDocument/2006/relationships/hyperlink" Target="https://login.consultant.ru/link/?req=doc&amp;base=LAW&amp;n=512178&amp;date=03.04.2026&amp;dst=100013&amp;field=134" TargetMode = "External"/><Relationship Id="rId24" Type="http://schemas.openxmlformats.org/officeDocument/2006/relationships/hyperlink" Target="https://login.consultant.ru/link/?req=doc&amp;base=LAW&amp;n=384323&amp;date=03.04.2026&amp;dst=100014&amp;field=134" TargetMode = "External"/><Relationship Id="rId25" Type="http://schemas.openxmlformats.org/officeDocument/2006/relationships/hyperlink" Target="https://login.consultant.ru/link/?req=doc&amp;base=LAW&amp;n=502511&amp;date=03.04.2026&amp;dst=100008&amp;field=134" TargetMode = "External"/><Relationship Id="rId26" Type="http://schemas.openxmlformats.org/officeDocument/2006/relationships/hyperlink" Target="https://login.consultant.ru/link/?req=doc&amp;base=STR&amp;n=35012&amp;date=03.04.2026" TargetMode = "External"/><Relationship Id="rId27" Type="http://schemas.openxmlformats.org/officeDocument/2006/relationships/hyperlink" Target="https://login.consultant.ru/link/?req=doc&amp;base=LAW&amp;n=217566&amp;date=03.04.2026&amp;dst=100008&amp;field=134" TargetMode = "External"/><Relationship Id="rId28" Type="http://schemas.openxmlformats.org/officeDocument/2006/relationships/hyperlink" Target="https://login.consultant.ru/link/?req=doc&amp;base=LAW&amp;n=475769&amp;date=03.04.2026&amp;dst=100012&amp;field=134" TargetMode = "External"/><Relationship Id="rId29" Type="http://schemas.openxmlformats.org/officeDocument/2006/relationships/hyperlink" Target="https://login.consultant.ru/link/?req=doc&amp;base=LAW&amp;n=529983&amp;date=03.04.2026&amp;dst=100011&amp;field=134" TargetMode = "External"/><Relationship Id="rId30" Type="http://schemas.openxmlformats.org/officeDocument/2006/relationships/hyperlink" Target="https://login.consultant.ru/link/?req=doc&amp;base=STR&amp;n=36743&amp;date=03.04.2026" TargetMode = "External"/><Relationship Id="rId31" Type="http://schemas.openxmlformats.org/officeDocument/2006/relationships/hyperlink" Target="https://login.consultant.ru/link/?req=doc&amp;base=LAW&amp;n=188227&amp;date=03.04.2026&amp;dst=100011&amp;field=134" TargetMode = "External"/><Relationship Id="rId32" Type="http://schemas.openxmlformats.org/officeDocument/2006/relationships/hyperlink" Target="https://login.consultant.ru/link/?req=doc&amp;base=LAW&amp;n=461764&amp;date=03.04.2026&amp;dst=100012&amp;field=134" TargetMode = "External"/><Relationship Id="rId33" Type="http://schemas.openxmlformats.org/officeDocument/2006/relationships/hyperlink" Target="https://login.consultant.ru/link/?req=doc&amp;base=LAW&amp;n=502595&amp;date=03.04.2026&amp;dst=100012&amp;field=134" TargetMode = "External"/><Relationship Id="rId34" Type="http://schemas.openxmlformats.org/officeDocument/2006/relationships/hyperlink" Target="https://login.consultant.ru/link/?req=doc&amp;base=LAW&amp;n=524773&amp;date=03.04.2026&amp;dst=100014&amp;field=134" TargetMode = "External"/><Relationship Id="rId35" Type="http://schemas.openxmlformats.org/officeDocument/2006/relationships/hyperlink" Target="https://login.consultant.ru/link/?req=doc&amp;base=STR&amp;n=28226&amp;date=03.04.2026" TargetMode = "External"/><Relationship Id="rId36" Type="http://schemas.openxmlformats.org/officeDocument/2006/relationships/hyperlink" Target="https://login.consultant.ru/link/?req=doc&amp;base=STR&amp;n=32297&amp;date=03.04.2026" TargetMode = "External"/><Relationship Id="rId37" Type="http://schemas.openxmlformats.org/officeDocument/2006/relationships/hyperlink" Target="https://login.consultant.ru/link/?req=doc&amp;base=LAW&amp;n=507782&amp;date=03.04.2026&amp;dst=100033&amp;field=134" TargetMode = "External"/><Relationship Id="rId38" Type="http://schemas.openxmlformats.org/officeDocument/2006/relationships/hyperlink" Target="https://login.consultant.ru/link/?req=doc&amp;base=LAW&amp;n=507782&amp;date=03.04.2026&amp;dst=100037&amp;field=134" TargetMode = "External"/><Relationship Id="rId39" Type="http://schemas.openxmlformats.org/officeDocument/2006/relationships/hyperlink" Target="https://login.consultant.ru/link/?req=doc&amp;base=LAW&amp;n=507782&amp;date=03.04.2026&amp;dst=100038&amp;field=134" TargetMode = "External"/><Relationship Id="rId40" Type="http://schemas.openxmlformats.org/officeDocument/2006/relationships/hyperlink" Target="https://login.consultant.ru/link/?req=doc&amp;base=LAW&amp;n=507782&amp;date=03.04.2026&amp;dst=100041&amp;field=134" TargetMode = "External"/><Relationship Id="rId41" Type="http://schemas.openxmlformats.org/officeDocument/2006/relationships/hyperlink" Target="https://login.consultant.ru/link/?req=doc&amp;base=LAW&amp;n=507782&amp;date=03.04.2026&amp;dst=100043&amp;field=134" TargetMode = "External"/><Relationship Id="rId42" Type="http://schemas.openxmlformats.org/officeDocument/2006/relationships/hyperlink" Target="https://login.consultant.ru/link/?req=doc&amp;base=LAW&amp;n=524773&amp;date=03.04.2026&amp;dst=100014&amp;field=134" TargetMode = "External"/><Relationship Id="rId43" Type="http://schemas.openxmlformats.org/officeDocument/2006/relationships/hyperlink" Target="https://login.consultant.ru/link/?req=doc&amp;base=LAW&amp;n=502595&amp;date=03.04.2026&amp;dst=100012&amp;field=134" TargetMode = "External"/><Relationship Id="rId44" Type="http://schemas.openxmlformats.org/officeDocument/2006/relationships/hyperlink" Target="https://login.consultant.ru/link/?req=doc&amp;base=LAW&amp;n=188227&amp;date=03.04.2026&amp;dst=100011&amp;field=134" TargetMode = "External"/><Relationship Id="rId45" Type="http://schemas.openxmlformats.org/officeDocument/2006/relationships/hyperlink" Target="https://login.consultant.ru/link/?req=doc&amp;base=LAW&amp;n=507782&amp;date=03.04.2026&amp;dst=100045&amp;field=134" TargetMode = "External"/><Relationship Id="rId46" Type="http://schemas.openxmlformats.org/officeDocument/2006/relationships/hyperlink" Target="https://login.consultant.ru/link/?req=doc&amp;base=LAW&amp;n=507782&amp;date=03.04.2026&amp;dst=100048&amp;field=134" TargetMode = "External"/><Relationship Id="rId47" Type="http://schemas.openxmlformats.org/officeDocument/2006/relationships/hyperlink" Target="https://login.consultant.ru/link/?req=doc&amp;base=LAW&amp;n=507782&amp;date=03.04.2026&amp;dst=100049&amp;field=134" TargetMode = "External"/><Relationship Id="rId48" Type="http://schemas.openxmlformats.org/officeDocument/2006/relationships/hyperlink" Target="https://login.consultant.ru/link/?req=doc&amp;base=LAW&amp;n=507782&amp;date=03.04.2026&amp;dst=100050&amp;field=134" TargetMode = "External"/><Relationship Id="rId49" Type="http://schemas.openxmlformats.org/officeDocument/2006/relationships/hyperlink" Target="https://login.consultant.ru/link/?req=doc&amp;base=LAW&amp;n=512178&amp;date=03.04.2026&amp;dst=100013&amp;field=134" TargetMode = "External"/><Relationship Id="rId50" Type="http://schemas.openxmlformats.org/officeDocument/2006/relationships/hyperlink" Target="https://login.consultant.ru/link/?req=doc&amp;base=STR&amp;n=36743&amp;date=03.04.2026" TargetMode = "External"/><Relationship Id="rId51" Type="http://schemas.openxmlformats.org/officeDocument/2006/relationships/hyperlink" Target="https://login.consultant.ru/link/?req=doc&amp;base=LAW&amp;n=507782&amp;date=03.04.2026&amp;dst=100052&amp;field=134" TargetMode = "External"/><Relationship Id="rId52" Type="http://schemas.openxmlformats.org/officeDocument/2006/relationships/hyperlink" Target="https://login.consultant.ru/link/?req=doc&amp;base=LAW&amp;n=507782&amp;date=03.04.2026&amp;dst=100054&amp;field=134" TargetMode = "External"/><Relationship Id="rId53" Type="http://schemas.openxmlformats.org/officeDocument/2006/relationships/hyperlink" Target="https://login.consultant.ru/link/?req=doc&amp;base=LAW&amp;n=507782&amp;date=03.04.2026&amp;dst=100057&amp;field=134" TargetMode = "External"/><Relationship Id="rId54" Type="http://schemas.openxmlformats.org/officeDocument/2006/relationships/hyperlink" Target="https://login.consultant.ru/link/?req=doc&amp;base=LAW&amp;n=507782&amp;date=03.04.2026&amp;dst=100059&amp;field=134" TargetMode = "External"/><Relationship Id="rId55" Type="http://schemas.openxmlformats.org/officeDocument/2006/relationships/image" Target="media/image2.wmf"/><Relationship Id="rId56" Type="http://schemas.openxmlformats.org/officeDocument/2006/relationships/hyperlink" Target="https://login.consultant.ru/link/?req=doc&amp;base=LAW&amp;n=507782&amp;date=03.04.2026&amp;dst=100061&amp;field=134" TargetMode = "External"/><Relationship Id="rId57" Type="http://schemas.openxmlformats.org/officeDocument/2006/relationships/hyperlink" Target="https://login.consultant.ru/link/?req=doc&amp;base=LAW&amp;n=507782&amp;date=03.04.2026&amp;dst=100062&amp;field=134" TargetMode = "External"/><Relationship Id="rId58" Type="http://schemas.openxmlformats.org/officeDocument/2006/relationships/hyperlink" Target="https://login.consultant.ru/link/?req=doc&amp;base=LAW&amp;n=507782&amp;date=03.04.2026&amp;dst=100063&amp;field=134" TargetMode = "External"/><Relationship Id="rId59" Type="http://schemas.openxmlformats.org/officeDocument/2006/relationships/hyperlink" Target="https://login.consultant.ru/link/?req=doc&amp;base=LAW&amp;n=507782&amp;date=03.04.2026&amp;dst=100064&amp;field=134" TargetMode = "External"/><Relationship Id="rId60" Type="http://schemas.openxmlformats.org/officeDocument/2006/relationships/hyperlink" Target="https://login.consultant.ru/link/?req=doc&amp;base=LAW&amp;n=485176&amp;date=03.04.2026&amp;dst=100012&amp;field=134" TargetMode = "External"/><Relationship Id="rId61" Type="http://schemas.openxmlformats.org/officeDocument/2006/relationships/hyperlink" Target="https://login.consultant.ru/link/?req=doc&amp;base=LAW&amp;n=485176&amp;date=03.04.2026&amp;dst=100213&amp;field=134" TargetMode = "External"/><Relationship Id="rId62" Type="http://schemas.openxmlformats.org/officeDocument/2006/relationships/hyperlink" Target="https://login.consultant.ru/link/?req=doc&amp;base=LAW&amp;n=442656&amp;date=03.04.2026&amp;dst=101478&amp;field=134" TargetMode = "External"/><Relationship Id="rId63" Type="http://schemas.openxmlformats.org/officeDocument/2006/relationships/hyperlink" Target="https://login.consultant.ru/link/?req=doc&amp;base=LAW&amp;n=507782&amp;date=03.04.2026&amp;dst=100065&amp;field=134" TargetMode = "External"/><Relationship Id="rId64" Type="http://schemas.openxmlformats.org/officeDocument/2006/relationships/hyperlink" Target="https://login.consultant.ru/link/?req=doc&amp;base=LAW&amp;n=529983&amp;date=03.04.2026&amp;dst=100011&amp;field=134" TargetMode = "External"/><Relationship Id="rId65" Type="http://schemas.openxmlformats.org/officeDocument/2006/relationships/hyperlink" Target="https://login.consultant.ru/link/?req=doc&amp;base=LAW&amp;n=465997&amp;date=03.04.2026&amp;dst=100002&amp;field=134" TargetMode = "External"/><Relationship Id="rId66" Type="http://schemas.openxmlformats.org/officeDocument/2006/relationships/hyperlink" Target="https://login.consultant.ru/link/?req=doc&amp;base=LAW&amp;n=507782&amp;date=03.04.2026&amp;dst=100066&amp;field=134" TargetMode = "External"/><Relationship Id="rId67" Type="http://schemas.openxmlformats.org/officeDocument/2006/relationships/hyperlink" Target="https://login.consultant.ru/link/?req=doc&amp;base=LAW&amp;n=507782&amp;date=03.04.2026&amp;dst=100069&amp;field=134" TargetMode = "External"/><Relationship Id="rId68" Type="http://schemas.openxmlformats.org/officeDocument/2006/relationships/hyperlink" Target="https://login.consultant.ru/link/?req=doc&amp;base=LAW&amp;n=507782&amp;date=03.04.2026&amp;dst=100070&amp;field=134" TargetMode = "External"/><Relationship Id="rId69" Type="http://schemas.openxmlformats.org/officeDocument/2006/relationships/hyperlink" Target="https://login.consultant.ru/link/?req=doc&amp;base=LAW&amp;n=507782&amp;date=03.04.2026&amp;dst=100071&amp;field=134" TargetMode = "External"/><Relationship Id="rId70" Type="http://schemas.openxmlformats.org/officeDocument/2006/relationships/hyperlink" Target="https://login.consultant.ru/link/?req=doc&amp;base=LAW&amp;n=507782&amp;date=03.04.2026&amp;dst=100072&amp;field=134" TargetMode = "External"/><Relationship Id="rId71" Type="http://schemas.openxmlformats.org/officeDocument/2006/relationships/hyperlink" Target="https://login.consultant.ru/link/?req=doc&amp;base=LAW&amp;n=507782&amp;date=03.04.2026&amp;dst=100073&amp;field=134" TargetMode = "External"/><Relationship Id="rId72" Type="http://schemas.openxmlformats.org/officeDocument/2006/relationships/hyperlink" Target="https://login.consultant.ru/link/?req=doc&amp;base=LAW&amp;n=507782&amp;date=03.04.2026&amp;dst=100079&amp;field=134" TargetMode = "External"/><Relationship Id="rId73" Type="http://schemas.openxmlformats.org/officeDocument/2006/relationships/hyperlink" Target="https://login.consultant.ru/link/?req=doc&amp;base=LAW&amp;n=512178&amp;date=03.04.2026&amp;dst=100014&amp;field=134" TargetMode = "External"/><Relationship Id="rId74" Type="http://schemas.openxmlformats.org/officeDocument/2006/relationships/hyperlink" Target="https://login.consultant.ru/link/?req=doc&amp;base=LAW&amp;n=502595&amp;date=03.04.2026&amp;dst=100012&amp;field=134" TargetMode = "External"/><Relationship Id="rId75" Type="http://schemas.openxmlformats.org/officeDocument/2006/relationships/hyperlink" Target="https://login.consultant.ru/link/?req=doc&amp;base=LAW&amp;n=512178&amp;date=03.04.2026&amp;dst=100325&amp;field=134" TargetMode = "External"/><Relationship Id="rId76" Type="http://schemas.openxmlformats.org/officeDocument/2006/relationships/hyperlink" Target="https://login.consultant.ru/link/?req=doc&amp;base=LAW&amp;n=507782&amp;date=03.04.2026&amp;dst=100086&amp;field=134" TargetMode = "External"/><Relationship Id="rId77" Type="http://schemas.openxmlformats.org/officeDocument/2006/relationships/hyperlink" Target="https://login.consultant.ru/link/?req=doc&amp;base=LAW&amp;n=507782&amp;date=03.04.2026&amp;dst=100088&amp;field=134" TargetMode = "External"/><Relationship Id="rId78" Type="http://schemas.openxmlformats.org/officeDocument/2006/relationships/hyperlink" Target="https://login.consultant.ru/link/?req=doc&amp;base=LAW&amp;n=507782&amp;date=03.04.2026&amp;dst=100091&amp;field=134" TargetMode = "External"/><Relationship Id="rId79" Type="http://schemas.openxmlformats.org/officeDocument/2006/relationships/hyperlink" Target="https://login.consultant.ru/link/?req=doc&amp;base=LAW&amp;n=507782&amp;date=03.04.2026&amp;dst=100092&amp;field=134" TargetMode = "External"/><Relationship Id="rId80" Type="http://schemas.openxmlformats.org/officeDocument/2006/relationships/hyperlink" Target="https://login.consultant.ru/link/?req=doc&amp;base=STR&amp;n=28226&amp;date=03.04.2026" TargetMode = "External"/><Relationship Id="rId81" Type="http://schemas.openxmlformats.org/officeDocument/2006/relationships/hyperlink" Target="https://login.consultant.ru/link/?req=doc&amp;base=LAW&amp;n=502511&amp;date=03.04.2026&amp;dst=100008&amp;field=134" TargetMode = "External"/><Relationship Id="rId82" Type="http://schemas.openxmlformats.org/officeDocument/2006/relationships/hyperlink" Target="https://login.consultant.ru/link/?req=doc&amp;base=LAW&amp;n=507782&amp;date=03.04.2026&amp;dst=100099&amp;field=134" TargetMode = "External"/><Relationship Id="rId83" Type="http://schemas.openxmlformats.org/officeDocument/2006/relationships/hyperlink" Target="https://login.consultant.ru/link/?req=doc&amp;base=STR&amp;n=16866&amp;date=03.04.2026" TargetMode = "External"/><Relationship Id="rId84" Type="http://schemas.openxmlformats.org/officeDocument/2006/relationships/hyperlink" Target="https://login.consultant.ru/link/?req=doc&amp;base=LAW&amp;n=507782&amp;date=03.04.2026&amp;dst=100103&amp;field=134" TargetMode = "External"/><Relationship Id="rId85" Type="http://schemas.openxmlformats.org/officeDocument/2006/relationships/hyperlink" Target="https://login.consultant.ru/link/?req=doc&amp;base=LAW&amp;n=507782&amp;date=03.04.2026&amp;dst=100111&amp;field=134" TargetMode = "External"/><Relationship Id="rId86" Type="http://schemas.openxmlformats.org/officeDocument/2006/relationships/hyperlink" Target="https://login.consultant.ru/link/?req=doc&amp;base=LAW&amp;n=507782&amp;date=03.04.2026&amp;dst=100113&amp;field=134" TargetMode = "External"/><Relationship Id="rId87" Type="http://schemas.openxmlformats.org/officeDocument/2006/relationships/hyperlink" Target="https://login.consultant.ru/link/?req=doc&amp;base=LAW&amp;n=507782&amp;date=03.04.2026&amp;dst=100114&amp;field=134" TargetMode = "External"/><Relationship Id="rId88" Type="http://schemas.openxmlformats.org/officeDocument/2006/relationships/hyperlink" Target="https://login.consultant.ru/link/?req=doc&amp;base=LAW&amp;n=507782&amp;date=03.04.2026&amp;dst=100114&amp;field=134" TargetMode = "External"/><Relationship Id="rId89" Type="http://schemas.openxmlformats.org/officeDocument/2006/relationships/hyperlink" Target="https://login.consultant.ru/link/?req=doc&amp;base=LAW&amp;n=507782&amp;date=03.04.2026&amp;dst=100114&amp;field=134" TargetMode = "External"/><Relationship Id="rId90" Type="http://schemas.openxmlformats.org/officeDocument/2006/relationships/hyperlink" Target="https://login.consultant.ru/link/?req=doc&amp;base=LAW&amp;n=507782&amp;date=03.04.2026&amp;dst=100115&amp;field=134" TargetMode = "External"/><Relationship Id="rId91" Type="http://schemas.openxmlformats.org/officeDocument/2006/relationships/hyperlink" Target="https://login.consultant.ru/link/?req=doc&amp;base=LAW&amp;n=507782&amp;date=03.04.2026&amp;dst=100118&amp;field=134" TargetMode = "External"/><Relationship Id="rId92" Type="http://schemas.openxmlformats.org/officeDocument/2006/relationships/hyperlink" Target="https://login.consultant.ru/link/?req=doc&amp;base=LAW&amp;n=217566&amp;date=03.04.2026&amp;dst=100008&amp;field=134" TargetMode = "External"/><Relationship Id="rId93" Type="http://schemas.openxmlformats.org/officeDocument/2006/relationships/hyperlink" Target="https://login.consultant.ru/link/?req=doc&amp;base=STR&amp;n=25374&amp;date=03.04.2026" TargetMode = "External"/><Relationship Id="rId94" Type="http://schemas.openxmlformats.org/officeDocument/2006/relationships/hyperlink" Target="https://login.consultant.ru/link/?req=doc&amp;base=LAW&amp;n=507782&amp;date=03.04.2026&amp;dst=100119&amp;field=134" TargetMode = "External"/><Relationship Id="rId95" Type="http://schemas.openxmlformats.org/officeDocument/2006/relationships/hyperlink" Target="https://login.consultant.ru/link/?req=doc&amp;base=LAW&amp;n=461764&amp;date=03.04.2026&amp;dst=100012&amp;field=134" TargetMode = "External"/><Relationship Id="rId96" Type="http://schemas.openxmlformats.org/officeDocument/2006/relationships/hyperlink" Target="https://login.consultant.ru/link/?req=doc&amp;base=LAW&amp;n=507782&amp;date=03.04.2026&amp;dst=100120&amp;field=134" TargetMode = "External"/><Relationship Id="rId97" Type="http://schemas.openxmlformats.org/officeDocument/2006/relationships/hyperlink" Target="https://login.consultant.ru/link/?req=doc&amp;base=LAW&amp;n=507782&amp;date=03.04.2026&amp;dst=100121&amp;field=134" TargetMode = "External"/><Relationship Id="rId98" Type="http://schemas.openxmlformats.org/officeDocument/2006/relationships/hyperlink" Target="https://login.consultant.ru/link/?req=doc&amp;base=LAW&amp;n=507782&amp;date=03.04.2026&amp;dst=100122&amp;field=134" TargetMode = "External"/><Relationship Id="rId99" Type="http://schemas.openxmlformats.org/officeDocument/2006/relationships/hyperlink" Target="https://login.consultant.ru/link/?req=doc&amp;base=LAW&amp;n=507782&amp;date=03.04.2026&amp;dst=100125&amp;field=134" TargetMode = "External"/><Relationship Id="rId100" Type="http://schemas.openxmlformats.org/officeDocument/2006/relationships/hyperlink" Target="https://login.consultant.ru/link/?req=doc&amp;base=LAW&amp;n=507782&amp;date=03.04.2026&amp;dst=100131&amp;field=134" TargetMode = "External"/><Relationship Id="rId101" Type="http://schemas.openxmlformats.org/officeDocument/2006/relationships/hyperlink" Target="https://login.consultant.ru/link/?req=doc&amp;base=LAW&amp;n=507782&amp;date=03.04.2026&amp;dst=100138&amp;field=134" TargetMode = "External"/><Relationship Id="rId102" Type="http://schemas.openxmlformats.org/officeDocument/2006/relationships/hyperlink" Target="https://login.consultant.ru/link/?req=doc&amp;base=LAW&amp;n=507782&amp;date=03.04.2026&amp;dst=100143&amp;field=134" TargetMode = "External"/><Relationship Id="rId103" Type="http://schemas.openxmlformats.org/officeDocument/2006/relationships/hyperlink" Target="https://login.consultant.ru/link/?req=doc&amp;base=LAW&amp;n=507782&amp;date=03.04.2026&amp;dst=100143&amp;field=134" TargetMode = "External"/><Relationship Id="rId104" Type="http://schemas.openxmlformats.org/officeDocument/2006/relationships/hyperlink" Target="https://login.consultant.ru/link/?req=doc&amp;base=LAW&amp;n=507782&amp;date=03.04.2026&amp;dst=100144&amp;field=134" TargetMode = "External"/><Relationship Id="rId105" Type="http://schemas.openxmlformats.org/officeDocument/2006/relationships/hyperlink" Target="https://login.consultant.ru/link/?req=doc&amp;base=LAW&amp;n=507782&amp;date=03.04.2026&amp;dst=100148&amp;field=134" TargetMode = "External"/><Relationship Id="rId106" Type="http://schemas.openxmlformats.org/officeDocument/2006/relationships/hyperlink" Target="https://login.consultant.ru/link/?req=doc&amp;base=LAW&amp;n=507782&amp;date=03.04.2026&amp;dst=100153&amp;field=134" TargetMode = "External"/><Relationship Id="rId107" Type="http://schemas.openxmlformats.org/officeDocument/2006/relationships/hyperlink" Target="https://login.consultant.ru/link/?req=doc&amp;base=LAW&amp;n=507782&amp;date=03.04.2026&amp;dst=100157&amp;field=134" TargetMode = "External"/><Relationship Id="rId108" Type="http://schemas.openxmlformats.org/officeDocument/2006/relationships/hyperlink" Target="https://login.consultant.ru/link/?req=doc&amp;base=LAW&amp;n=507782&amp;date=03.04.2026&amp;dst=100158&amp;field=134" TargetMode = "External"/><Relationship Id="rId109" Type="http://schemas.openxmlformats.org/officeDocument/2006/relationships/hyperlink" Target="https://login.consultant.ru/link/?req=doc&amp;base=LAW&amp;n=507782&amp;date=03.04.2026&amp;dst=100162&amp;field=134" TargetMode = "External"/><Relationship Id="rId110" Type="http://schemas.openxmlformats.org/officeDocument/2006/relationships/hyperlink" Target="https://login.consultant.ru/link/?req=doc&amp;base=LAW&amp;n=507782&amp;date=03.04.2026&amp;dst=100167&amp;field=134" TargetMode = "External"/><Relationship Id="rId111" Type="http://schemas.openxmlformats.org/officeDocument/2006/relationships/hyperlink" Target="https://login.consultant.ru/link/?req=doc&amp;base=LAW&amp;n=475769&amp;date=03.04.2026&amp;dst=100012&amp;field=134" TargetMode = "External"/><Relationship Id="rId112" Type="http://schemas.openxmlformats.org/officeDocument/2006/relationships/hyperlink" Target="https://login.consultant.ru/link/?req=doc&amp;base=LAW&amp;n=507782&amp;date=03.04.2026&amp;dst=100172&amp;field=134" TargetMode = "External"/><Relationship Id="rId113" Type="http://schemas.openxmlformats.org/officeDocument/2006/relationships/hyperlink" Target="https://login.consultant.ru/link/?req=doc&amp;base=LAW&amp;n=507782&amp;date=03.04.2026&amp;dst=100174&amp;field=134" TargetMode = "External"/><Relationship Id="rId114" Type="http://schemas.openxmlformats.org/officeDocument/2006/relationships/hyperlink" Target="https://login.consultant.ru/link/?req=doc&amp;base=LAW&amp;n=507782&amp;date=03.04.2026&amp;dst=100175&amp;field=134" TargetMode = "External"/><Relationship Id="rId115" Type="http://schemas.openxmlformats.org/officeDocument/2006/relationships/hyperlink" Target="https://login.consultant.ru/link/?req=doc&amp;base=LAW&amp;n=507782&amp;date=03.04.2026&amp;dst=100178&amp;field=134" TargetMode = "External"/><Relationship Id="rId116" Type="http://schemas.openxmlformats.org/officeDocument/2006/relationships/hyperlink" Target="https://login.consultant.ru/link/?req=doc&amp;base=LAW&amp;n=507782&amp;date=03.04.2026&amp;dst=100180&amp;field=134" TargetMode = "External"/><Relationship Id="rId117" Type="http://schemas.openxmlformats.org/officeDocument/2006/relationships/hyperlink" Target="https://login.consultant.ru/link/?req=doc&amp;base=LAW&amp;n=507782&amp;date=03.04.2026&amp;dst=100181&amp;field=134" TargetMode = "External"/><Relationship Id="rId118" Type="http://schemas.openxmlformats.org/officeDocument/2006/relationships/hyperlink" Target="https://login.consultant.ru/link/?req=doc&amp;base=LAW&amp;n=507782&amp;date=03.04.2026&amp;dst=100187&amp;field=134" TargetMode = "External"/><Relationship Id="rId119" Type="http://schemas.openxmlformats.org/officeDocument/2006/relationships/hyperlink" Target="https://login.consultant.ru/link/?req=doc&amp;base=LAW&amp;n=507782&amp;date=03.04.2026&amp;dst=100188&amp;field=134" TargetMode = "External"/><Relationship Id="rId120" Type="http://schemas.openxmlformats.org/officeDocument/2006/relationships/hyperlink" Target="https://login.consultant.ru/link/?req=doc&amp;base=LAW&amp;n=507782&amp;date=03.04.2026&amp;dst=100189&amp;field=134" TargetMode = "External"/><Relationship Id="rId121" Type="http://schemas.openxmlformats.org/officeDocument/2006/relationships/hyperlink" Target="https://login.consultant.ru/link/?req=doc&amp;base=LAW&amp;n=507782&amp;date=03.04.2026&amp;dst=100192&amp;field=134" TargetMode = "External"/><Relationship Id="rId122" Type="http://schemas.openxmlformats.org/officeDocument/2006/relationships/hyperlink" Target="https://login.consultant.ru/link/?req=doc&amp;base=LAW&amp;n=507782&amp;date=03.04.2026&amp;dst=100195&amp;field=134" TargetMode = "External"/><Relationship Id="rId123" Type="http://schemas.openxmlformats.org/officeDocument/2006/relationships/hyperlink" Target="https://login.consultant.ru/link/?req=doc&amp;base=LAW&amp;n=507782&amp;date=03.04.2026&amp;dst=100189&amp;field=134" TargetMode = "External"/><Relationship Id="rId124" Type="http://schemas.openxmlformats.org/officeDocument/2006/relationships/hyperlink" Target="https://login.consultant.ru/link/?req=doc&amp;base=LAW&amp;n=507782&amp;date=03.04.2026&amp;dst=100198&amp;field=134" TargetMode = "External"/><Relationship Id="rId125" Type="http://schemas.openxmlformats.org/officeDocument/2006/relationships/hyperlink" Target="https://login.consultant.ru/link/?req=doc&amp;base=LAW&amp;n=507782&amp;date=03.04.2026&amp;dst=100201&amp;field=134" TargetMode = "External"/><Relationship Id="rId126" Type="http://schemas.openxmlformats.org/officeDocument/2006/relationships/hyperlink" Target="https://login.consultant.ru/link/?req=doc&amp;base=LAW&amp;n=507782&amp;date=03.04.2026&amp;dst=100206&amp;field=134" TargetMode = "External"/><Relationship Id="rId127" Type="http://schemas.openxmlformats.org/officeDocument/2006/relationships/hyperlink" Target="https://login.consultant.ru/link/?req=doc&amp;base=LAW&amp;n=507782&amp;date=03.04.2026&amp;dst=100208&amp;field=134" TargetMode = "External"/><Relationship Id="rId128" Type="http://schemas.openxmlformats.org/officeDocument/2006/relationships/hyperlink" Target="https://login.consultant.ru/link/?req=doc&amp;base=LAW&amp;n=507782&amp;date=03.04.2026&amp;dst=100210&amp;field=134" TargetMode = "External"/><Relationship Id="rId129" Type="http://schemas.openxmlformats.org/officeDocument/2006/relationships/hyperlink" Target="https://login.consultant.ru/link/?req=doc&amp;base=LAW&amp;n=511695&amp;date=03.04.2026" TargetMode = "External"/><Relationship Id="rId130" Type="http://schemas.openxmlformats.org/officeDocument/2006/relationships/hyperlink" Target="https://login.consultant.ru/link/?req=doc&amp;base=LAW&amp;n=485176&amp;date=03.04.2026&amp;dst=100012&amp;field=134" TargetMode = "External"/><Relationship Id="rId131" Type="http://schemas.openxmlformats.org/officeDocument/2006/relationships/hyperlink" Target="https://login.consultant.ru/link/?req=doc&amp;base=LAW&amp;n=442656&amp;date=03.04.2026&amp;dst=100015&amp;field=134" TargetMode = "External"/><Relationship Id="rId132" Type="http://schemas.openxmlformats.org/officeDocument/2006/relationships/hyperlink" Target="https://login.consultant.ru/link/?req=doc&amp;base=OTN&amp;n=18581&amp;date=03.04.2026" TargetMode = "External"/><Relationship Id="rId133" Type="http://schemas.openxmlformats.org/officeDocument/2006/relationships/hyperlink" Target="https://login.consultant.ru/link/?req=doc&amp;base=LAW&amp;n=456140&amp;date=03.04.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20.07.2020 N 539
(ред. от 16.05.2025)
"Об утверждении свода правил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(вместе с "СП 486.1311500.2020. Свод правил...")</dc:title>
  <dcterms:created xsi:type="dcterms:W3CDTF">2026-04-03T13:16:20Z</dcterms:created>
</cp:coreProperties>
</file>