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06.04.2021 N 200</w:t>
              <w:br/>
              <w:t xml:space="preserve">"Об утверждении свода правил СП 6.13130.2021 "Системы противопожарной защиты. Электроустановки низковольтные. Требования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6 апреля 2021 г. N 200</w:t>
      </w:r>
    </w:p>
    <w:p>
      <w:pPr>
        <w:pStyle w:val="2"/>
        <w:jc w:val="both"/>
      </w:pPr>
      <w:r>
        <w:rPr>
          <w:sz w:val="24"/>
        </w:rPr>
      </w:r>
    </w:p>
    <w:p>
      <w:pPr>
        <w:pStyle w:val="2"/>
        <w:jc w:val="center"/>
      </w:pPr>
      <w:r>
        <w:rPr>
          <w:sz w:val="24"/>
        </w:rPr>
        <w:t xml:space="preserve">ОБ УТВЕРЖДЕНИИ СВОДА ПРАВИЛ СП 6.13130</w:t>
      </w:r>
    </w:p>
    <w:p>
      <w:pPr>
        <w:pStyle w:val="2"/>
        <w:jc w:val="center"/>
      </w:pPr>
      <w:r>
        <w:rPr>
          <w:sz w:val="24"/>
        </w:rPr>
        <w:t xml:space="preserve">"СИСТЕМЫ ПРОТИВОПОЖАРНОЙ ЗАЩИТЫ. ЭЛЕКТРОУСТАНОВКИ</w:t>
      </w:r>
    </w:p>
    <w:p>
      <w:pPr>
        <w:pStyle w:val="2"/>
        <w:jc w:val="center"/>
      </w:pPr>
      <w:r>
        <w:rPr>
          <w:sz w:val="24"/>
        </w:rPr>
        <w:t xml:space="preserve">НИЗКОВОЛЬТНЫЕ. ТРЕБОВАНИЯ ПОЖАРНОЙ БЕЗОПАСНОСТИ"</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27, ст. 4185.</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8" w:tooltip="СВОД ПРАВИЛ">
        <w:r>
          <w:rPr>
            <w:sz w:val="24"/>
            <w:color w:val="0000ff"/>
          </w:rPr>
          <w:t xml:space="preserve">СП 6.13130</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r>
        <w:rPr>
          <w:sz w:val="24"/>
        </w:rPr>
        <w:t xml:space="preserve">2. Признать утратившим силу со дня введения в действие свода правил </w:t>
      </w:r>
      <w:hyperlink w:history="0" w:anchor="P38" w:tooltip="СВОД ПРАВИЛ">
        <w:r>
          <w:rPr>
            <w:sz w:val="24"/>
            <w:color w:val="0000ff"/>
          </w:rPr>
          <w:t xml:space="preserve">СП 6.13130</w:t>
        </w:r>
      </w:hyperlink>
      <w:r>
        <w:rPr>
          <w:sz w:val="24"/>
        </w:rPr>
        <w:t xml:space="preserve"> "Системы противопожарной защиты. Электроустановки низковольтные. Требования пожарной безопасности" </w:t>
      </w:r>
      <w:hyperlink w:history="0" r:id="rId11"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приказ</w:t>
        </w:r>
      </w:hyperlink>
      <w:r>
        <w:rPr>
          <w:sz w:val="24"/>
        </w:rPr>
        <w:t xml:space="preserve"> МЧС России от 21.02.2013 N 115 "Об утверждении свода правил СП 6.13130 "Системы противопожарной защиты. Электрооборудование.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right"/>
      </w:pPr>
      <w:r>
        <w:rPr>
          <w:sz w:val="24"/>
        </w:rPr>
        <w:t xml:space="preserve">Верно</w:t>
      </w:r>
    </w:p>
    <w:p>
      <w:pPr>
        <w:pStyle w:val="0"/>
        <w:jc w:val="right"/>
      </w:pPr>
      <w:r>
        <w:rPr>
          <w:sz w:val="24"/>
        </w:rPr>
        <w:t xml:space="preserve">Заместитель начальника отдела</w:t>
      </w:r>
    </w:p>
    <w:p>
      <w:pPr>
        <w:pStyle w:val="0"/>
        <w:jc w:val="right"/>
      </w:pPr>
      <w:r>
        <w:rPr>
          <w:sz w:val="24"/>
        </w:rPr>
        <w:t xml:space="preserve">документационного обеспечения</w:t>
      </w:r>
    </w:p>
    <w:p>
      <w:pPr>
        <w:pStyle w:val="0"/>
        <w:jc w:val="right"/>
      </w:pPr>
      <w:r>
        <w:rPr>
          <w:sz w:val="24"/>
        </w:rPr>
        <w:t xml:space="preserve">Административного департамента</w:t>
      </w:r>
    </w:p>
    <w:p>
      <w:pPr>
        <w:pStyle w:val="0"/>
        <w:jc w:val="right"/>
      </w:pPr>
      <w:r>
        <w:rPr>
          <w:sz w:val="24"/>
        </w:rPr>
        <w:t xml:space="preserve">О.П.СТЕПАНОВА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06.04.2021 N 200</w:t>
      </w:r>
    </w:p>
    <w:p>
      <w:pPr>
        <w:pStyle w:val="0"/>
        <w:jc w:val="both"/>
      </w:pPr>
      <w:r>
        <w:rPr>
          <w:sz w:val="24"/>
        </w:rPr>
      </w:r>
    </w:p>
    <w:bookmarkStart w:id="38" w:name="P38"/>
    <w:bookmarkEnd w:id="38"/>
    <w:p>
      <w:pPr>
        <w:pStyle w:val="2"/>
        <w:jc w:val="center"/>
      </w:pPr>
      <w:r>
        <w:rPr>
          <w:sz w:val="24"/>
        </w:rPr>
        <w:t xml:space="preserve">СВОД ПРАВИЛ</w:t>
      </w:r>
    </w:p>
    <w:p>
      <w:pPr>
        <w:pStyle w:val="2"/>
        <w:jc w:val="center"/>
      </w:pPr>
      <w:r>
        <w:rPr>
          <w:sz w:val="24"/>
        </w:rPr>
        <w:t xml:space="preserve">СП 6.13130.2021</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ЭЛЕКТРОУСТАНОВКИ НИЗКОВОЛЬТНЫЕ</w:t>
      </w:r>
    </w:p>
    <w:p>
      <w:pPr>
        <w:pStyle w:val="2"/>
        <w:jc w:val="center"/>
      </w:pPr>
      <w:r>
        <w:rPr>
          <w:sz w:val="24"/>
        </w:rPr>
      </w:r>
    </w:p>
    <w:p>
      <w:pPr>
        <w:pStyle w:val="2"/>
        <w:jc w:val="center"/>
      </w:pPr>
      <w:r>
        <w:rPr>
          <w:sz w:val="24"/>
        </w:rPr>
        <w:t xml:space="preserve">ТРЕБОВАНИЯ ПОЖАРНОЙ БЕЗОПАСНОСТИ</w:t>
      </w:r>
    </w:p>
    <w:p>
      <w:pPr>
        <w:pStyle w:val="0"/>
        <w:jc w:val="both"/>
      </w:pPr>
      <w:r>
        <w:rPr>
          <w:sz w:val="24"/>
        </w:rPr>
      </w:r>
    </w:p>
    <w:p>
      <w:pPr>
        <w:pStyle w:val="0"/>
        <w:jc w:val="right"/>
      </w:pPr>
      <w:r>
        <w:rPr>
          <w:sz w:val="24"/>
        </w:rPr>
        <w:t xml:space="preserve">Дата введения - 2021-10-06</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2"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2016 г. N 162-ФЗ "О стандартизации в Российской Федерации", а правила применения сводов правил - Федеральным </w:t>
      </w:r>
      <w:hyperlink w:history="0" r:id="rId13"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6 апреля 2021 г. N 200.</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17 мая 2021 г.</w:t>
      </w:r>
    </w:p>
    <w:p>
      <w:pPr>
        <w:pStyle w:val="0"/>
        <w:spacing w:before="240" w:lineRule="auto"/>
        <w:ind w:firstLine="540"/>
        <w:jc w:val="both"/>
      </w:pPr>
      <w:r>
        <w:rPr>
          <w:sz w:val="24"/>
        </w:rPr>
        <w:t xml:space="preserve">4. ВВЕДЕН ВЗАМЕН </w:t>
      </w:r>
      <w:hyperlink w:history="0" r:id="rId14"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6.13130.2013</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5">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агентства по техническому регулированию и метрологии.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Федерального </w:t>
      </w:r>
      <w:hyperlink w:history="0" r:id="rId1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239" w:tooltip="[1] Федеральный закон Технический регламент о требованиях пожарной безопасности от 22 июля 2008 г. N 123-ФЗ">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рассмотрены вопросы, связанные с проектированием электроснабжения систем противопожарной защиты и выбора электрооборудования.</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к питанию электроприемников, линиям связи, электрооборудованию систем противопожарной защиты зданий и сооружений.</w:t>
      </w:r>
    </w:p>
    <w:p>
      <w:pPr>
        <w:pStyle w:val="0"/>
        <w:spacing w:before="240" w:lineRule="auto"/>
        <w:ind w:firstLine="540"/>
        <w:jc w:val="both"/>
      </w:pPr>
      <w:r>
        <w:rPr>
          <w:sz w:val="24"/>
        </w:rPr>
        <w:t xml:space="preserve">1.2 Настоящий свод правил предназначен для применения при проектировании и монтаже низковольтного электрооборудования систем противопожарной защиты вновь строящихся и реконструируемых зданий и сооружений.</w:t>
      </w:r>
    </w:p>
    <w:p>
      <w:pPr>
        <w:pStyle w:val="0"/>
        <w:spacing w:before="240" w:lineRule="auto"/>
        <w:ind w:firstLine="540"/>
        <w:jc w:val="both"/>
      </w:pPr>
      <w:r>
        <w:rPr>
          <w:sz w:val="24"/>
        </w:rPr>
        <w:t xml:space="preserve">Настоящий свод правил взаимосвязан с требованиями </w:t>
      </w:r>
      <w:hyperlink w:history="0" r:id="rId17"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Электроустановки низковольтные. Часть 5-56. Выбор и монтаж электрооборудования. Системы обеспечения безопасности.</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hyperlink w:history="0" r:id="rId1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ГОСТ IEC 60050-441 Международный электротехнический словарь. Часть 441. Аппаратура коммутационная, аппаратура управления и плавкие предохранители.</w:t>
      </w:r>
    </w:p>
    <w:p>
      <w:pPr>
        <w:pStyle w:val="0"/>
        <w:spacing w:before="240" w:lineRule="auto"/>
        <w:ind w:firstLine="540"/>
        <w:jc w:val="both"/>
      </w:pPr>
      <w:hyperlink w:history="0" r:id="rId20"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hyperlink w:history="0" r:id="rId21" w:tooltip="&quot;ГОСТ Р 53195.1-2008. Национальный стандарт Российской Федерации. Безопасность функциональная связанных с безопасностью зданий и сооружений систем. Часть 1. Основные положения&quot; (утв. и введен в действие Приказом Ростехрегулирования от 18.12.2008 N 653-ст) {КонсультантПлюс}">
        <w:r>
          <w:rPr>
            <w:sz w:val="24"/>
            <w:color w:val="0000ff"/>
          </w:rPr>
          <w:t xml:space="preserve">ГОСТ Р 53195.1</w:t>
        </w:r>
      </w:hyperlink>
      <w:r>
        <w:rPr>
          <w:sz w:val="24"/>
        </w:rPr>
        <w:t xml:space="preserve"> Безопасность функциональная связанных с безопасностью зданий и сооружений систем. Часть 1. Основные положения.</w:t>
      </w:r>
    </w:p>
    <w:p>
      <w:pPr>
        <w:pStyle w:val="0"/>
        <w:spacing w:before="240" w:lineRule="auto"/>
        <w:ind w:firstLine="540"/>
        <w:jc w:val="both"/>
      </w:pPr>
      <w:hyperlink w:history="0" r:id="rId22" w:tooltip="&quot;ГОСТ Р 53316-2009. Национальный стандарт Российской Федерации. Кабельные линии. Сохранение работоспособности в условиях пожара. Метод испытания&quot; (утв. и введен в действие Приказом Ростехрегулирования от 18.02.2009 N 92-ст) ------------ Утратил силу или отменен {КонсультантПлюс}">
        <w:r>
          <w:rPr>
            <w:sz w:val="24"/>
            <w:color w:val="0000ff"/>
          </w:rPr>
          <w:t xml:space="preserve">ГОСТ Р 53316</w:t>
        </w:r>
      </w:hyperlink>
      <w:r>
        <w:rPr>
          <w:sz w:val="24"/>
        </w:rPr>
        <w:t xml:space="preserve"> Кабельные линии. Сохранение работоспособности в условиях пожара. Метод испытания.</w:t>
      </w:r>
    </w:p>
    <w:p>
      <w:pPr>
        <w:pStyle w:val="0"/>
        <w:spacing w:before="240" w:lineRule="auto"/>
        <w:ind w:firstLine="540"/>
        <w:jc w:val="both"/>
      </w:pPr>
      <w:hyperlink w:history="0" r:id="rId23" w:tooltip="&quot;ГОСТ Р 56602-2015. Национальный стандарт Российской Федерации. Слаботочные системы. Кабельные системы. Термины и определения&quot; (утв. и введен в действие Приказом Росстандарта от 02.10.2015 N 1446-ст) {КонсультантПлюс}">
        <w:r>
          <w:rPr>
            <w:sz w:val="24"/>
            <w:color w:val="0000ff"/>
          </w:rPr>
          <w:t xml:space="preserve">ГОСТ Р 56602</w:t>
        </w:r>
      </w:hyperlink>
      <w:r>
        <w:rPr>
          <w:sz w:val="24"/>
        </w:rPr>
        <w:t xml:space="preserve"> Слаботочные системы. Кабельные системы. Термины и определения.</w:t>
      </w:r>
    </w:p>
    <w:p>
      <w:pPr>
        <w:pStyle w:val="0"/>
        <w:spacing w:before="240" w:lineRule="auto"/>
        <w:ind w:firstLine="540"/>
        <w:jc w:val="both"/>
      </w:pPr>
      <w:hyperlink w:history="0" r:id="rId24"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ГОСТ Р МЭК 60050-826</w:t>
        </w:r>
      </w:hyperlink>
      <w:r>
        <w:rPr>
          <w:sz w:val="24"/>
        </w:rPr>
        <w:t xml:space="preserve"> Установки электрические. Термины и определения.</w:t>
      </w:r>
    </w:p>
    <w:p>
      <w:pPr>
        <w:pStyle w:val="0"/>
        <w:spacing w:before="240" w:lineRule="auto"/>
        <w:ind w:firstLine="540"/>
        <w:jc w:val="both"/>
      </w:pPr>
      <w:hyperlink w:history="0" r:id="rId25"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Электроустановки жилых и общественных зданий. Правила проектирования и монтажа.</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соответствующим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аппарат защиты: Аппарат, автоматически отключающий защищаемую электрическую цепь при аварийных режимах [СП 256.1325800.2016, </w:t>
      </w:r>
      <w:hyperlink w:history="0" r:id="rId26"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п. 3.1.2</w:t>
        </w:r>
      </w:hyperlink>
      <w:r>
        <w:rPr>
          <w:sz w:val="24"/>
        </w:rPr>
        <w:t xml:space="preserve">].</w:t>
      </w:r>
    </w:p>
    <w:p>
      <w:pPr>
        <w:pStyle w:val="0"/>
        <w:spacing w:before="240" w:lineRule="auto"/>
        <w:ind w:firstLine="540"/>
        <w:jc w:val="both"/>
      </w:pPr>
      <w:r>
        <w:rPr>
          <w:sz w:val="24"/>
        </w:rPr>
        <w:t xml:space="preserve">3.2 аппарат управления: Аппарат, предназначенный для управления электрооборудованием.</w:t>
      </w:r>
    </w:p>
    <w:p>
      <w:pPr>
        <w:pStyle w:val="0"/>
        <w:spacing w:before="240" w:lineRule="auto"/>
        <w:ind w:firstLine="540"/>
        <w:jc w:val="both"/>
      </w:pPr>
      <w:r>
        <w:rPr>
          <w:sz w:val="24"/>
        </w:rPr>
        <w:t xml:space="preserve">3.3 кольцевая линия связи: Линия связи, начало и конец которой подключены к одному прибору приемно-контрольному пожарному или прибору пожарному управления и в результате неисправности которой образуются две самостоятельные радиальные линии связи.</w:t>
      </w:r>
    </w:p>
    <w:p>
      <w:pPr>
        <w:pStyle w:val="0"/>
        <w:spacing w:before="240" w:lineRule="auto"/>
        <w:ind w:firstLine="540"/>
        <w:jc w:val="both"/>
      </w:pPr>
      <w:r>
        <w:rPr>
          <w:sz w:val="24"/>
        </w:rPr>
        <w:t xml:space="preserve">3.4 панель питания электрооборудования систем противопожарной защиты: Распределительная панель в составе многопанельного низковольтного комплектного устройства, присоединяемая к вводной панели с автоматическим вводом резерва и предназначенная для питания электрооборудования системы противопожарной защиты. При этом низковольтное комплектное устройство может быть представлено как вводно-распределительное устройство, вводное устройство, главный распределительный щит или распределительный щит, комплектуемый встроенным автоматическим вводом резерва.</w:t>
      </w:r>
    </w:p>
    <w:p>
      <w:pPr>
        <w:pStyle w:val="0"/>
        <w:spacing w:before="240" w:lineRule="auto"/>
        <w:ind w:firstLine="540"/>
        <w:jc w:val="both"/>
      </w:pPr>
      <w:r>
        <w:rPr>
          <w:sz w:val="24"/>
        </w:rPr>
        <w:t xml:space="preserve">3.5 открытая электропроводка: Электропроводка, проложенная по поверхности стен, потолков, по фермам и другим строительным элементам зданий и сооружений, по опорам и т.п. [Правила устройства электроустановок (ПУЭ). Шестое издание. Раздел 2, </w:t>
      </w:r>
      <w:hyperlink w:history="0" r:id="rId27" w:tooltip="&quot;Правила устройства электроустановок (ПУЭ). Шестое издание&quot; (утв. Главтехуправлением, Госэнергонадзором Минэнерго СССР 05.10.1979) (ред. от 20.06.2003) {КонсультантПлюс}">
        <w:r>
          <w:rPr>
            <w:sz w:val="24"/>
            <w:color w:val="0000ff"/>
          </w:rPr>
          <w:t xml:space="preserve">пп. 1 п. 2.1.4</w:t>
        </w:r>
      </w:hyperlink>
      <w:r>
        <w:rPr>
          <w:sz w:val="24"/>
        </w:rPr>
        <w:t xml:space="preserve">].</w:t>
      </w:r>
    </w:p>
    <w:p>
      <w:pPr>
        <w:pStyle w:val="0"/>
        <w:spacing w:before="240" w:lineRule="auto"/>
        <w:ind w:firstLine="540"/>
        <w:jc w:val="both"/>
      </w:pPr>
      <w:r>
        <w:rPr>
          <w:sz w:val="24"/>
        </w:rPr>
        <w:t xml:space="preserve">3.6 связанная с безопасностью система (подсистема): Система (подсистема), реализующая функцию или функции безопасности, необходимые для достижения и поддержания безопасного состояния управляемого оборудования своими силами или совместно с другими связанными с безопасностью системами или внешними средствами уменьшения риска.</w:t>
      </w:r>
    </w:p>
    <w:p>
      <w:pPr>
        <w:pStyle w:val="0"/>
        <w:spacing w:before="240" w:lineRule="auto"/>
        <w:ind w:firstLine="540"/>
        <w:jc w:val="both"/>
      </w:pPr>
      <w:r>
        <w:rPr>
          <w:sz w:val="24"/>
        </w:rPr>
        <w:t xml:space="preserve">Примечание - Подсистема в настоящем термине является системой, которая входит составной частью в более крупную систему; подсистема, в свою очередь, может состоять из ряда менее крупных подсистем, которые также могут быть системами [ГОСТ Р 53195.1-2008, </w:t>
      </w:r>
      <w:hyperlink w:history="0" r:id="rId28" w:tooltip="&quot;ГОСТ Р 53195.1-2008. Национальный стандарт Российской Федерации. Безопасность функциональная связанных с безопасностью зданий и сооружений систем. Часть 1. Основные положения&quot; (утв. и введен в действие Приказом Ростехрегулирования от 18.12.2008 N 653-ст) {КонсультантПлюс}">
        <w:r>
          <w:rPr>
            <w:sz w:val="24"/>
            <w:color w:val="0000ff"/>
          </w:rPr>
          <w:t xml:space="preserve">п. 3.37</w:t>
        </w:r>
      </w:hyperlink>
      <w:r>
        <w:rPr>
          <w:sz w:val="24"/>
        </w:rPr>
        <w:t xml:space="preserve">].</w:t>
      </w:r>
    </w:p>
    <w:p>
      <w:pPr>
        <w:pStyle w:val="0"/>
        <w:jc w:val="both"/>
      </w:pPr>
      <w:r>
        <w:rPr>
          <w:sz w:val="24"/>
        </w:rPr>
      </w:r>
    </w:p>
    <w:p>
      <w:pPr>
        <w:pStyle w:val="0"/>
        <w:ind w:firstLine="540"/>
        <w:jc w:val="both"/>
      </w:pPr>
      <w:r>
        <w:rPr>
          <w:sz w:val="24"/>
        </w:rPr>
        <w:t xml:space="preserve">3.7 скрытая электропроводка: Электропроводка,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и т.п. [Правила устройства электроустановок (ПУЭ). Шестое издание. Раздел 2, </w:t>
      </w:r>
      <w:hyperlink w:history="0" r:id="rId29" w:tooltip="&quot;Правила устройства электроустановок (ПУЭ). Шестое издание&quot; (утв. Главтехуправлением, Госэнергонадзором Минэнерго СССР 05.10.1979) (ред. от 20.06.2003) {КонсультантПлюс}">
        <w:r>
          <w:rPr>
            <w:sz w:val="24"/>
            <w:color w:val="0000ff"/>
          </w:rPr>
          <w:t xml:space="preserve">пп. 2 п. 2.1.4</w:t>
        </w:r>
      </w:hyperlink>
      <w:r>
        <w:rPr>
          <w:sz w:val="24"/>
        </w:rPr>
        <w:t xml:space="preserve">].</w:t>
      </w:r>
    </w:p>
    <w:p>
      <w:pPr>
        <w:pStyle w:val="0"/>
        <w:spacing w:before="240" w:lineRule="auto"/>
        <w:ind w:firstLine="540"/>
        <w:jc w:val="both"/>
      </w:pPr>
      <w:r>
        <w:rPr>
          <w:sz w:val="24"/>
        </w:rPr>
        <w:t xml:space="preserve">3.8 слаботочная система: Техническая система, выполняющая функции сбора, обработки и передачи информации, функционирование элементов которой в ее границах обеспечивается слабыми электрическими токами [ГОСТ Р 56602-2015, </w:t>
      </w:r>
      <w:hyperlink w:history="0" r:id="rId30" w:tooltip="&quot;ГОСТ Р 56602-2015. Национальный стандарт Российской Федерации. Слаботочные системы. Кабельные системы. Термины и определения&quot; (утв. и введен в действие Приказом Росстандарта от 02.10.2015 N 1446-ст) {КонсультантПлюс}">
        <w:r>
          <w:rPr>
            <w:sz w:val="24"/>
            <w:color w:val="0000ff"/>
          </w:rPr>
          <w:t xml:space="preserve">п. 7</w:t>
        </w:r>
      </w:hyperlink>
      <w:r>
        <w:rPr>
          <w:sz w:val="24"/>
        </w:rPr>
        <w:t xml:space="preserve">].</w:t>
      </w:r>
    </w:p>
    <w:p>
      <w:pPr>
        <w:pStyle w:val="0"/>
        <w:spacing w:before="240" w:lineRule="auto"/>
        <w:ind w:firstLine="540"/>
        <w:jc w:val="both"/>
      </w:pPr>
      <w:r>
        <w:rPr>
          <w:sz w:val="24"/>
        </w:rPr>
        <w:t xml:space="preserve">3.9 шинопровод: Сборка заводского изготовления в виде системы проводников, состоящей из шин, которые расположены с интервалами и поддерживаются изолирующим материалом в трубе, желобе или аналогичной оболочке [ГОСТ IEC 60050-441-2015, п. 441-12-07].</w:t>
      </w:r>
    </w:p>
    <w:p>
      <w:pPr>
        <w:pStyle w:val="0"/>
        <w:spacing w:before="240" w:lineRule="auto"/>
        <w:ind w:firstLine="540"/>
        <w:jc w:val="both"/>
      </w:pPr>
      <w:r>
        <w:rPr>
          <w:sz w:val="24"/>
        </w:rPr>
        <w:t xml:space="preserve">3.10 электрооборудование систем противопожарной защиты (электрооборудование СПЗ): Электрооборудование, предназначенное для функционирования систем противопожарной защиты в зданиях и сооружениях, к которым относятся средства обеспечения деятельности подразделений пожарной охраны, системы пожарной сигнализации, оповещения и управления эвакуацией людей при пожаре, аварийного освещения на путях эвакуации,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w:t>
      </w:r>
    </w:p>
    <w:p>
      <w:pPr>
        <w:pStyle w:val="0"/>
        <w:spacing w:before="240" w:lineRule="auto"/>
        <w:ind w:firstLine="540"/>
        <w:jc w:val="both"/>
      </w:pPr>
      <w:r>
        <w:rPr>
          <w:sz w:val="24"/>
        </w:rPr>
        <w:t xml:space="preserve">3.11 электроприемник: Электрическое оборудование, предназначенное для преобразования электрической энергии в другой вид энергии [ГОСТ 30331.1-2013, </w:t>
      </w:r>
      <w:hyperlink w:history="0" r:id="rId3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 20.104</w:t>
        </w:r>
      </w:hyperlink>
      <w:r>
        <w:rPr>
          <w:sz w:val="24"/>
        </w:rPr>
        <w:t xml:space="preserve">].</w:t>
      </w:r>
    </w:p>
    <w:p>
      <w:pPr>
        <w:pStyle w:val="0"/>
        <w:spacing w:before="240" w:lineRule="auto"/>
        <w:ind w:firstLine="540"/>
        <w:jc w:val="both"/>
      </w:pPr>
      <w:r>
        <w:rPr>
          <w:sz w:val="24"/>
        </w:rPr>
        <w:t xml:space="preserve">3.12 электропроводка: Совокупность одного или более изолированных проводов, кабелей или шин и частей для их прокладки, крепления и, при необходимости, механической защиты [ГОСТ Р МЭК 60050-826-2009, </w:t>
      </w:r>
      <w:hyperlink w:history="0" r:id="rId32" w:tooltip="&quot;ГОСТ Р МЭК 60050-826-2009. Установки электрические. Термины и определения&quot; (утв. Приказом Ростехрегулирования от 27.11.2009 N 522-ст) {КонсультантПлюс}">
        <w:r>
          <w:rPr>
            <w:sz w:val="24"/>
            <w:color w:val="0000ff"/>
          </w:rPr>
          <w:t xml:space="preserve">п. 826-15-01</w:t>
        </w:r>
      </w:hyperlink>
      <w:r>
        <w:rPr>
          <w:sz w:val="24"/>
        </w:rPr>
        <w:t xml:space="preserve">].</w:t>
      </w:r>
    </w:p>
    <w:p>
      <w:pPr>
        <w:pStyle w:val="0"/>
        <w:spacing w:before="240" w:lineRule="auto"/>
        <w:ind w:firstLine="540"/>
        <w:jc w:val="both"/>
      </w:pPr>
      <w:r>
        <w:rPr>
          <w:sz w:val="24"/>
        </w:rPr>
        <w:t xml:space="preserve">3.13 электропроводка систем противопожарной защиты (электропроводка СПЗ): Электропроводка, в том числе слаботочной системы, сохраняющая свою работоспособность в условиях пожара в течение времени, необходимого для выполнения своих функций подразделениями пожарной охраны, системами пожарной сигнализации, оповещения и управления эвакуацией людей при пожаре, аварийного освещения на путях эвакуации,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tbl>
      <w:tblPr>
        <w:tblInd w:w="0" w:type="dxa"/>
        <w:tblLayout w:type="fixed"/>
        <w:tblCellMar>
          <w:top w:w="102" w:type="dxa"/>
          <w:left w:w="62" w:type="dxa"/>
          <w:bottom w:w="102" w:type="dxa"/>
          <w:right w:w="62" w:type="dxa"/>
        </w:tblCellMar>
      </w:tblPr>
      <w:tblGrid>
        <w:gridCol w:w="2192"/>
        <w:gridCol w:w="340"/>
        <w:gridCol w:w="6522"/>
      </w:tblGrid>
      <w:tr>
        <w:tc>
          <w:tcPr>
            <w:tcW w:w="2192" w:type="dxa"/>
            <w:tcBorders>
              <w:top w:val="nil"/>
              <w:left w:val="nil"/>
              <w:bottom w:val="nil"/>
              <w:right w:val="nil"/>
            </w:tcBorders>
          </w:tcPr>
          <w:p>
            <w:pPr>
              <w:pStyle w:val="0"/>
            </w:pPr>
            <w:r>
              <w:rPr>
                <w:sz w:val="24"/>
              </w:rPr>
              <w:t xml:space="preserve">АВР</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Автоматический ввод резерва</w:t>
            </w:r>
          </w:p>
        </w:tc>
      </w:tr>
      <w:tr>
        <w:tc>
          <w:tcPr>
            <w:tcW w:w="2192" w:type="dxa"/>
            <w:tcBorders>
              <w:top w:val="nil"/>
              <w:left w:val="nil"/>
              <w:bottom w:val="nil"/>
              <w:right w:val="nil"/>
            </w:tcBorders>
          </w:tcPr>
          <w:p>
            <w:pPr>
              <w:pStyle w:val="0"/>
            </w:pPr>
            <w:r>
              <w:rPr>
                <w:sz w:val="24"/>
              </w:rPr>
              <w:t xml:space="preserve">АКБ</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Аккумуляторная батарея</w:t>
            </w:r>
          </w:p>
        </w:tc>
      </w:tr>
      <w:tr>
        <w:tc>
          <w:tcPr>
            <w:tcW w:w="2192" w:type="dxa"/>
            <w:tcBorders>
              <w:top w:val="nil"/>
              <w:left w:val="nil"/>
              <w:bottom w:val="nil"/>
              <w:right w:val="nil"/>
            </w:tcBorders>
          </w:tcPr>
          <w:p>
            <w:pPr>
              <w:pStyle w:val="0"/>
            </w:pPr>
            <w:r>
              <w:rPr>
                <w:sz w:val="24"/>
              </w:rPr>
              <w:t xml:space="preserve">АИП</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Автономный источник питания</w:t>
            </w:r>
          </w:p>
        </w:tc>
      </w:tr>
      <w:tr>
        <w:tc>
          <w:tcPr>
            <w:tcW w:w="2192" w:type="dxa"/>
            <w:tcBorders>
              <w:top w:val="nil"/>
              <w:left w:val="nil"/>
              <w:bottom w:val="nil"/>
              <w:right w:val="nil"/>
            </w:tcBorders>
          </w:tcPr>
          <w:p>
            <w:pPr>
              <w:pStyle w:val="0"/>
            </w:pPr>
            <w:r>
              <w:rPr>
                <w:sz w:val="24"/>
              </w:rPr>
              <w:t xml:space="preserve">АПС</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Автоматическая пожарная сигнализация</w:t>
            </w:r>
          </w:p>
        </w:tc>
      </w:tr>
      <w:tr>
        <w:tc>
          <w:tcPr>
            <w:tcW w:w="2192" w:type="dxa"/>
            <w:tcBorders>
              <w:top w:val="nil"/>
              <w:left w:val="nil"/>
              <w:bottom w:val="nil"/>
              <w:right w:val="nil"/>
            </w:tcBorders>
          </w:tcPr>
          <w:p>
            <w:pPr>
              <w:pStyle w:val="0"/>
            </w:pPr>
            <w:r>
              <w:rPr>
                <w:sz w:val="24"/>
              </w:rPr>
              <w:t xml:space="preserve">ВРУ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Вводно-распределительное устройство</w:t>
            </w:r>
          </w:p>
        </w:tc>
      </w:tr>
      <w:tr>
        <w:tc>
          <w:tcPr>
            <w:tcW w:w="2192" w:type="dxa"/>
            <w:tcBorders>
              <w:top w:val="nil"/>
              <w:left w:val="nil"/>
              <w:bottom w:val="nil"/>
              <w:right w:val="nil"/>
            </w:tcBorders>
          </w:tcPr>
          <w:p>
            <w:pPr>
              <w:pStyle w:val="0"/>
            </w:pPr>
            <w:r>
              <w:rPr>
                <w:sz w:val="24"/>
              </w:rPr>
              <w:t xml:space="preserve">ГРЩ</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Главный распределительный щит</w:t>
            </w:r>
          </w:p>
        </w:tc>
      </w:tr>
      <w:tr>
        <w:tc>
          <w:tcPr>
            <w:tcW w:w="2192" w:type="dxa"/>
            <w:tcBorders>
              <w:top w:val="nil"/>
              <w:left w:val="nil"/>
              <w:bottom w:val="nil"/>
              <w:right w:val="nil"/>
            </w:tcBorders>
          </w:tcPr>
          <w:p>
            <w:pPr>
              <w:pStyle w:val="0"/>
            </w:pPr>
            <w:r>
              <w:rPr>
                <w:sz w:val="24"/>
              </w:rPr>
              <w:t xml:space="preserve">НКУ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Низковольтное комплектное устройство</w:t>
            </w:r>
          </w:p>
        </w:tc>
      </w:tr>
      <w:tr>
        <w:tc>
          <w:tcPr>
            <w:tcW w:w="2192" w:type="dxa"/>
            <w:tcBorders>
              <w:top w:val="nil"/>
              <w:left w:val="nil"/>
              <w:bottom w:val="nil"/>
              <w:right w:val="nil"/>
            </w:tcBorders>
          </w:tcPr>
          <w:p>
            <w:pPr>
              <w:pStyle w:val="0"/>
            </w:pPr>
            <w:r>
              <w:rPr>
                <w:sz w:val="24"/>
              </w:rPr>
              <w:t xml:space="preserve">ППКП</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Прибор приемно-контрольный пожарный</w:t>
            </w:r>
          </w:p>
        </w:tc>
      </w:tr>
      <w:tr>
        <w:tc>
          <w:tcPr>
            <w:tcW w:w="2192" w:type="dxa"/>
            <w:tcBorders>
              <w:top w:val="nil"/>
              <w:left w:val="nil"/>
              <w:bottom w:val="nil"/>
              <w:right w:val="nil"/>
            </w:tcBorders>
          </w:tcPr>
          <w:p>
            <w:pPr>
              <w:pStyle w:val="0"/>
            </w:pPr>
            <w:r>
              <w:rPr>
                <w:sz w:val="24"/>
              </w:rPr>
              <w:t xml:space="preserve">ППУ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Прибор пожарный управления</w:t>
            </w:r>
          </w:p>
        </w:tc>
      </w:tr>
      <w:tr>
        <w:tc>
          <w:tcPr>
            <w:tcW w:w="2192" w:type="dxa"/>
            <w:tcBorders>
              <w:top w:val="nil"/>
              <w:left w:val="nil"/>
              <w:bottom w:val="nil"/>
              <w:right w:val="nil"/>
            </w:tcBorders>
          </w:tcPr>
          <w:p>
            <w:pPr>
              <w:pStyle w:val="0"/>
            </w:pPr>
            <w:r>
              <w:rPr>
                <w:sz w:val="24"/>
              </w:rPr>
              <w:t xml:space="preserve">Панель ПЭСПЗ</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Панель питания электрооборудования системы противопожарной защиты</w:t>
            </w:r>
          </w:p>
        </w:tc>
      </w:tr>
      <w:tr>
        <w:tc>
          <w:tcPr>
            <w:tcW w:w="2192" w:type="dxa"/>
            <w:tcBorders>
              <w:top w:val="nil"/>
              <w:left w:val="nil"/>
              <w:bottom w:val="nil"/>
              <w:right w:val="nil"/>
            </w:tcBorders>
          </w:tcPr>
          <w:p>
            <w:pPr>
              <w:pStyle w:val="0"/>
            </w:pPr>
            <w:r>
              <w:rPr>
                <w:sz w:val="24"/>
              </w:rPr>
              <w:t xml:space="preserve">СБС</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Связанная с безопасностью система</w:t>
            </w:r>
          </w:p>
        </w:tc>
      </w:tr>
      <w:tr>
        <w:tc>
          <w:tcPr>
            <w:tcW w:w="2192" w:type="dxa"/>
            <w:vAlign w:val="bottom"/>
            <w:tcBorders>
              <w:top w:val="nil"/>
              <w:left w:val="nil"/>
              <w:bottom w:val="nil"/>
              <w:right w:val="nil"/>
            </w:tcBorders>
          </w:tcPr>
          <w:p>
            <w:pPr>
              <w:pStyle w:val="0"/>
            </w:pPr>
            <w:r>
              <w:rPr>
                <w:sz w:val="24"/>
              </w:rPr>
              <w:t xml:space="preserve">СКУД</w:t>
            </w:r>
          </w:p>
        </w:tc>
        <w:tc>
          <w:tcPr>
            <w:tcW w:w="340" w:type="dxa"/>
            <w:tcBorders>
              <w:top w:val="nil"/>
              <w:left w:val="nil"/>
              <w:bottom w:val="nil"/>
              <w:right w:val="nil"/>
            </w:tcBorders>
          </w:tcPr>
          <w:p>
            <w:pPr>
              <w:pStyle w:val="0"/>
              <w:jc w:val="both"/>
            </w:pPr>
            <w:r>
              <w:rPr>
                <w:sz w:val="24"/>
              </w:rPr>
              <w:t xml:space="preserve">-</w:t>
            </w:r>
          </w:p>
        </w:tc>
        <w:tc>
          <w:tcPr>
            <w:tcW w:w="6522" w:type="dxa"/>
            <w:vAlign w:val="bottom"/>
            <w:tcBorders>
              <w:top w:val="nil"/>
              <w:left w:val="nil"/>
              <w:bottom w:val="nil"/>
              <w:right w:val="nil"/>
            </w:tcBorders>
          </w:tcPr>
          <w:p>
            <w:pPr>
              <w:pStyle w:val="0"/>
            </w:pPr>
            <w:r>
              <w:rPr>
                <w:sz w:val="24"/>
              </w:rPr>
              <w:t xml:space="preserve">Система контроля и управления доступом</w:t>
            </w:r>
          </w:p>
        </w:tc>
      </w:tr>
      <w:tr>
        <w:tc>
          <w:tcPr>
            <w:tcW w:w="2192" w:type="dxa"/>
            <w:tcBorders>
              <w:top w:val="nil"/>
              <w:left w:val="nil"/>
              <w:bottom w:val="nil"/>
              <w:right w:val="nil"/>
            </w:tcBorders>
          </w:tcPr>
          <w:p>
            <w:pPr>
              <w:pStyle w:val="0"/>
            </w:pPr>
            <w:r>
              <w:rPr>
                <w:sz w:val="24"/>
              </w:rPr>
              <w:t xml:space="preserve">СОУЭ</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Система оповещения и управления эвакуацией</w:t>
            </w:r>
          </w:p>
        </w:tc>
      </w:tr>
      <w:tr>
        <w:tc>
          <w:tcPr>
            <w:tcW w:w="2192" w:type="dxa"/>
            <w:tcBorders>
              <w:top w:val="nil"/>
              <w:left w:val="nil"/>
              <w:bottom w:val="nil"/>
              <w:right w:val="nil"/>
            </w:tcBorders>
          </w:tcPr>
          <w:p>
            <w:pPr>
              <w:pStyle w:val="0"/>
            </w:pPr>
            <w:r>
              <w:rPr>
                <w:sz w:val="24"/>
              </w:rPr>
              <w:t xml:space="preserve">СПЗ</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Система противопожарной защиты</w:t>
            </w:r>
          </w:p>
        </w:tc>
      </w:tr>
      <w:tr>
        <w:tc>
          <w:tcPr>
            <w:tcW w:w="2192" w:type="dxa"/>
            <w:vAlign w:val="bottom"/>
            <w:tcBorders>
              <w:top w:val="nil"/>
              <w:left w:val="nil"/>
              <w:bottom w:val="nil"/>
              <w:right w:val="nil"/>
            </w:tcBorders>
          </w:tcPr>
          <w:p>
            <w:pPr>
              <w:pStyle w:val="0"/>
            </w:pPr>
            <w:r>
              <w:rPr>
                <w:sz w:val="24"/>
              </w:rPr>
              <w:t xml:space="preserve">ТД</w:t>
            </w:r>
          </w:p>
        </w:tc>
        <w:tc>
          <w:tcPr>
            <w:tcW w:w="340" w:type="dxa"/>
            <w:tcBorders>
              <w:top w:val="nil"/>
              <w:left w:val="nil"/>
              <w:bottom w:val="nil"/>
              <w:right w:val="nil"/>
            </w:tcBorders>
          </w:tcPr>
          <w:p>
            <w:pPr>
              <w:pStyle w:val="0"/>
              <w:jc w:val="both"/>
            </w:pPr>
            <w:r>
              <w:rPr>
                <w:sz w:val="24"/>
              </w:rPr>
              <w:t xml:space="preserve">-</w:t>
            </w:r>
          </w:p>
        </w:tc>
        <w:tc>
          <w:tcPr>
            <w:tcW w:w="6522" w:type="dxa"/>
            <w:vAlign w:val="bottom"/>
            <w:tcBorders>
              <w:top w:val="nil"/>
              <w:left w:val="nil"/>
              <w:bottom w:val="nil"/>
              <w:right w:val="nil"/>
            </w:tcBorders>
          </w:tcPr>
          <w:p>
            <w:pPr>
              <w:pStyle w:val="0"/>
            </w:pPr>
            <w:r>
              <w:rPr>
                <w:sz w:val="24"/>
              </w:rPr>
              <w:t xml:space="preserve">Техническая документация</w:t>
            </w:r>
          </w:p>
        </w:tc>
      </w:tr>
    </w:tbl>
    <w:p>
      <w:pPr>
        <w:pStyle w:val="0"/>
        <w:jc w:val="both"/>
      </w:pPr>
      <w:r>
        <w:rPr>
          <w:sz w:val="24"/>
        </w:rPr>
      </w:r>
    </w:p>
    <w:p>
      <w:pPr>
        <w:pStyle w:val="2"/>
        <w:outlineLvl w:val="1"/>
        <w:ind w:firstLine="540"/>
        <w:jc w:val="both"/>
      </w:pPr>
      <w:r>
        <w:rPr>
          <w:sz w:val="24"/>
        </w:rPr>
        <w:t xml:space="preserve">5 Требования к питанию электроприемников СПЗ</w:t>
      </w:r>
    </w:p>
    <w:p>
      <w:pPr>
        <w:pStyle w:val="0"/>
        <w:jc w:val="both"/>
      </w:pPr>
      <w:r>
        <w:rPr>
          <w:sz w:val="24"/>
        </w:rPr>
      </w:r>
    </w:p>
    <w:p>
      <w:pPr>
        <w:pStyle w:val="0"/>
        <w:ind w:firstLine="540"/>
        <w:jc w:val="both"/>
      </w:pPr>
      <w:r>
        <w:rPr>
          <w:sz w:val="24"/>
        </w:rPr>
        <w:t xml:space="preserve">5.1 Электроприемники СПЗ должны относиться к первой категории по надежности электроснабжения, кроме электроприемников СПЗ, установленных в зданиях класса функциональной пожарной опасности Ф1.1 с круглосуточным пребыванием людей, для которых должны предусматриваться автономные резервные источники электроснабжения.</w:t>
      </w:r>
    </w:p>
    <w:bookmarkStart w:id="157" w:name="P157"/>
    <w:bookmarkEnd w:id="157"/>
    <w:p>
      <w:pPr>
        <w:pStyle w:val="0"/>
        <w:spacing w:before="240" w:lineRule="auto"/>
        <w:ind w:firstLine="540"/>
        <w:jc w:val="both"/>
      </w:pPr>
      <w:r>
        <w:rPr>
          <w:sz w:val="24"/>
        </w:rPr>
        <w:t xml:space="preserve">5.2 На объектах, электроприемники которых отнесены к первой категории по надежности электроснабжения, питание электроприемников СПЗ должно осуществляться от панели ПЭСПЗ.</w:t>
      </w:r>
    </w:p>
    <w:p>
      <w:pPr>
        <w:pStyle w:val="0"/>
        <w:spacing w:before="240" w:lineRule="auto"/>
        <w:ind w:firstLine="540"/>
        <w:jc w:val="both"/>
      </w:pPr>
      <w:r>
        <w:rPr>
          <w:sz w:val="24"/>
        </w:rPr>
        <w:t xml:space="preserve">При отсутствии панели ПЭСПЗ на объекте защиты допускается выполнять питание электрооборудования СПЗ от самостоятельного НКУ с АВР, при этом самостоятельное НКУ с АВР должно подключаться после аппарата управления и до аппарата защиты ВРУ, ГРЩ или НКУ здания.</w:t>
      </w:r>
    </w:p>
    <w:p>
      <w:pPr>
        <w:pStyle w:val="0"/>
        <w:spacing w:before="240" w:lineRule="auto"/>
        <w:ind w:firstLine="540"/>
        <w:jc w:val="both"/>
      </w:pPr>
      <w:r>
        <w:rPr>
          <w:sz w:val="24"/>
        </w:rPr>
        <w:t xml:space="preserve">5.3 На объектах, электроприемники которых отнесены ко второй категории по надежности электроснабжения, питание электроприемников СПЗ должно осуществляться от самостоятельного НКУ с АВР, которое должно подключаться после аппарата управления и до аппарата защиты ВРУ, ГРЩ или НКУ здания.</w:t>
      </w:r>
    </w:p>
    <w:bookmarkStart w:id="160" w:name="P160"/>
    <w:bookmarkEnd w:id="160"/>
    <w:p>
      <w:pPr>
        <w:pStyle w:val="0"/>
        <w:spacing w:before="240" w:lineRule="auto"/>
        <w:ind w:firstLine="540"/>
        <w:jc w:val="both"/>
      </w:pPr>
      <w:r>
        <w:rPr>
          <w:sz w:val="24"/>
        </w:rPr>
        <w:t xml:space="preserve">5.4 На объектах, электроприемники которых отнесены к третьей категории по надежности электроснабжения, питание электроприемников СПЗ должно осуществляться от самостоятельного НКУ, которое должно подключаться после аппарата управления и до аппарата защиты ВРУ, ГРЩ или НКУ здания, при этом резервное питание следует осуществлять от АИП.</w:t>
      </w:r>
    </w:p>
    <w:p>
      <w:pPr>
        <w:pStyle w:val="0"/>
        <w:spacing w:before="240" w:lineRule="auto"/>
        <w:ind w:firstLine="540"/>
        <w:jc w:val="both"/>
      </w:pPr>
      <w:r>
        <w:rPr>
          <w:sz w:val="24"/>
        </w:rPr>
        <w:t xml:space="preserve">В качестве АИП могут применяться АКБ достаточной емкости для обеспечения непрерывного питания в течение времени, необходимого для выполнения своих функций электрооборудованием СПЗ на объекте защиты. Расчет емкости АКБ для функционирования СПЗ при прекращении электроснабжения от самостоятельного НКУ может быть выполнен в соответствии с </w:t>
      </w:r>
      <w:hyperlink w:history="0" w:anchor="P202" w:tooltip="РАСЧЕТ">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Эксплуатация АКБ должна выполняться в условиях согласно ТД на АКБ.</w:t>
      </w:r>
    </w:p>
    <w:p>
      <w:pPr>
        <w:pStyle w:val="0"/>
        <w:spacing w:before="240" w:lineRule="auto"/>
        <w:ind w:firstLine="540"/>
        <w:jc w:val="both"/>
      </w:pPr>
      <w:r>
        <w:rPr>
          <w:sz w:val="24"/>
        </w:rPr>
        <w:t xml:space="preserve">5.5 Самостоятельные НКУ для питания электроприемников СПЗ, как правило, должны размещаться в непосредственной близости от ВРУ здания (в одном помещении), за исключением удаленных электроприемников СПЗ.</w:t>
      </w:r>
    </w:p>
    <w:p>
      <w:pPr>
        <w:pStyle w:val="0"/>
        <w:spacing w:before="240" w:lineRule="auto"/>
        <w:ind w:firstLine="540"/>
        <w:jc w:val="both"/>
      </w:pPr>
      <w:r>
        <w:rPr>
          <w:sz w:val="24"/>
        </w:rPr>
        <w:t xml:space="preserve">Места установки самостоятельных НКУ для удаленных электроприемников СПЗ выбираются в зависимости от их взаимного расположения, условий эксплуатации и способов прокладки питающих линий.</w:t>
      </w:r>
    </w:p>
    <w:p>
      <w:pPr>
        <w:pStyle w:val="0"/>
        <w:spacing w:before="240" w:lineRule="auto"/>
        <w:ind w:firstLine="540"/>
        <w:jc w:val="both"/>
      </w:pPr>
      <w:r>
        <w:rPr>
          <w:sz w:val="24"/>
        </w:rPr>
        <w:t xml:space="preserve">5.6 Высота установки аппаратов защиты и управления в самостоятельных НКУ, а также панелях ПЭСПЗ жилых и общественных зданий должна приниматься равной от 0,8 до 1,8 м от уровня пола помещения, в котором они размещены.</w:t>
      </w:r>
    </w:p>
    <w:p>
      <w:pPr>
        <w:pStyle w:val="0"/>
        <w:spacing w:before="240" w:lineRule="auto"/>
        <w:ind w:firstLine="540"/>
        <w:jc w:val="both"/>
      </w:pPr>
      <w:r>
        <w:rPr>
          <w:sz w:val="24"/>
        </w:rPr>
        <w:t xml:space="preserve">5.7 Подключение электроприемников, не относящихся к СПЗ объекта, к панели ПЭСПЗ и самостоятельным НКУ, за исключением СБС, не допускается.</w:t>
      </w:r>
    </w:p>
    <w:p>
      <w:pPr>
        <w:pStyle w:val="0"/>
        <w:spacing w:before="240" w:lineRule="auto"/>
        <w:ind w:firstLine="540"/>
        <w:jc w:val="both"/>
      </w:pPr>
      <w:r>
        <w:rPr>
          <w:sz w:val="24"/>
        </w:rPr>
        <w:t xml:space="preserve">5.8 При наличии на объекте защиты двух и более пожарных отсеков различных классов функциональной пожарной опасности питание электроприемников СПЗ должно осуществляться от самостоятельного НКУ с АВР, расположенного в каждом пожарном отсеке.</w:t>
      </w:r>
    </w:p>
    <w:p>
      <w:pPr>
        <w:pStyle w:val="0"/>
        <w:spacing w:before="240" w:lineRule="auto"/>
        <w:ind w:firstLine="540"/>
        <w:jc w:val="both"/>
      </w:pPr>
      <w:r>
        <w:rPr>
          <w:sz w:val="24"/>
        </w:rPr>
        <w:t xml:space="preserve">5.9 При наличии на объекте защиты СБС питание данных электроприемников должно осуществлялся от панели ПЭСПЗ или самостоятельного НКУ согласно </w:t>
      </w:r>
      <w:hyperlink w:history="0" w:anchor="P157" w:tooltip="5.2 На объектах, электроприемники которых отнесены к первой категории по надежности электроснабжения, питание электроприемников СПЗ должно осуществляться от панели ПЭСПЗ.">
        <w:r>
          <w:rPr>
            <w:sz w:val="24"/>
            <w:color w:val="0000ff"/>
          </w:rPr>
          <w:t xml:space="preserve">п. 5.2</w:t>
        </w:r>
      </w:hyperlink>
      <w:r>
        <w:rPr>
          <w:sz w:val="24"/>
        </w:rPr>
        <w:t xml:space="preserve"> - </w:t>
      </w:r>
      <w:hyperlink w:history="0" w:anchor="P160" w:tooltip="5.4 На объектах, электроприемники которых отнесены к третьей категории по надежности электроснабжения, питание электроприемников СПЗ должно осуществляться от самостоятельного НКУ, которое должно подключаться после аппарата управления и до аппарата защиты ВРУ, ГРЩ или НКУ здания, при этом резервное питание следует осуществлять от АИП.">
        <w:r>
          <w:rPr>
            <w:sz w:val="24"/>
            <w:color w:val="0000ff"/>
          </w:rPr>
          <w:t xml:space="preserve">5.4</w:t>
        </w:r>
      </w:hyperlink>
      <w:r>
        <w:rPr>
          <w:sz w:val="24"/>
        </w:rPr>
        <w:t xml:space="preserve">.</w:t>
      </w:r>
    </w:p>
    <w:p>
      <w:pPr>
        <w:pStyle w:val="0"/>
        <w:spacing w:before="240" w:lineRule="auto"/>
        <w:ind w:firstLine="540"/>
        <w:jc w:val="both"/>
      </w:pPr>
      <w:r>
        <w:rPr>
          <w:sz w:val="24"/>
        </w:rPr>
        <w:t xml:space="preserve">5.10 Фасадная часть панели ПЭСПЗ или самостоятельного НКУ должна иметь отличительную окраску (красную) и табличку с маркировкой "Не отключать! Питание систем противопожарной защиты!".</w:t>
      </w:r>
    </w:p>
    <w:p>
      <w:pPr>
        <w:pStyle w:val="0"/>
        <w:spacing w:before="240" w:lineRule="auto"/>
        <w:ind w:firstLine="540"/>
        <w:jc w:val="both"/>
      </w:pPr>
      <w:r>
        <w:rPr>
          <w:sz w:val="24"/>
        </w:rPr>
        <w:t xml:space="preserve">5.11 В цепях питания двигателей установок водяного пожаротушения должны применяться автоматические выключатели с характеристикой "Д", а для двигателей вентиляторов противодымной вентиляции должны применяться автоматические выключатели с характеристикой "МА" (без теплового расцепителя).</w:t>
      </w:r>
    </w:p>
    <w:p>
      <w:pPr>
        <w:pStyle w:val="0"/>
        <w:spacing w:before="240" w:lineRule="auto"/>
        <w:ind w:firstLine="540"/>
        <w:jc w:val="both"/>
      </w:pPr>
      <w:r>
        <w:rPr>
          <w:sz w:val="24"/>
        </w:rPr>
        <w:t xml:space="preserve">5.12 В цепях питания электроприемников СПЗ установка устройств защиты, управляемых дифференциальным током, и устройств защиты от дугового пробоя, в том числе установка этих устройств, конструктивно совмещенных с автоматическими выключателями, не допускается.</w:t>
      </w:r>
    </w:p>
    <w:p>
      <w:pPr>
        <w:pStyle w:val="0"/>
        <w:jc w:val="both"/>
      </w:pPr>
      <w:r>
        <w:rPr>
          <w:sz w:val="24"/>
        </w:rPr>
      </w:r>
    </w:p>
    <w:p>
      <w:pPr>
        <w:pStyle w:val="2"/>
        <w:outlineLvl w:val="1"/>
        <w:ind w:firstLine="540"/>
        <w:jc w:val="both"/>
      </w:pPr>
      <w:r>
        <w:rPr>
          <w:sz w:val="24"/>
        </w:rPr>
        <w:t xml:space="preserve">6 Требования к электрооборудованию СПЗ</w:t>
      </w:r>
    </w:p>
    <w:p>
      <w:pPr>
        <w:pStyle w:val="0"/>
        <w:jc w:val="both"/>
      </w:pPr>
      <w:r>
        <w:rPr>
          <w:sz w:val="24"/>
        </w:rPr>
      </w:r>
    </w:p>
    <w:p>
      <w:pPr>
        <w:pStyle w:val="0"/>
        <w:ind w:firstLine="540"/>
        <w:jc w:val="both"/>
      </w:pPr>
      <w:r>
        <w:rPr>
          <w:sz w:val="24"/>
        </w:rPr>
        <w:t xml:space="preserve">6.1 Панели ПЭСПЗ, самостоятельные НКУ, а также ВРУ, ГРЩ, НКУ и другое электрооборудование, обеспечивающее электрическую связь источника питания с исполнительными устройствами (электроприемниками СПЗ), следует применять в соответствии с требованиями государственных стандартов, ТД, а также с учетом климатических, механических и других воздействий в местах их размещения.</w:t>
      </w:r>
    </w:p>
    <w:p>
      <w:pPr>
        <w:pStyle w:val="0"/>
        <w:spacing w:before="240" w:lineRule="auto"/>
        <w:ind w:firstLine="540"/>
        <w:jc w:val="both"/>
      </w:pPr>
      <w:r>
        <w:rPr>
          <w:sz w:val="24"/>
        </w:rPr>
        <w:t xml:space="preserve">6.2 Электропроводки СПЗ, в том числе линии слаботочных систем, должны выполняться огнестойкими, не распространяющими горение кабелями с медными жилами.</w:t>
      </w:r>
    </w:p>
    <w:p>
      <w:pPr>
        <w:pStyle w:val="0"/>
        <w:spacing w:before="240" w:lineRule="auto"/>
        <w:ind w:firstLine="540"/>
        <w:jc w:val="both"/>
      </w:pPr>
      <w:r>
        <w:rPr>
          <w:sz w:val="24"/>
        </w:rPr>
        <w:t xml:space="preserve">Волоконно-оптические линии связи СПЗ должны выполняться огнестойкими, не распространяющими горение кабелями.</w:t>
      </w:r>
    </w:p>
    <w:p>
      <w:pPr>
        <w:pStyle w:val="0"/>
        <w:spacing w:before="240" w:lineRule="auto"/>
        <w:ind w:firstLine="540"/>
        <w:jc w:val="both"/>
      </w:pPr>
      <w:r>
        <w:rPr>
          <w:sz w:val="24"/>
        </w:rPr>
        <w:t xml:space="preserve">Допускается выполнять электропроводки СПЗ шинопроводами с медными и алюминиевыми шинами.</w:t>
      </w:r>
    </w:p>
    <w:bookmarkStart w:id="179" w:name="P179"/>
    <w:bookmarkEnd w:id="179"/>
    <w:p>
      <w:pPr>
        <w:pStyle w:val="0"/>
        <w:spacing w:before="240" w:lineRule="auto"/>
        <w:ind w:firstLine="540"/>
        <w:jc w:val="both"/>
      </w:pPr>
      <w:r>
        <w:rPr>
          <w:sz w:val="24"/>
        </w:rPr>
        <w:t xml:space="preserve">6.3 Электропроводки СПЗ допускается выполнять неогнестойкими кабелями (без индекса "FR") в:</w:t>
      </w:r>
    </w:p>
    <w:p>
      <w:pPr>
        <w:pStyle w:val="0"/>
        <w:spacing w:before="240" w:lineRule="auto"/>
        <w:ind w:firstLine="540"/>
        <w:jc w:val="both"/>
      </w:pPr>
      <w:r>
        <w:rPr>
          <w:sz w:val="24"/>
        </w:rPr>
        <w:t xml:space="preserve">безадресных линиях связи с неадресными пожарными извещателями СПС;</w:t>
      </w:r>
    </w:p>
    <w:p>
      <w:pPr>
        <w:pStyle w:val="0"/>
        <w:spacing w:before="240" w:lineRule="auto"/>
        <w:ind w:firstLine="540"/>
        <w:jc w:val="both"/>
      </w:pPr>
      <w:r>
        <w:rPr>
          <w:sz w:val="24"/>
        </w:rPr>
        <w:t xml:space="preserve">кольцевых линиях связи при подключении в них изоляторов короткого замыкания;</w:t>
      </w:r>
    </w:p>
    <w:p>
      <w:pPr>
        <w:pStyle w:val="0"/>
        <w:spacing w:before="240" w:lineRule="auto"/>
        <w:ind w:firstLine="540"/>
        <w:jc w:val="both"/>
      </w:pPr>
      <w:r>
        <w:rPr>
          <w:sz w:val="24"/>
        </w:rPr>
        <w:t xml:space="preserve">кольцевых волоконно-оптических линиях связи;</w:t>
      </w:r>
    </w:p>
    <w:p>
      <w:pPr>
        <w:pStyle w:val="0"/>
        <w:spacing w:before="240" w:lineRule="auto"/>
        <w:ind w:firstLine="540"/>
        <w:jc w:val="both"/>
      </w:pPr>
      <w:r>
        <w:rPr>
          <w:sz w:val="24"/>
        </w:rPr>
        <w:t xml:space="preserve">цепях управления и контроля противопожарными нормально открытыми клапанами (НО), входящими в состав общеобменной вентиляции;</w:t>
      </w:r>
    </w:p>
    <w:p>
      <w:pPr>
        <w:pStyle w:val="0"/>
        <w:spacing w:before="240" w:lineRule="auto"/>
        <w:ind w:firstLine="540"/>
        <w:jc w:val="both"/>
      </w:pPr>
      <w:r>
        <w:rPr>
          <w:sz w:val="24"/>
        </w:rPr>
        <w:t xml:space="preserve">цепях питания светильников аварийного освещения со встроенными АИП (например, АКБ) и иными накопителями энергии, обеспечивающими работу светильников на путях эвакуации продолжительностью не менее 1 часа в режиме "Пожар";</w:t>
      </w:r>
    </w:p>
    <w:p>
      <w:pPr>
        <w:pStyle w:val="0"/>
        <w:spacing w:before="240" w:lineRule="auto"/>
        <w:ind w:firstLine="540"/>
        <w:jc w:val="both"/>
      </w:pPr>
      <w:r>
        <w:rPr>
          <w:sz w:val="24"/>
        </w:rPr>
        <w:t xml:space="preserve">линиях, прокладываемых в огнестойких коробах, сохраняющих работоспособность электропроводок СПЗ в условиях пожара в течение времени, необходимого для выполнения их функций;</w:t>
      </w:r>
    </w:p>
    <w:p>
      <w:pPr>
        <w:pStyle w:val="0"/>
        <w:spacing w:before="240" w:lineRule="auto"/>
        <w:ind w:firstLine="540"/>
        <w:jc w:val="both"/>
      </w:pPr>
      <w:r>
        <w:rPr>
          <w:sz w:val="24"/>
        </w:rPr>
        <w:t xml:space="preserve">линиях электропитания ППКП и ППУ, имеющих резервный ввод от встроенных АИП (АКБ).</w:t>
      </w:r>
    </w:p>
    <w:p>
      <w:pPr>
        <w:pStyle w:val="0"/>
        <w:spacing w:before="240" w:lineRule="auto"/>
        <w:ind w:firstLine="540"/>
        <w:jc w:val="both"/>
      </w:pPr>
      <w:r>
        <w:rPr>
          <w:sz w:val="24"/>
        </w:rPr>
        <w:t xml:space="preserve">6.4 Работоспособность электропроводок СПЗ в условиях пожара обеспечивается выбором типа исполнения кабелей в соответствии с </w:t>
      </w:r>
      <w:hyperlink w:history="0" r:id="rId3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(за исключением электропроводок по </w:t>
      </w:r>
      <w:hyperlink w:history="0" w:anchor="P179" w:tooltip="6.3 Электропроводки СПЗ допускается выполнять неогнестойкими кабелями (без индекса &quot;FR&quot;) в:">
        <w:r>
          <w:rPr>
            <w:sz w:val="24"/>
            <w:color w:val="0000ff"/>
          </w:rPr>
          <w:t xml:space="preserve">6.3</w:t>
        </w:r>
      </w:hyperlink>
      <w:r>
        <w:rPr>
          <w:sz w:val="24"/>
        </w:rPr>
        <w:t xml:space="preserve"> настоящего свода правил) и способом их прокладки.</w:t>
      </w:r>
    </w:p>
    <w:p>
      <w:pPr>
        <w:pStyle w:val="0"/>
        <w:spacing w:before="240" w:lineRule="auto"/>
        <w:ind w:firstLine="540"/>
        <w:jc w:val="both"/>
      </w:pPr>
      <w:r>
        <w:rPr>
          <w:sz w:val="24"/>
        </w:rPr>
        <w:t xml:space="preserve">6.5 Время работоспособности электропроводки в условиях пожара определяется в соответствии с </w:t>
      </w:r>
      <w:hyperlink w:history="0" r:id="rId34" w:tooltip="&quot;ГОСТ Р 53316-2009. Национальный стандарт Российской Федерации. Кабельные линии. Сохранение работоспособности в условиях пожара. Метод испытания&quot; (утв. и введен в действие Приказом Ростехрегулирования от 18.02.2009 N 92-ст) ------------ Утратил силу или отменен {КонсультантПлюс}">
        <w:r>
          <w:rPr>
            <w:sz w:val="24"/>
            <w:color w:val="0000ff"/>
          </w:rPr>
          <w:t xml:space="preserve">ГОСТ Р 53316</w:t>
        </w:r>
      </w:hyperlink>
      <w:r>
        <w:rPr>
          <w:sz w:val="24"/>
        </w:rPr>
        <w:t xml:space="preserve">.</w:t>
      </w:r>
    </w:p>
    <w:p>
      <w:pPr>
        <w:pStyle w:val="0"/>
        <w:spacing w:before="240" w:lineRule="auto"/>
        <w:ind w:firstLine="540"/>
        <w:jc w:val="both"/>
      </w:pPr>
      <w:r>
        <w:rPr>
          <w:sz w:val="24"/>
        </w:rPr>
        <w:t xml:space="preserve">6.6 Совместная прокладка кабелей и проводов СПЗ с кабелями и проводами иного назначения, а также кабелей питания СПЗ и кабелей линий связи СПЗ в одном коробе, трубе, жгуте, замкнутом канале строительной конструкции не допускается.</w:t>
      </w:r>
    </w:p>
    <w:p>
      <w:pPr>
        <w:pStyle w:val="0"/>
        <w:spacing w:before="240" w:lineRule="auto"/>
        <w:ind w:firstLine="540"/>
        <w:jc w:val="both"/>
      </w:pPr>
      <w:r>
        <w:rPr>
          <w:sz w:val="24"/>
        </w:rPr>
        <w:t xml:space="preserve">В одном сплошном металлическом коробе (лотке) допускается совместно прокладывать экранированные кабели линий связи СПЗ с линиями связи, не относящимися к СПЗ, и экранированные кабели линий связи СПЗ с экранированными кабелями питания СПЗ при условии их разделения, в указанных случаях, сплошной металлической перегородкой по всей высоте короба (лотка).</w:t>
      </w:r>
    </w:p>
    <w:p>
      <w:pPr>
        <w:pStyle w:val="0"/>
        <w:spacing w:before="240" w:lineRule="auto"/>
        <w:ind w:firstLine="540"/>
        <w:jc w:val="both"/>
      </w:pPr>
      <w:r>
        <w:rPr>
          <w:sz w:val="24"/>
        </w:rPr>
        <w:t xml:space="preserve">6.7 Не допускается использование двух и более пар жил одного кабеля или провода для реализации кольцевой линии связи.</w:t>
      </w:r>
    </w:p>
    <w:p>
      <w:pPr>
        <w:pStyle w:val="0"/>
        <w:spacing w:before="240" w:lineRule="auto"/>
        <w:ind w:firstLine="540"/>
        <w:jc w:val="both"/>
      </w:pPr>
      <w:r>
        <w:rPr>
          <w:sz w:val="24"/>
        </w:rPr>
        <w:t xml:space="preserve">6.8 Не допускается совместная прокладка кольцевых линий связи СПЗ в одном коробе, трубе, жгуте, замкнутом канале строительной конструкции или на одном лотке.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r>
    </w:p>
    <w:p>
      <w:pPr>
        <w:pStyle w:val="0"/>
        <w:jc w:val="right"/>
      </w:pPr>
      <w:r>
        <w:rPr>
          <w:sz w:val="24"/>
        </w:rPr>
        <w:t xml:space="preserve">(рекомендуемое)</w:t>
      </w:r>
    </w:p>
    <w:p>
      <w:pPr>
        <w:pStyle w:val="0"/>
        <w:jc w:val="both"/>
      </w:pPr>
      <w:r>
        <w:rPr>
          <w:sz w:val="24"/>
        </w:rPr>
      </w:r>
    </w:p>
    <w:bookmarkStart w:id="202" w:name="P202"/>
    <w:bookmarkEnd w:id="202"/>
    <w:p>
      <w:pPr>
        <w:pStyle w:val="2"/>
        <w:jc w:val="center"/>
      </w:pPr>
      <w:r>
        <w:rPr>
          <w:sz w:val="24"/>
        </w:rPr>
        <w:t xml:space="preserve">РАСЧЕТ</w:t>
      </w:r>
    </w:p>
    <w:p>
      <w:pPr>
        <w:pStyle w:val="2"/>
        <w:jc w:val="center"/>
      </w:pPr>
      <w:r>
        <w:rPr>
          <w:sz w:val="24"/>
        </w:rPr>
        <w:t xml:space="preserve">ЕМКОСТИ АКБ ДЛЯ ФУНКЦИОНИРОВАНИЯ СПЗ ПРИ ПРЕКРАЩЕНИИ</w:t>
      </w:r>
    </w:p>
    <w:p>
      <w:pPr>
        <w:pStyle w:val="2"/>
        <w:jc w:val="center"/>
      </w:pPr>
      <w:r>
        <w:rPr>
          <w:sz w:val="24"/>
        </w:rPr>
        <w:t xml:space="preserve">ЭЛЕКТРОСНАБЖЕНИЯ ОТ ОСНОВНОГО ИСТОЧНИКА ПИТАНИЯ</w:t>
      </w:r>
    </w:p>
    <w:p>
      <w:pPr>
        <w:pStyle w:val="0"/>
        <w:jc w:val="both"/>
      </w:pPr>
      <w:r>
        <w:rPr>
          <w:sz w:val="24"/>
        </w:rPr>
      </w:r>
    </w:p>
    <w:p>
      <w:pPr>
        <w:pStyle w:val="0"/>
        <w:ind w:firstLine="540"/>
        <w:jc w:val="both"/>
      </w:pPr>
      <w:r>
        <w:rPr>
          <w:sz w:val="24"/>
        </w:rPr>
        <w:t xml:space="preserve">Данный расчетный метод предназначен для определения времени работы СПЗ, питаемой от АКБ, при прекращении электроснабжения от основного источника питания (НКУ).</w:t>
      </w:r>
    </w:p>
    <w:p>
      <w:pPr>
        <w:pStyle w:val="0"/>
        <w:spacing w:before="240" w:lineRule="auto"/>
        <w:ind w:firstLine="540"/>
        <w:jc w:val="both"/>
      </w:pPr>
      <w:r>
        <w:rPr>
          <w:sz w:val="24"/>
        </w:rPr>
        <w:t xml:space="preserve">Расчет емкости (C</w:t>
      </w:r>
      <w:r>
        <w:rPr>
          <w:sz w:val="24"/>
          <w:vertAlign w:val="subscript"/>
        </w:rPr>
        <w:t xml:space="preserve">акб</w:t>
      </w:r>
      <w:r>
        <w:rPr>
          <w:sz w:val="24"/>
        </w:rPr>
        <w:t xml:space="preserve">) АКБ как АИП в составе СПЗ производится по формуле (А.1)</w:t>
      </w:r>
    </w:p>
    <w:p>
      <w:pPr>
        <w:pStyle w:val="0"/>
        <w:jc w:val="both"/>
      </w:pPr>
      <w:r>
        <w:rPr>
          <w:sz w:val="24"/>
        </w:rPr>
      </w:r>
    </w:p>
    <w:p>
      <w:pPr>
        <w:pStyle w:val="0"/>
        <w:jc w:val="center"/>
      </w:pPr>
      <w:r>
        <w:rPr>
          <w:position w:val="-12"/>
        </w:rPr>
        <w:drawing>
          <wp:inline distT="0" distB="0" distL="0" distR="0">
            <wp:extent cx="32575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3257550" cy="30861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position w:val="-12"/>
        </w:rPr>
        <w:drawing>
          <wp:inline distT="0" distB="0" distL="0" distR="0">
            <wp:extent cx="5372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537210" cy="308610"/>
                    </a:xfrm>
                    <a:prstGeom prst="rect">
                      <a:avLst/>
                    </a:prstGeom>
                    <a:noFill/>
                    <a:ln>
                      <a:noFill/>
                    </a:ln>
                  </pic:spPr>
                </pic:pic>
              </a:graphicData>
            </a:graphic>
          </wp:inline>
        </w:drawing>
      </w:r>
      <w:r>
        <w:rPr>
          <w:sz w:val="24"/>
        </w:rPr>
        <w:t xml:space="preserve"> - суммарный потребляемый ток СПЗ в дежурном режиме (А);</w:t>
      </w:r>
    </w:p>
    <w:p>
      <w:pPr>
        <w:pStyle w:val="0"/>
        <w:spacing w:before="240" w:lineRule="auto"/>
        <w:ind w:firstLine="540"/>
        <w:jc w:val="both"/>
      </w:pPr>
      <w:r>
        <w:rPr>
          <w:sz w:val="24"/>
        </w:rPr>
        <w:t xml:space="preserve">t</w:t>
      </w:r>
      <w:r>
        <w:rPr>
          <w:sz w:val="24"/>
          <w:vertAlign w:val="subscript"/>
        </w:rPr>
        <w:t xml:space="preserve">д.р.</w:t>
      </w:r>
      <w:r>
        <w:rPr>
          <w:sz w:val="24"/>
        </w:rPr>
        <w:t xml:space="preserve"> - время работы СПЗ от АКБ в дежурном режиме, 24 ч;</w:t>
      </w:r>
    </w:p>
    <w:p>
      <w:pPr>
        <w:pStyle w:val="0"/>
        <w:spacing w:before="240" w:lineRule="auto"/>
        <w:ind w:firstLine="540"/>
        <w:jc w:val="both"/>
      </w:pPr>
      <w:r>
        <w:rPr>
          <w:position w:val="-12"/>
        </w:rPr>
        <w:drawing>
          <wp:inline distT="0" distB="0" distL="0" distR="0">
            <wp:extent cx="514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514350" cy="308610"/>
                    </a:xfrm>
                    <a:prstGeom prst="rect">
                      <a:avLst/>
                    </a:prstGeom>
                    <a:noFill/>
                    <a:ln>
                      <a:noFill/>
                    </a:ln>
                  </pic:spPr>
                </pic:pic>
              </a:graphicData>
            </a:graphic>
          </wp:inline>
        </w:drawing>
      </w:r>
      <w:r>
        <w:rPr>
          <w:sz w:val="24"/>
        </w:rPr>
        <w:t xml:space="preserve"> - суммарный потребляемый ток СПЗ в режиме "пожар", А;</w:t>
      </w:r>
    </w:p>
    <w:p>
      <w:pPr>
        <w:pStyle w:val="0"/>
        <w:spacing w:before="240" w:lineRule="auto"/>
        <w:ind w:firstLine="540"/>
        <w:jc w:val="both"/>
      </w:pPr>
      <w:r>
        <w:rPr>
          <w:sz w:val="24"/>
        </w:rPr>
        <w:t xml:space="preserve">t</w:t>
      </w:r>
      <w:r>
        <w:rPr>
          <w:sz w:val="24"/>
          <w:vertAlign w:val="subscript"/>
        </w:rPr>
        <w:t xml:space="preserve">р.п.</w:t>
      </w:r>
      <w:r>
        <w:rPr>
          <w:sz w:val="24"/>
        </w:rPr>
        <w:t xml:space="preserve"> - время работы СПЗ от АКБ в режиме "пожар", 1 ч;</w:t>
      </w:r>
    </w:p>
    <w:p>
      <w:pPr>
        <w:pStyle w:val="0"/>
        <w:spacing w:before="240" w:lineRule="auto"/>
        <w:ind w:firstLine="540"/>
        <w:jc w:val="both"/>
      </w:pPr>
      <w:r>
        <w:rPr>
          <w:sz w:val="24"/>
        </w:rPr>
        <w:t xml:space="preserve">K</w:t>
      </w:r>
      <w:r>
        <w:rPr>
          <w:sz w:val="24"/>
          <w:vertAlign w:val="subscript"/>
        </w:rPr>
        <w:t xml:space="preserve">стр</w:t>
      </w:r>
      <w:r>
        <w:rPr>
          <w:sz w:val="24"/>
        </w:rPr>
        <w:t xml:space="preserve"> - коэффициент старения АКБ согласно ТД на АКБ.</w:t>
      </w:r>
    </w:p>
    <w:p>
      <w:pPr>
        <w:pStyle w:val="0"/>
        <w:spacing w:before="240" w:lineRule="auto"/>
        <w:ind w:firstLine="540"/>
        <w:jc w:val="both"/>
      </w:pPr>
      <w:r>
        <w:rPr>
          <w:sz w:val="24"/>
        </w:rPr>
        <w:t xml:space="preserve">Коэффициент старения АКБ (K</w:t>
      </w:r>
      <w:r>
        <w:rPr>
          <w:sz w:val="24"/>
          <w:vertAlign w:val="subscript"/>
        </w:rPr>
        <w:t xml:space="preserve">стр</w:t>
      </w:r>
      <w:r>
        <w:rPr>
          <w:sz w:val="24"/>
        </w:rPr>
        <w:t xml:space="preserve">) определяется в соотношении ее емкости от срока службы по формуле (А.2):</w:t>
      </w:r>
    </w:p>
    <w:p>
      <w:pPr>
        <w:pStyle w:val="0"/>
        <w:jc w:val="both"/>
      </w:pPr>
      <w:r>
        <w:rPr>
          <w:sz w:val="24"/>
        </w:rPr>
      </w:r>
    </w:p>
    <w:p>
      <w:pPr>
        <w:pStyle w:val="0"/>
        <w:jc w:val="center"/>
      </w:pPr>
      <w:r>
        <w:rPr>
          <w:position w:val="-24"/>
        </w:rPr>
        <w:drawing>
          <wp:inline distT="0" distB="0" distL="0" distR="0">
            <wp:extent cx="142875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0" cy="46863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sz w:val="24"/>
        </w:rPr>
        <w:t xml:space="preserve">100% - значение емкости АКБ в начальный период эксплуатации;</w:t>
      </w:r>
    </w:p>
    <w:p>
      <w:pPr>
        <w:pStyle w:val="0"/>
        <w:spacing w:before="240" w:lineRule="auto"/>
        <w:ind w:firstLine="540"/>
        <w:jc w:val="both"/>
      </w:pPr>
      <w:r>
        <w:rPr>
          <w:sz w:val="24"/>
        </w:rPr>
        <w:t xml:space="preserve">S - значение емкости АКБ в конечный период эксплуатации согласно ТД на АКБ, %.</w:t>
      </w:r>
    </w:p>
    <w:p>
      <w:pPr>
        <w:pStyle w:val="0"/>
        <w:spacing w:before="240" w:lineRule="auto"/>
        <w:ind w:firstLine="540"/>
        <w:jc w:val="both"/>
      </w:pPr>
      <w:r>
        <w:rPr>
          <w:sz w:val="24"/>
        </w:rPr>
        <w:t xml:space="preserve">Расчет времени (t) выполнения своих функций СПЗ, питаемых от АКБ, определяется по формуле (А.3)</w:t>
      </w:r>
    </w:p>
    <w:p>
      <w:pPr>
        <w:pStyle w:val="0"/>
        <w:jc w:val="both"/>
      </w:pPr>
      <w:r>
        <w:rPr>
          <w:sz w:val="24"/>
        </w:rPr>
      </w:r>
    </w:p>
    <w:p>
      <w:pPr>
        <w:pStyle w:val="0"/>
        <w:jc w:val="center"/>
      </w:pPr>
      <w:r>
        <w:rPr>
          <w:position w:val="-30"/>
        </w:rPr>
        <w:drawing>
          <wp:inline distT="0" distB="0" distL="0" distR="0">
            <wp:extent cx="163449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634490" cy="53721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sz w:val="24"/>
        </w:rPr>
        <w:t xml:space="preserve">C</w:t>
      </w:r>
      <w:r>
        <w:rPr>
          <w:sz w:val="24"/>
          <w:vertAlign w:val="subscript"/>
        </w:rPr>
        <w:t xml:space="preserve">акб</w:t>
      </w:r>
      <w:r>
        <w:rPr>
          <w:sz w:val="24"/>
        </w:rPr>
        <w:t xml:space="preserve"> - емкость АКБ, А/ч;</w:t>
      </w:r>
    </w:p>
    <w:p>
      <w:pPr>
        <w:pStyle w:val="0"/>
        <w:spacing w:before="240" w:lineRule="auto"/>
        <w:ind w:firstLine="540"/>
        <w:jc w:val="both"/>
      </w:pPr>
      <w:r>
        <w:rPr>
          <w:sz w:val="24"/>
        </w:rPr>
        <w:t xml:space="preserve">I</w:t>
      </w:r>
      <w:r>
        <w:rPr>
          <w:sz w:val="24"/>
          <w:vertAlign w:val="subscript"/>
        </w:rPr>
        <w:t xml:space="preserve">р.п.</w:t>
      </w:r>
      <w:r>
        <w:rPr>
          <w:sz w:val="24"/>
        </w:rPr>
        <w:t xml:space="preserve"> - потребляемый ток в режиме "Пожар", А;</w:t>
      </w:r>
    </w:p>
    <w:p>
      <w:pPr>
        <w:pStyle w:val="0"/>
        <w:spacing w:before="240" w:lineRule="auto"/>
        <w:ind w:firstLine="540"/>
        <w:jc w:val="both"/>
      </w:pPr>
      <w:r>
        <w:rPr>
          <w:sz w:val="24"/>
        </w:rPr>
        <w:t xml:space="preserve">K</w:t>
      </w:r>
      <w:r>
        <w:rPr>
          <w:sz w:val="24"/>
          <w:vertAlign w:val="subscript"/>
        </w:rPr>
        <w:t xml:space="preserve">стр</w:t>
      </w:r>
      <w:r>
        <w:rPr>
          <w:sz w:val="24"/>
        </w:rPr>
        <w:t xml:space="preserve"> - коэффициент старения АКБ, принимается согласно ТД на АКБ.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239" w:name="P239"/>
    <w:bookmarkEnd w:id="239"/>
    <w:p>
      <w:pPr>
        <w:pStyle w:val="0"/>
        <w:ind w:firstLine="540"/>
        <w:jc w:val="both"/>
      </w:pPr>
      <w:r>
        <w:rPr>
          <w:sz w:val="24"/>
        </w:rPr>
        <w:t xml:space="preserve">[1] Федеральный </w:t>
      </w:r>
      <w:hyperlink w:history="0" r:id="rId4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Технический регламент о требованиях пожарной безопасности от 22 июля 2008 г. N 123-ФЗ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06.04.2021 N 200</w:t>
            <w:br/>
            <w:t>"Об утверждении свода правил СП 6.13130.2021 "Системы противопожарной защиты. Элек...</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1695&amp;date=03.04.2026&amp;dst=100793&amp;field=134" TargetMode = "External"/><Relationship Id="rId9" Type="http://schemas.openxmlformats.org/officeDocument/2006/relationships/hyperlink" Target="https://login.consultant.ru/link/?req=doc&amp;base=LAW&amp;n=528553&amp;date=03.04.2026&amp;dst=100156&amp;field=134" TargetMode = "External"/><Relationship Id="rId10" Type="http://schemas.openxmlformats.org/officeDocument/2006/relationships/hyperlink" Target="https://login.consultant.ru/link/?req=doc&amp;base=LAW&amp;n=501774&amp;date=03.04.2026&amp;dst=100010&amp;field=134" TargetMode = "External"/><Relationship Id="rId11" Type="http://schemas.openxmlformats.org/officeDocument/2006/relationships/hyperlink" Target="https://login.consultant.ru/link/?req=doc&amp;base=LAW&amp;n=146241&amp;date=03.04.2026" TargetMode = "External"/><Relationship Id="rId12" Type="http://schemas.openxmlformats.org/officeDocument/2006/relationships/hyperlink" Target="https://login.consultant.ru/link/?req=doc&amp;base=LAW&amp;n=372899&amp;date=03.04.2026" TargetMode = "External"/><Relationship Id="rId13" Type="http://schemas.openxmlformats.org/officeDocument/2006/relationships/hyperlink" Target="https://login.consultant.ru/link/?req=doc&amp;base=LAW&amp;n=512697&amp;date=03.04.2026" TargetMode = "External"/><Relationship Id="rId14" Type="http://schemas.openxmlformats.org/officeDocument/2006/relationships/hyperlink" Target="https://login.consultant.ru/link/?req=doc&amp;base=LAW&amp;n=146241&amp;date=03.04.2026&amp;dst=100008&amp;field=134" TargetMode = "External"/><Relationship Id="rId15" Type="http://schemas.openxmlformats.org/officeDocument/2006/relationships/hyperlink" Target="www.gost.ru" TargetMode = "External"/><Relationship Id="rId16" Type="http://schemas.openxmlformats.org/officeDocument/2006/relationships/hyperlink" Target="https://login.consultant.ru/link/?req=doc&amp;base=LAW&amp;n=511695&amp;date=03.04.2026" TargetMode = "External"/><Relationship Id="rId17" Type="http://schemas.openxmlformats.org/officeDocument/2006/relationships/hyperlink" Target="https://login.consultant.ru/link/?req=doc&amp;base=STR&amp;n=28261&amp;date=03.04.2026" TargetMode = "External"/><Relationship Id="rId18" Type="http://schemas.openxmlformats.org/officeDocument/2006/relationships/hyperlink" Target="https://login.consultant.ru/link/?req=doc&amp;base=STR&amp;n=18520&amp;date=03.04.2026" TargetMode = "External"/><Relationship Id="rId19" Type="http://schemas.openxmlformats.org/officeDocument/2006/relationships/hyperlink" Target="https://login.consultant.ru/link/?req=doc&amp;base=STR&amp;n=16850&amp;date=03.04.2026" TargetMode = "External"/><Relationship Id="rId20" Type="http://schemas.openxmlformats.org/officeDocument/2006/relationships/hyperlink" Target="https://login.consultant.ru/link/?req=doc&amp;base=STR&amp;n=28261&amp;date=03.04.2026" TargetMode = "External"/><Relationship Id="rId21" Type="http://schemas.openxmlformats.org/officeDocument/2006/relationships/hyperlink" Target="https://login.consultant.ru/link/?req=doc&amp;base=STR&amp;n=13436&amp;date=03.04.2026" TargetMode = "External"/><Relationship Id="rId22" Type="http://schemas.openxmlformats.org/officeDocument/2006/relationships/hyperlink" Target="https://login.consultant.ru/link/?req=doc&amp;base=STR&amp;n=13515&amp;date=03.04.2026" TargetMode = "External"/><Relationship Id="rId23" Type="http://schemas.openxmlformats.org/officeDocument/2006/relationships/hyperlink" Target="https://login.consultant.ru/link/?req=doc&amp;base=STR&amp;n=22448&amp;date=03.04.2026" TargetMode = "External"/><Relationship Id="rId24" Type="http://schemas.openxmlformats.org/officeDocument/2006/relationships/hyperlink" Target="https://login.consultant.ru/link/?req=doc&amp;base=STR&amp;n=12723&amp;date=03.04.2026" TargetMode = "External"/><Relationship Id="rId25" Type="http://schemas.openxmlformats.org/officeDocument/2006/relationships/hyperlink" Target="https://login.consultant.ru/link/?req=doc&amp;base=STR&amp;n=36797&amp;date=03.04.2026" TargetMode = "External"/><Relationship Id="rId26" Type="http://schemas.openxmlformats.org/officeDocument/2006/relationships/hyperlink" Target="https://login.consultant.ru/link/?req=doc&amp;base=STR&amp;n=36797&amp;date=03.04.2026&amp;dst=100104&amp;field=134" TargetMode = "External"/><Relationship Id="rId27" Type="http://schemas.openxmlformats.org/officeDocument/2006/relationships/hyperlink" Target="https://login.consultant.ru/link/?req=doc&amp;base=LAW&amp;n=92313&amp;date=03.04.2026&amp;dst=103662&amp;field=134" TargetMode = "External"/><Relationship Id="rId28" Type="http://schemas.openxmlformats.org/officeDocument/2006/relationships/hyperlink" Target="https://login.consultant.ru/link/?req=doc&amp;base=STR&amp;n=13436&amp;date=03.04.2026&amp;dst=100095&amp;field=134" TargetMode = "External"/><Relationship Id="rId29" Type="http://schemas.openxmlformats.org/officeDocument/2006/relationships/hyperlink" Target="https://login.consultant.ru/link/?req=doc&amp;base=LAW&amp;n=92313&amp;date=03.04.2026&amp;dst=103665&amp;field=134" TargetMode = "External"/><Relationship Id="rId30" Type="http://schemas.openxmlformats.org/officeDocument/2006/relationships/hyperlink" Target="https://login.consultant.ru/link/?req=doc&amp;base=STR&amp;n=22448&amp;date=03.04.2026&amp;dst=100947&amp;field=134" TargetMode = "External"/><Relationship Id="rId31" Type="http://schemas.openxmlformats.org/officeDocument/2006/relationships/hyperlink" Target="https://login.consultant.ru/link/?req=doc&amp;base=STR&amp;n=18520&amp;date=03.04.2026&amp;dst=100551&amp;field=134" TargetMode = "External"/><Relationship Id="rId32" Type="http://schemas.openxmlformats.org/officeDocument/2006/relationships/hyperlink" Target="https://login.consultant.ru/link/?req=doc&amp;base=STR&amp;n=12723&amp;date=03.04.2026&amp;dst=100272&amp;field=134" TargetMode = "External"/><Relationship Id="rId33" Type="http://schemas.openxmlformats.org/officeDocument/2006/relationships/hyperlink" Target="https://login.consultant.ru/link/?req=doc&amp;base=STR&amp;n=16850&amp;date=03.04.2026" TargetMode = "External"/><Relationship Id="rId34" Type="http://schemas.openxmlformats.org/officeDocument/2006/relationships/hyperlink" Target="https://login.consultant.ru/link/?req=doc&amp;base=STR&amp;n=13515&amp;date=03.04.2026" TargetMode = "External"/><Relationship Id="rId35" Type="http://schemas.openxmlformats.org/officeDocument/2006/relationships/image" Target="media/image2.wmf"/><Relationship Id="rId36" Type="http://schemas.openxmlformats.org/officeDocument/2006/relationships/image" Target="media/image3.wmf"/><Relationship Id="rId37" Type="http://schemas.openxmlformats.org/officeDocument/2006/relationships/image" Target="media/image4.wmf"/><Relationship Id="rId38" Type="http://schemas.openxmlformats.org/officeDocument/2006/relationships/image" Target="media/image5.wmf"/><Relationship Id="rId39" Type="http://schemas.openxmlformats.org/officeDocument/2006/relationships/image" Target="media/image6.wmf"/><Relationship Id="rId40" Type="http://schemas.openxmlformats.org/officeDocument/2006/relationships/hyperlink" Target="https://login.consultant.ru/link/?req=doc&amp;base=LAW&amp;n=51169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06.04.2021 N 200
"Об утверждении свода правил СП 6.13130.2021 "Системы противопожарной защиты. Электроустановки низковольтные. Требования пожарной безопасности"</dc:title>
  <dcterms:created xsi:type="dcterms:W3CDTF">2026-04-03T13:06:30Z</dcterms:created>
</cp:coreProperties>
</file>