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30.03.2020 N 225</w:t>
              <w:br/>
              <w:t xml:space="preserve">(ред. от 25.12.2023)</w:t>
              <w:br/>
              <w:t xml:space="preserve">"Об утверждении свода правил СП 8.13130 "Системы противопожарной защиты. Наружное противопожарное водоснабжение. Требования пожарной безопасности"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30 марта 2020 г. N 225</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СП 8.13130 "СИСТЕМЫ ПРОТИВОПОЖАРНОЙ ЗАЩИТЫ. НАРУЖНОЕ</w:t>
      </w:r>
    </w:p>
    <w:p>
      <w:pPr>
        <w:pStyle w:val="2"/>
        <w:jc w:val="center"/>
      </w:pPr>
      <w:r>
        <w:rPr>
          <w:sz w:val="24"/>
        </w:rPr>
        <w:t xml:space="preserve">ПРОТИВОПОЖАРНОЕ ВОДОСНАБЖЕНИЕ. ТРЕБОВАНИЯ</w:t>
      </w:r>
    </w:p>
    <w:p>
      <w:pPr>
        <w:pStyle w:val="2"/>
        <w:jc w:val="center"/>
      </w:pPr>
      <w:r>
        <w:rPr>
          <w:sz w:val="24"/>
        </w:rPr>
        <w:t xml:space="preserve">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color w:val="392c69"/>
              </w:rPr>
              <w:t xml:space="preserve"> МЧС России от 25.12.2023 N 1329)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0"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1"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w:t>
      </w:r>
      <w:hyperlink w:history="0" w:anchor="P39" w:tooltip="СВОД ПРАВИЛ">
        <w:r>
          <w:rPr>
            <w:sz w:val="24"/>
            <w:color w:val="0000ff"/>
          </w:rPr>
          <w:t xml:space="preserve">свод правил</w:t>
        </w:r>
      </w:hyperlink>
      <w:r>
        <w:rPr>
          <w:sz w:val="24"/>
        </w:rPr>
        <w:t xml:space="preserve"> "Системы противопожарной защиты. Наружное противопожарное водоснабжение. Требования пожарной безопасности".</w:t>
      </w:r>
    </w:p>
    <w:p>
      <w:pPr>
        <w:pStyle w:val="0"/>
        <w:spacing w:before="240" w:lineRule="auto"/>
        <w:ind w:firstLine="540"/>
        <w:jc w:val="both"/>
      </w:pPr>
      <w:r>
        <w:rPr>
          <w:sz w:val="24"/>
        </w:rPr>
        <w:t xml:space="preserve">2. Признать утратившими силу со дня введения в действие свода правил </w:t>
      </w:r>
      <w:hyperlink w:history="0" w:anchor="P39" w:tooltip="СВОД ПРАВИЛ">
        <w:r>
          <w:rPr>
            <w:sz w:val="24"/>
            <w:color w:val="0000ff"/>
          </w:rPr>
          <w:t xml:space="preserve">СП 8.13130</w:t>
        </w:r>
      </w:hyperlink>
      <w:r>
        <w:rPr>
          <w:sz w:val="24"/>
        </w:rPr>
        <w:t xml:space="preserve"> "Системы противопожарной защиты. Наружное противопожарное водоснабжение. Требования пожарной безопасности" приказы МЧС России от 25.03.2009 </w:t>
      </w:r>
      <w:hyperlink w:history="0" r:id="rId12"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N 178</w:t>
        </w:r>
      </w:hyperlink>
      <w:r>
        <w:rPr>
          <w:sz w:val="24"/>
        </w:rPr>
        <w:t xml:space="preserve"> "Об утверждении свода правил "Системы противопожарной защиты. Источники наружного противопожарного водоснабжения. Требования пожарной безопасности" и от 09.12.2010 </w:t>
      </w:r>
      <w:hyperlink w:history="0" r:id="rId13" w:tooltip="Приказ МЧС РФ от 09.12.2010 N 640 &quot;Об утверждении изменения N 1 к своду правил СП 8.13130.2009 &quot;Системы противопожарной защиты. Источники наружного противопожарного водоснабжения. Требования пожарной безопасности&quot;, утвержденному Приказом МЧС России от 25.03.2009 N 178&quot; ------------ Утратил силу или отменен {КонсультантПлюс}">
        <w:r>
          <w:rPr>
            <w:sz w:val="24"/>
            <w:color w:val="0000ff"/>
          </w:rPr>
          <w:t xml:space="preserve">N 640</w:t>
        </w:r>
      </w:hyperlink>
      <w:r>
        <w:rPr>
          <w:sz w:val="24"/>
        </w:rPr>
        <w:t xml:space="preserve"> "Об утверждении изменения N 1 к своду правил СП 8.13130.2009 "Системы противопожарной защиты. Источники наружного противопожарного водоснабжения. Требования пожарной безопасности", утвержденному приказом МЧС России от 25.03.2009 N 178".</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30.03.2020 N 225</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bookmarkStart w:id="39" w:name="P39"/>
    <w:bookmarkEnd w:id="39"/>
    <w:p>
      <w:pPr>
        <w:pStyle w:val="2"/>
        <w:jc w:val="center"/>
      </w:pPr>
      <w:r>
        <w:rPr>
          <w:sz w:val="24"/>
        </w:rPr>
        <w:t xml:space="preserve">СВОД ПРАВИЛ</w:t>
      </w:r>
    </w:p>
    <w:p>
      <w:pPr>
        <w:pStyle w:val="2"/>
        <w:jc w:val="center"/>
      </w:pPr>
      <w:r>
        <w:rPr>
          <w:sz w:val="24"/>
        </w:rPr>
        <w:t xml:space="preserve">СП 8.13130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НАРУЖНОЕ ПРОТИВОПОЖАРНОЕ ВОДОСНАБЖЕНИЕ</w:t>
      </w:r>
    </w:p>
    <w:p>
      <w:pPr>
        <w:pStyle w:val="2"/>
        <w:jc w:val="center"/>
      </w:pPr>
      <w:r>
        <w:rPr>
          <w:sz w:val="24"/>
        </w:rPr>
      </w:r>
    </w:p>
    <w:p>
      <w:pPr>
        <w:pStyle w:val="2"/>
        <w:jc w:val="center"/>
      </w:pPr>
      <w:r>
        <w:rPr>
          <w:sz w:val="24"/>
        </w:rPr>
        <w:t xml:space="preserve">ТРЕБОВАНИЯ 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color w:val="392c69"/>
              </w:rPr>
              <w:t xml:space="preserve"> МЧС России от 25.12.2023 N 1329)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_____________</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5"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разработки сводов правил - </w:t>
      </w:r>
      <w:hyperlink w:history="0" r:id="rId16"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____________ N ____.</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__________.</w:t>
      </w:r>
    </w:p>
    <w:p>
      <w:pPr>
        <w:pStyle w:val="0"/>
        <w:spacing w:before="240" w:lineRule="auto"/>
        <w:ind w:firstLine="540"/>
        <w:jc w:val="both"/>
      </w:pPr>
      <w:r>
        <w:rPr>
          <w:sz w:val="24"/>
        </w:rPr>
        <w:t xml:space="preserve">4. ВВЕДЕН ВЗАМЕН </w:t>
      </w:r>
      <w:hyperlink w:history="0" r:id="rId17" w:tooltip="&quot;СП 8.13130.2009. Свод правил. Системы противопожарной защиты. Источники наружного противопожарного водоснабжения. Требования пожарной безопасности&quot; (утв. Приказом МЧС России от 25.03.2009 N 178) (ред. от 09.12.2010) ------------ Утратил силу или отменен {КонсультантПлюс}">
        <w:r>
          <w:rPr>
            <w:sz w:val="24"/>
            <w:color w:val="0000ff"/>
          </w:rPr>
          <w:t xml:space="preserve">СП 8.13130.2009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18">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r:id="rId19"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статей 62</w:t>
        </w:r>
      </w:hyperlink>
      <w:r>
        <w:rPr>
          <w:sz w:val="24"/>
        </w:rPr>
        <w:t xml:space="preserve">, </w:t>
      </w:r>
      <w:hyperlink w:history="0" r:id="rId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68</w:t>
        </w:r>
      </w:hyperlink>
      <w:r>
        <w:rPr>
          <w:sz w:val="24"/>
        </w:rPr>
        <w:t xml:space="preserve"> и </w:t>
      </w:r>
      <w:hyperlink w:history="0" r:id="rId2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99</w:t>
        </w:r>
      </w:hyperlink>
      <w:r>
        <w:rPr>
          <w:sz w:val="24"/>
        </w:rPr>
        <w:t xml:space="preserve"> Федерального закона от 22 июля 2008 г. N 123-ФЗ "Технический регламент о требованиях пожарной безопасности" </w:t>
      </w:r>
      <w:hyperlink w:history="0" w:anchor="P1136" w:tooltip="[1] Федеральный закон от 22 июля 2008 г. N 123-ФЗ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t xml:space="preserve">(в ред. </w:t>
      </w:r>
      <w:hyperlink w:history="0" r:id="rId2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Настоящий свод правил устанавливает нормы расхода воды на наружное пожаротушение, требования к расчетному количеству одновременных пожаров, свободным напорам в наружной водопроводной сети, размещению пожарных гидрантов и другие требования пожарной безопасности, необходимые для проектирования систем водоснабжения, обеспечивающих противопожарные нужды, а также требования к пожарным резервуарам и пожарным водоемам.</w:t>
      </w:r>
    </w:p>
    <w:p>
      <w:pPr>
        <w:pStyle w:val="0"/>
        <w:jc w:val="both"/>
      </w:pPr>
      <w:r>
        <w:rPr>
          <w:sz w:val="24"/>
        </w:rPr>
        <w:t xml:space="preserve">(в ред. </w:t>
      </w:r>
      <w:hyperlink w:history="0" r:id="rId2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Требования настоящего свода правил не содержат данных, достаточных для проектирования противопожарного водоснабжения ряда производственных объектов, требования к которым установлены нормативными документами по пожарной безопасности для соответствующих отраслей промышленности и сельского хозяйства.</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наружному противопожарному водоснабжению зданий и сооружений, а также территорий организаций, производственных объектов (в том числе промышленных и сельскохозяйственных предприятий) и населенных пунктов.</w:t>
      </w:r>
    </w:p>
    <w:p>
      <w:pPr>
        <w:pStyle w:val="0"/>
        <w:jc w:val="both"/>
      </w:pPr>
      <w:r>
        <w:rPr>
          <w:sz w:val="24"/>
        </w:rPr>
        <w:t xml:space="preserve">(в ред. </w:t>
      </w:r>
      <w:hyperlink w:history="0" r:id="rId2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1.2. Установленные настоящим сводом правил требования пожарной безопасности должны соблюдаться при проектировании, строительстве, реконструкции и капитальном ремонте систем наружного противопожарного водоснабжения, водопроводных сетей, искусственных водоемов и пожарных резервуаров, использовании водных объектов для противопожарных нужд.</w:t>
      </w:r>
    </w:p>
    <w:p>
      <w:pPr>
        <w:pStyle w:val="0"/>
        <w:jc w:val="both"/>
      </w:pPr>
      <w:r>
        <w:rPr>
          <w:sz w:val="24"/>
        </w:rPr>
        <w:t xml:space="preserve">(в ред. </w:t>
      </w:r>
      <w:hyperlink w:history="0" r:id="rId2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1.3. Настоящий свод правил не распространяется на предприятия, производящие, применяющие или хранящие взрывчатые вещества.</w:t>
      </w:r>
    </w:p>
    <w:p>
      <w:pPr>
        <w:pStyle w:val="0"/>
        <w:spacing w:before="240" w:lineRule="auto"/>
        <w:ind w:firstLine="540"/>
        <w:jc w:val="both"/>
      </w:pPr>
      <w:r>
        <w:rPr>
          <w:sz w:val="24"/>
        </w:rPr>
        <w:t xml:space="preserve">1.4. Настоящий свод правил не распространяется на автоматические установки пожаротушения и внутренние противопожарные водопроводы, проектируемые по </w:t>
      </w:r>
      <w:hyperlink w:history="0" r:id="rId26"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и </w:t>
      </w:r>
      <w:hyperlink w:history="0" r:id="rId2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t xml:space="preserve">(п. 1.4 в ред. </w:t>
      </w:r>
      <w:hyperlink w:history="0" r:id="rId2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1.5. Исключен с 1 марта 2024 года. - </w:t>
      </w:r>
      <w:hyperlink w:history="0" r:id="rId3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w:t>
        </w:r>
      </w:hyperlink>
      <w:r>
        <w:rPr>
          <w:sz w:val="24"/>
        </w:rPr>
        <w:t xml:space="preserve"> МЧС России от 25.12.2023 N 1329.</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31" w:tooltip="&quot;ГОСТ 19179-73. Государственный стандарт Союза ССР. Гидрология суши. Термины и определения&quot; (введен в действие Постановлением Госстандарта СССР от 29.10.1973 N 2394) {КонсультантПлюс}">
        <w:r>
          <w:rPr>
            <w:sz w:val="24"/>
            <w:color w:val="0000ff"/>
          </w:rPr>
          <w:t xml:space="preserve">ГОСТ 19179-73</w:t>
        </w:r>
      </w:hyperlink>
      <w:r>
        <w:rPr>
          <w:sz w:val="24"/>
        </w:rPr>
        <w:t xml:space="preserve"> Государственный стандарт Союза ССР. Гидрология суши. Термины и определения.</w:t>
      </w:r>
    </w:p>
    <w:p>
      <w:pPr>
        <w:pStyle w:val="0"/>
        <w:spacing w:before="240" w:lineRule="auto"/>
        <w:ind w:firstLine="540"/>
        <w:jc w:val="both"/>
      </w:pPr>
      <w:hyperlink w:history="0" r:id="rId32"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r>
        <w:rPr>
          <w:sz w:val="24"/>
        </w:rPr>
        <w:t xml:space="preserve"> (СТ СЭВ 2084-80) Государственный стандарт Союза ССР. Водоснабжение. Термины и определения.</w:t>
      </w:r>
    </w:p>
    <w:p>
      <w:pPr>
        <w:pStyle w:val="0"/>
        <w:spacing w:before="240" w:lineRule="auto"/>
        <w:ind w:firstLine="540"/>
        <w:jc w:val="both"/>
      </w:pPr>
      <w:hyperlink w:history="0" r:id="rId33" w:tooltip="&quot;ГОСТ 12.2.047-86 (СТ СЭВ 5236-85). Государственный стандарт Союза ССР. Система стандартов безопасности труда. Пожарная техника. Термины и определения&quot; (утв. и введен в действие Постановлением Госстандарта СССР от 30.06.1986 N 1982) {КонсультантПлюс}">
        <w:r>
          <w:rPr>
            <w:sz w:val="24"/>
            <w:color w:val="0000ff"/>
          </w:rPr>
          <w:t xml:space="preserve">ГОСТ 12.2.047-86</w:t>
        </w:r>
      </w:hyperlink>
      <w:r>
        <w:rPr>
          <w:sz w:val="24"/>
        </w:rPr>
        <w:t xml:space="preserve"> (СТ СЭВ 5236-85) Государственный стандарт Союза ССР. Система стандартов безопасности труда. Пожарная техника. Термины и определения.</w:t>
      </w:r>
    </w:p>
    <w:p>
      <w:pPr>
        <w:pStyle w:val="0"/>
        <w:spacing w:before="240" w:lineRule="auto"/>
        <w:ind w:firstLine="540"/>
        <w:jc w:val="both"/>
      </w:pPr>
      <w:hyperlink w:history="0" r:id="rId34"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33666-2015</w:t>
        </w:r>
      </w:hyperlink>
      <w:r>
        <w:rPr>
          <w:sz w:val="24"/>
        </w:rPr>
        <w:t xml:space="preserve"> Межгосударственный стандарт. Автомобильные транспортные средства для транспортирования и заправки нефтепродуктов. Технические требования.</w:t>
      </w:r>
    </w:p>
    <w:p>
      <w:pPr>
        <w:pStyle w:val="0"/>
        <w:spacing w:before="240" w:lineRule="auto"/>
        <w:ind w:firstLine="540"/>
        <w:jc w:val="both"/>
      </w:pPr>
      <w:r>
        <w:rPr>
          <w:sz w:val="24"/>
        </w:rPr>
        <w:t xml:space="preserve">Абзац исключен с 1 марта 2024 года. - </w:t>
      </w:r>
      <w:hyperlink w:history="0" r:id="rId3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w:t>
        </w:r>
      </w:hyperlink>
      <w:r>
        <w:rPr>
          <w:sz w:val="24"/>
        </w:rPr>
        <w:t xml:space="preserve"> МЧС России от 25.12.2023 N 1329.</w:t>
      </w:r>
    </w:p>
    <w:p>
      <w:pPr>
        <w:pStyle w:val="0"/>
        <w:spacing w:before="240" w:lineRule="auto"/>
        <w:ind w:firstLine="540"/>
        <w:jc w:val="both"/>
      </w:pPr>
      <w:hyperlink w:history="0" r:id="rId36"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jc w:val="both"/>
      </w:pPr>
      <w:r>
        <w:rPr>
          <w:sz w:val="24"/>
        </w:rPr>
        <w:t xml:space="preserve">(в ред. </w:t>
      </w:r>
      <w:hyperlink w:history="0" r:id="rId3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hyperlink w:history="0" r:id="rId38"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 СНиП 2.04.02-84*</w:t>
        </w:r>
      </w:hyperlink>
      <w:r>
        <w:rPr>
          <w:sz w:val="24"/>
        </w:rPr>
        <w:t xml:space="preserve"> Водоснабжение. Наружные сети и сооружения.</w:t>
      </w:r>
    </w:p>
    <w:p>
      <w:pPr>
        <w:pStyle w:val="0"/>
        <w:jc w:val="both"/>
      </w:pPr>
      <w:r>
        <w:rPr>
          <w:sz w:val="24"/>
        </w:rPr>
        <w:t xml:space="preserve">(в ред. </w:t>
      </w:r>
      <w:hyperlink w:history="0" r:id="rId3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hyperlink w:history="0" r:id="rId40" w:tooltip="&quot;СП 37.13330.2012. Свод правил. Промышленный транспорт. Актуализированная редакция СНиП 2.05.07-91*&quot; (утв. Приказом Минрегиона России от 29.12.2011 N 635/7) (ред. от 01.11.2025) {КонсультантПлюс}">
        <w:r>
          <w:rPr>
            <w:sz w:val="24"/>
            <w:color w:val="0000ff"/>
          </w:rPr>
          <w:t xml:space="preserve">СП 37.13330.2012</w:t>
        </w:r>
      </w:hyperlink>
      <w:r>
        <w:rPr>
          <w:sz w:val="24"/>
        </w:rPr>
        <w:t xml:space="preserve"> Промышленный транспорт. Актуализированная редакция СНиП 2.05.07-91*.</w:t>
      </w:r>
    </w:p>
    <w:p>
      <w:pPr>
        <w:pStyle w:val="0"/>
        <w:spacing w:before="240" w:lineRule="auto"/>
        <w:ind w:firstLine="540"/>
        <w:jc w:val="both"/>
      </w:pPr>
      <w:hyperlink w:history="0" r:id="rId41"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Стоянки автомобилей. Актуализированная редакция СНиП 21-02-99*.</w:t>
      </w:r>
    </w:p>
    <w:p>
      <w:pPr>
        <w:pStyle w:val="0"/>
        <w:spacing w:before="240" w:lineRule="auto"/>
        <w:ind w:firstLine="540"/>
        <w:jc w:val="both"/>
      </w:pPr>
      <w:hyperlink w:history="0" r:id="rId42" w:tooltip="&quot;СП 114.13330.2016. Свод правил. Склады лесных материалов. Противопожарные нормы. Актуализированная редакция СНиП 21-03-2003&quot; (утв. Приказом Минстроя России от 09.09.2016 N 627/пр) {КонсультантПлюс}">
        <w:r>
          <w:rPr>
            <w:sz w:val="24"/>
            <w:color w:val="0000ff"/>
          </w:rPr>
          <w:t xml:space="preserve">СП 114.13330.2016</w:t>
        </w:r>
      </w:hyperlink>
      <w:r>
        <w:rPr>
          <w:sz w:val="24"/>
        </w:rPr>
        <w:t xml:space="preserve"> Склады лесных материалов. Противопожарные нормы. Актуализированная редакция СНиП 21-03-2003.</w:t>
      </w:r>
    </w:p>
    <w:p>
      <w:pPr>
        <w:pStyle w:val="0"/>
        <w:spacing w:before="240" w:lineRule="auto"/>
        <w:ind w:firstLine="540"/>
        <w:jc w:val="both"/>
      </w:pPr>
      <w:hyperlink w:history="0" r:id="rId43"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 СНиП 31-06-2009</w:t>
        </w:r>
      </w:hyperlink>
      <w:r>
        <w:rPr>
          <w:sz w:val="24"/>
        </w:rPr>
        <w:t xml:space="preserve"> Общественные здания и сооружения.</w:t>
      </w:r>
    </w:p>
    <w:p>
      <w:pPr>
        <w:pStyle w:val="0"/>
        <w:jc w:val="both"/>
      </w:pPr>
      <w:r>
        <w:rPr>
          <w:sz w:val="24"/>
        </w:rPr>
        <w:t xml:space="preserve">(в ред. </w:t>
      </w:r>
      <w:hyperlink w:history="0" r:id="rId4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hyperlink w:history="0" r:id="rId45" w:tooltip="&quot;СП 316.1325800.2017. Свод правил. Терминалы контейнерные. Правила проектирования&quot; (утв. и введен в действие Приказом Минстроя России от 14.11.2017 N 1541/пр) (ред. от 25.11.2019) {КонсультантПлюс}">
        <w:r>
          <w:rPr>
            <w:sz w:val="24"/>
            <w:color w:val="0000ff"/>
          </w:rPr>
          <w:t xml:space="preserve">СП 316.1325800.2017</w:t>
        </w:r>
      </w:hyperlink>
      <w:r>
        <w:rPr>
          <w:sz w:val="24"/>
        </w:rPr>
        <w:t xml:space="preserve"> Терминалы контейнерные. Правила проектирования.</w:t>
      </w:r>
    </w:p>
    <w:p>
      <w:pPr>
        <w:pStyle w:val="0"/>
        <w:jc w:val="both"/>
      </w:pPr>
      <w:r>
        <w:rPr>
          <w:sz w:val="24"/>
        </w:rPr>
        <w:t xml:space="preserve">(абзац введен </w:t>
      </w:r>
      <w:hyperlink w:history="0" r:id="rId4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spacing w:before="240" w:lineRule="auto"/>
        <w:ind w:firstLine="540"/>
        <w:jc w:val="both"/>
      </w:pPr>
      <w:hyperlink w:history="0" r:id="rId4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4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spacing w:before="240" w:lineRule="auto"/>
        <w:ind w:firstLine="540"/>
        <w:jc w:val="both"/>
      </w:pPr>
      <w:hyperlink w:history="0" r:id="rId49"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(абзац введен </w:t>
      </w:r>
      <w:hyperlink w:history="0" r:id="rId5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понятия, установленные </w:t>
      </w:r>
      <w:hyperlink w:history="0" w:anchor="P1136" w:tooltip="[1] Федеральный закон от 22 июля 2008 г. N 123-ФЗ &quot;Технический регламент о требованиях пожарной безопасности&quot;.">
        <w:r>
          <w:rPr>
            <w:sz w:val="24"/>
            <w:color w:val="0000ff"/>
          </w:rPr>
          <w:t xml:space="preserve">[1]</w:t>
        </w:r>
      </w:hyperlink>
      <w:r>
        <w:rPr>
          <w:sz w:val="24"/>
        </w:rPr>
        <w:t xml:space="preserve">, термины, установленные </w:t>
      </w:r>
      <w:hyperlink w:history="0" r:id="rId51"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r>
        <w:rPr>
          <w:sz w:val="24"/>
        </w:rPr>
        <w:t xml:space="preserve"> (СТ СЭВ 2084-80) Государственный стандарт Союза ССР. Водоснабжение. Термины и определения, а также следующие термины с соответствующими определениями:</w:t>
      </w:r>
    </w:p>
    <w:p>
      <w:pPr>
        <w:pStyle w:val="0"/>
        <w:jc w:val="both"/>
      </w:pPr>
      <w:r>
        <w:rPr>
          <w:sz w:val="24"/>
        </w:rPr>
        <w:t xml:space="preserve">(в ред. </w:t>
      </w:r>
      <w:hyperlink w:history="0" r:id="rId5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3.1. Водный объект: природный или искусственный водоем, водоток либо иной объект, постоянное или временное сосредоточение вод, в котором имеются характерные формы и признаки водного режима (изменение во времени уровня, расхода и объема воды).</w:t>
      </w:r>
    </w:p>
    <w:p>
      <w:pPr>
        <w:pStyle w:val="0"/>
        <w:spacing w:before="240" w:lineRule="auto"/>
        <w:ind w:firstLine="540"/>
        <w:jc w:val="both"/>
      </w:pPr>
      <w:r>
        <w:rPr>
          <w:sz w:val="24"/>
        </w:rPr>
        <w:t xml:space="preserve">3.2. Водоем: водный объект в углублении суши, характеризующийся замедленным движением воды или полным его отсутствием.</w:t>
      </w:r>
    </w:p>
    <w:p>
      <w:pPr>
        <w:pStyle w:val="0"/>
        <w:spacing w:before="240" w:lineRule="auto"/>
        <w:ind w:firstLine="540"/>
        <w:jc w:val="both"/>
      </w:pPr>
      <w:r>
        <w:rPr>
          <w:sz w:val="24"/>
        </w:rPr>
        <w:t xml:space="preserve">Примечание: различают естественные водоемы, представляющие собой природные скопления воды во впадинах, и искусственные водоемы - специально созданные скопления воды в искусственных или естественных углублениях земной поверхности.</w:t>
      </w:r>
    </w:p>
    <w:p>
      <w:pPr>
        <w:pStyle w:val="0"/>
        <w:jc w:val="both"/>
      </w:pPr>
      <w:r>
        <w:rPr>
          <w:sz w:val="24"/>
        </w:rPr>
      </w:r>
    </w:p>
    <w:p>
      <w:pPr>
        <w:pStyle w:val="0"/>
        <w:ind w:firstLine="540"/>
        <w:jc w:val="both"/>
      </w:pPr>
      <w:r>
        <w:rPr>
          <w:sz w:val="24"/>
        </w:rPr>
        <w:t xml:space="preserve">3.3. Водопровод: комплекс сооружений, включающий водозабор, водопроводные насосные станции, станцию очистки воды или водоподготовки, водопроводную сеть и резервуары для обеспечения водой определенного качества потребителей. </w:t>
      </w:r>
      <w:hyperlink w:history="0" r:id="rId53"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p>
    <w:p>
      <w:pPr>
        <w:pStyle w:val="0"/>
        <w:jc w:val="both"/>
      </w:pPr>
      <w:r>
        <w:rPr>
          <w:sz w:val="24"/>
        </w:rPr>
        <w:t xml:space="preserve">(п. 3.3 в ред. </w:t>
      </w:r>
      <w:hyperlink w:history="0" r:id="rId5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3.3.1. Водопроводная сеть: система трубопроводов с сооружениями на них для подачи воды к местам ее потребления. </w:t>
      </w:r>
      <w:hyperlink w:history="0" r:id="rId55"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p>
    <w:p>
      <w:pPr>
        <w:pStyle w:val="0"/>
        <w:jc w:val="both"/>
      </w:pPr>
      <w:r>
        <w:rPr>
          <w:sz w:val="24"/>
        </w:rPr>
        <w:t xml:space="preserve">(пп. 3.3.1 введен </w:t>
      </w:r>
      <w:hyperlink w:history="0" r:id="rId5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spacing w:before="240" w:lineRule="auto"/>
        <w:ind w:firstLine="540"/>
        <w:jc w:val="both"/>
      </w:pPr>
      <w:r>
        <w:rPr>
          <w:sz w:val="24"/>
        </w:rPr>
        <w:t xml:space="preserve">3.3.2. Водопроводный ввод: трубопровод, соединяющий водопроводную сеть с внутренним водопроводом здания или сооружения. </w:t>
      </w:r>
      <w:hyperlink w:history="0" r:id="rId57" w:tooltip="&quot;ГОСТ 25151-82 (СТ СЭВ 2084-80). Государственный стандарт Союза ССР. Водоснабжение. Термины и определения&quot; (утв. Постановлением Госстандарта СССР от 25.02.1982 N 830) ------------ Утратил силу или отменен {КонсультантПлюс}">
        <w:r>
          <w:rPr>
            <w:sz w:val="24"/>
            <w:color w:val="0000ff"/>
          </w:rPr>
          <w:t xml:space="preserve">[ГОСТ 25151-82]</w:t>
        </w:r>
      </w:hyperlink>
    </w:p>
    <w:p>
      <w:pPr>
        <w:pStyle w:val="0"/>
        <w:spacing w:before="240" w:lineRule="auto"/>
        <w:ind w:firstLine="540"/>
        <w:jc w:val="both"/>
      </w:pPr>
      <w:r>
        <w:rPr>
          <w:sz w:val="24"/>
        </w:rPr>
        <w:t xml:space="preserve">Примечание: границей водопроводного ввода является ближайшее запорное или водомерное устройство, расположенное между стеной (или фундаментом) здания и водопроводной сетью.</w:t>
      </w:r>
    </w:p>
    <w:p>
      <w:pPr>
        <w:pStyle w:val="0"/>
        <w:jc w:val="both"/>
      </w:pPr>
      <w:r>
        <w:rPr>
          <w:sz w:val="24"/>
        </w:rPr>
        <w:t xml:space="preserve">(пп. 3.3.2 введен </w:t>
      </w:r>
      <w:hyperlink w:history="0" r:id="rId5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ind w:firstLine="540"/>
        <w:jc w:val="both"/>
      </w:pPr>
      <w:r>
        <w:rPr>
          <w:sz w:val="24"/>
        </w:rPr>
      </w:r>
    </w:p>
    <w:p>
      <w:pPr>
        <w:pStyle w:val="0"/>
        <w:ind w:firstLine="540"/>
        <w:jc w:val="both"/>
      </w:pPr>
      <w:r>
        <w:rPr>
          <w:sz w:val="24"/>
        </w:rPr>
        <w:t xml:space="preserve">3.4. Водоток: водный объект, характеризующийся движением воды в направлении уклона в углублении земной поверхности.</w:t>
      </w:r>
    </w:p>
    <w:p>
      <w:pPr>
        <w:pStyle w:val="0"/>
        <w:spacing w:before="240" w:lineRule="auto"/>
        <w:ind w:firstLine="540"/>
        <w:jc w:val="both"/>
      </w:pPr>
      <w:r>
        <w:rPr>
          <w:sz w:val="24"/>
        </w:rPr>
        <w:t xml:space="preserve">3.5. Источник водоснабжения: природный или антропогенный поверхностный водоем (река, море, озеро, океан, водохранилище и т.д.) или подземные воды, обеспечивающие забор необходимого потребителю количества воды в течение длительного времени.</w:t>
      </w:r>
    </w:p>
    <w:p>
      <w:pPr>
        <w:pStyle w:val="0"/>
        <w:spacing w:before="240" w:lineRule="auto"/>
        <w:ind w:firstLine="540"/>
        <w:jc w:val="both"/>
      </w:pPr>
      <w:r>
        <w:rPr>
          <w:sz w:val="24"/>
        </w:rPr>
        <w:t xml:space="preserve">3.6. Источники наружного противопожарного водоснабжения: водопровод, водные объекты, оборудованные для целей пожаротушения, пожарные резервуары и пожарные водоемы.</w:t>
      </w:r>
    </w:p>
    <w:p>
      <w:pPr>
        <w:pStyle w:val="0"/>
        <w:jc w:val="both"/>
      </w:pPr>
      <w:r>
        <w:rPr>
          <w:sz w:val="24"/>
        </w:rPr>
        <w:t xml:space="preserve">(п. 3.6 в ред. </w:t>
      </w:r>
      <w:hyperlink w:history="0" r:id="rId5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3.7. Населенный пункт: территориальное образование, имеющее сосредоточенную застройку в пределах установленной границы и служащее местом постоянного проживания людей.</w:t>
      </w:r>
    </w:p>
    <w:p>
      <w:pPr>
        <w:pStyle w:val="0"/>
        <w:spacing w:before="240" w:lineRule="auto"/>
        <w:ind w:firstLine="540"/>
        <w:jc w:val="both"/>
      </w:pPr>
      <w:r>
        <w:rPr>
          <w:sz w:val="24"/>
        </w:rPr>
        <w:t xml:space="preserve">3.8. Отдельно стоящее здание: здание или сооружение, расположенное за пределами сосредоточенной застройки населенного пункта или производственного объекта на расстоянии от ближайшего к нему пожарного гидранта или пожарного резервуара (пожарного водоема), превышающем нормативное.</w:t>
      </w:r>
    </w:p>
    <w:p>
      <w:pPr>
        <w:pStyle w:val="0"/>
        <w:jc w:val="both"/>
      </w:pPr>
      <w:r>
        <w:rPr>
          <w:sz w:val="24"/>
        </w:rPr>
        <w:t xml:space="preserve">(п. 3.8 в ред. </w:t>
      </w:r>
      <w:hyperlink w:history="0" r:id="rId6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3.9. Пожарный гидрант: устройство для отбора воды из водопроводной сети для тушения пожара.</w:t>
      </w:r>
    </w:p>
    <w:p>
      <w:pPr>
        <w:pStyle w:val="0"/>
        <w:spacing w:before="240" w:lineRule="auto"/>
        <w:ind w:firstLine="540"/>
        <w:jc w:val="both"/>
      </w:pPr>
      <w:r>
        <w:rPr>
          <w:sz w:val="24"/>
        </w:rPr>
        <w:t xml:space="preserve">3.10. Пожарный водоем: водный объект, имеющий необходимый запас воды для тушения пожаров и оборудованный для ее забора пожарными автомобилями (мотопомпами).</w:t>
      </w:r>
    </w:p>
    <w:p>
      <w:pPr>
        <w:pStyle w:val="0"/>
        <w:spacing w:before="240" w:lineRule="auto"/>
        <w:ind w:firstLine="540"/>
        <w:jc w:val="both"/>
      </w:pPr>
      <w:r>
        <w:rPr>
          <w:sz w:val="24"/>
        </w:rPr>
        <w:t xml:space="preserve">3.11. Пожарный резервуар: инженерное сооружение емкостного типа имеющее необходимый запас воды для тушения пожаров и оборудованное для ее забора пожарными автомобилями (мотопомпами).</w:t>
      </w:r>
    </w:p>
    <w:p>
      <w:pPr>
        <w:pStyle w:val="0"/>
        <w:jc w:val="both"/>
      </w:pPr>
      <w:r>
        <w:rPr>
          <w:sz w:val="24"/>
        </w:rPr>
        <w:t xml:space="preserve">(в ред. </w:t>
      </w:r>
      <w:hyperlink w:history="0" r:id="rId6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3.12. Противопожарный водопровод: водопровод, обеспечивающий противопожарные нужды.</w:t>
      </w:r>
    </w:p>
    <w:p>
      <w:pPr>
        <w:pStyle w:val="0"/>
        <w:spacing w:before="240" w:lineRule="auto"/>
        <w:ind w:firstLine="540"/>
        <w:jc w:val="both"/>
      </w:pPr>
      <w:r>
        <w:rPr>
          <w:sz w:val="24"/>
        </w:rPr>
        <w:t xml:space="preserve">3.13. Система водоснабжения: комплекс сооружений, самотечных и напорных сетей, служащий для забора воды из источников водоснабжения, ее очистки до нормативных показателей и подачи потребителю.</w:t>
      </w:r>
    </w:p>
    <w:p>
      <w:pPr>
        <w:pStyle w:val="0"/>
        <w:spacing w:before="240" w:lineRule="auto"/>
        <w:ind w:firstLine="540"/>
        <w:jc w:val="both"/>
      </w:pPr>
      <w:r>
        <w:rPr>
          <w:sz w:val="24"/>
        </w:rPr>
        <w:t xml:space="preserve">3.14. Система противопожарного водоснабжения: система водоснабжения, обеспечивающая противопожарные нужды.</w:t>
      </w:r>
    </w:p>
    <w:p>
      <w:pPr>
        <w:pStyle w:val="0"/>
        <w:jc w:val="both"/>
      </w:pPr>
      <w:r>
        <w:rPr>
          <w:sz w:val="24"/>
        </w:rPr>
      </w:r>
    </w:p>
    <w:p>
      <w:pPr>
        <w:pStyle w:val="2"/>
        <w:outlineLvl w:val="1"/>
        <w:ind w:firstLine="540"/>
        <w:jc w:val="both"/>
      </w:pPr>
      <w:r>
        <w:rPr>
          <w:sz w:val="24"/>
        </w:rPr>
        <w:t xml:space="preserve">4. Общие требования</w:t>
      </w:r>
    </w:p>
    <w:p>
      <w:pPr>
        <w:pStyle w:val="0"/>
        <w:jc w:val="both"/>
      </w:pPr>
      <w:r>
        <w:rPr>
          <w:sz w:val="24"/>
        </w:rPr>
      </w:r>
    </w:p>
    <w:p>
      <w:pPr>
        <w:pStyle w:val="0"/>
        <w:ind w:firstLine="540"/>
        <w:jc w:val="both"/>
      </w:pPr>
      <w:r>
        <w:rPr>
          <w:sz w:val="24"/>
        </w:rPr>
        <w:t xml:space="preserve">4.1. Для зданий, сооружений, производственных объектов, а также территорий организаций и населенных пунктов в соответствии с </w:t>
      </w:r>
      <w:hyperlink w:history="0" w:anchor="P1136" w:tooltip="[1] Федеральный закон от 22 июля 2008 г. N 123-ФЗ &quot;Технический регламент о требованиях пожарной безопасности&quot;.">
        <w:r>
          <w:rPr>
            <w:sz w:val="24"/>
            <w:color w:val="0000ff"/>
          </w:rPr>
          <w:t xml:space="preserve">[1]</w:t>
        </w:r>
      </w:hyperlink>
      <w:r>
        <w:rPr>
          <w:sz w:val="24"/>
        </w:rPr>
        <w:t xml:space="preserve"> должны предусматриваться источники наружного противопожарного водоснабжения для тушения пожаров.</w:t>
      </w:r>
    </w:p>
    <w:p>
      <w:pPr>
        <w:pStyle w:val="0"/>
        <w:jc w:val="both"/>
      </w:pPr>
      <w:r>
        <w:rPr>
          <w:sz w:val="24"/>
        </w:rPr>
        <w:t xml:space="preserve">(п. 4.1 в ред. </w:t>
      </w:r>
      <w:hyperlink w:history="0" r:id="rId6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4.2. Для использования в качестве наружного противопожарного водоснабжения могут предусматриваться источники наружного противопожарного водоснабжения, а также градирни, брызгальные бассейны и сооружения, вода из которых может быть использована для тушения пожара.</w:t>
      </w:r>
    </w:p>
    <w:p>
      <w:pPr>
        <w:pStyle w:val="0"/>
        <w:jc w:val="both"/>
      </w:pPr>
      <w:r>
        <w:rPr>
          <w:sz w:val="24"/>
        </w:rPr>
        <w:t xml:space="preserve">(п. 4.2 в ред. </w:t>
      </w:r>
      <w:hyperlink w:history="0" r:id="rId6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4.3. Противопожарный водопровод, как правило, объединяют с хозяйственно-питьевым или производственным водопроводом.</w:t>
      </w:r>
    </w:p>
    <w:p>
      <w:pPr>
        <w:pStyle w:val="0"/>
        <w:spacing w:before="240" w:lineRule="auto"/>
        <w:ind w:firstLine="540"/>
        <w:jc w:val="both"/>
      </w:pPr>
      <w:r>
        <w:rPr>
          <w:sz w:val="24"/>
        </w:rPr>
        <w:t xml:space="preserve">4.4. Системы противопожарного водоснабжения следует проектировать в соответствии с требованиями </w:t>
      </w:r>
      <w:hyperlink w:history="0" r:id="rId64"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 настоящего свода правил и иных нормативных документов по пожарной безопасности.</w:t>
      </w:r>
    </w:p>
    <w:p>
      <w:pPr>
        <w:pStyle w:val="0"/>
        <w:jc w:val="both"/>
      </w:pPr>
      <w:r>
        <w:rPr>
          <w:sz w:val="24"/>
        </w:rPr>
        <w:t xml:space="preserve">(в ред. </w:t>
      </w:r>
      <w:hyperlink w:history="0" r:id="rId6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4.5. Качество воды, предназначенной для тушения пожаров, должно соответствовать условиям эксплуатации пожарного оборудования и применяемым способам пожаротушения.</w:t>
      </w:r>
    </w:p>
    <w:p>
      <w:pPr>
        <w:pStyle w:val="0"/>
        <w:jc w:val="both"/>
      </w:pPr>
      <w:r>
        <w:rPr>
          <w:sz w:val="24"/>
        </w:rPr>
      </w:r>
    </w:p>
    <w:bookmarkStart w:id="151" w:name="P151"/>
    <w:bookmarkEnd w:id="151"/>
    <w:p>
      <w:pPr>
        <w:pStyle w:val="2"/>
        <w:outlineLvl w:val="1"/>
        <w:ind w:firstLine="540"/>
        <w:jc w:val="both"/>
      </w:pPr>
      <w:r>
        <w:rPr>
          <w:sz w:val="24"/>
        </w:rPr>
        <w:t xml:space="preserve">5. Расходы воды на наружное пожаротушение</w:t>
      </w:r>
    </w:p>
    <w:p>
      <w:pPr>
        <w:pStyle w:val="0"/>
        <w:jc w:val="both"/>
      </w:pPr>
      <w:r>
        <w:rPr>
          <w:sz w:val="24"/>
        </w:rPr>
      </w:r>
    </w:p>
    <w:bookmarkStart w:id="153" w:name="P153"/>
    <w:bookmarkEnd w:id="153"/>
    <w:p>
      <w:pPr>
        <w:pStyle w:val="0"/>
        <w:ind w:firstLine="540"/>
        <w:jc w:val="both"/>
      </w:pPr>
      <w:r>
        <w:rPr>
          <w:sz w:val="24"/>
        </w:rPr>
        <w:t xml:space="preserve">5.1. Для расчета магистральных (расчетных кольцевых) линий водопроводной сети населенного пункта расход воды на наружное пожаротушение (на один пожар) и количество одновременных пожаров следует принимать по таблице 1. При этом принятое значение расхода воды на наружное пожаротушение должно быть не менее расхода воды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в соответствии с </w:t>
      </w:r>
      <w:hyperlink w:history="0" w:anchor="P233" w:tooltip="5.2.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расход воды на наружное пожаротушение (на один пожар) следует принимать по таблице 2 для здания или сооружения, требующего наибольшего расхода воды.">
        <w:r>
          <w:rPr>
            <w:sz w:val="24"/>
            <w:color w:val="0000ff"/>
          </w:rPr>
          <w:t xml:space="preserve">пунктом 5.2</w:t>
        </w:r>
      </w:hyperlink>
      <w:r>
        <w:rPr>
          <w:sz w:val="24"/>
        </w:rPr>
        <w:t xml:space="preserve"> настоящего свода правил.</w:t>
      </w:r>
    </w:p>
    <w:p>
      <w:pPr>
        <w:pStyle w:val="0"/>
        <w:jc w:val="both"/>
      </w:pPr>
      <w:r>
        <w:rPr>
          <w:sz w:val="24"/>
        </w:rPr>
      </w:r>
    </w:p>
    <w:p>
      <w:pPr>
        <w:pStyle w:val="0"/>
        <w:jc w:val="right"/>
      </w:pPr>
      <w:r>
        <w:rPr>
          <w:sz w:val="24"/>
        </w:rPr>
        <w:t xml:space="preserve">Таблица 1</w:t>
      </w:r>
    </w:p>
    <w:p>
      <w:pPr>
        <w:pStyle w:val="0"/>
        <w:jc w:val="both"/>
      </w:pPr>
      <w:r>
        <w:rPr>
          <w:sz w:val="24"/>
        </w:rPr>
      </w:r>
    </w:p>
    <w:bookmarkStart w:id="157" w:name="P157"/>
    <w:bookmarkEnd w:id="157"/>
    <w:p>
      <w:pPr>
        <w:pStyle w:val="2"/>
        <w:outlineLvl w:val="2"/>
        <w:jc w:val="center"/>
      </w:pPr>
      <w:r>
        <w:rPr>
          <w:sz w:val="24"/>
        </w:rPr>
        <w:t xml:space="preserve">Расход воды на наружное пожаротушение в населенном пункте</w:t>
      </w:r>
    </w:p>
    <w:p>
      <w:pPr>
        <w:pStyle w:val="0"/>
        <w:jc w:val="center"/>
      </w:pPr>
      <w:r>
        <w:rPr>
          <w:sz w:val="24"/>
        </w:rPr>
      </w:r>
    </w:p>
    <w:p>
      <w:pPr>
        <w:pStyle w:val="0"/>
        <w:jc w:val="center"/>
      </w:pPr>
      <w:r>
        <w:rPr>
          <w:sz w:val="24"/>
        </w:rPr>
        <w:t xml:space="preserve">(в ред. </w:t>
      </w:r>
      <w:hyperlink w:history="0" r:id="rId6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5"/>
        <w:gridCol w:w="2041"/>
        <w:gridCol w:w="3089"/>
        <w:gridCol w:w="3089"/>
      </w:tblGrid>
      <w:tr>
        <w:tc>
          <w:tcPr>
            <w:tcW w:w="3685" w:type="dxa"/>
            <w:vMerge w:val="restart"/>
          </w:tcPr>
          <w:p>
            <w:pPr>
              <w:pStyle w:val="0"/>
              <w:jc w:val="center"/>
            </w:pPr>
            <w:r>
              <w:rPr>
                <w:sz w:val="24"/>
              </w:rPr>
              <w:t xml:space="preserve">Число жителей в населенном пункте, тыс. чел.</w:t>
            </w:r>
          </w:p>
        </w:tc>
        <w:tc>
          <w:tcPr>
            <w:tcW w:w="2041" w:type="dxa"/>
            <w:vMerge w:val="restart"/>
          </w:tcPr>
          <w:p>
            <w:pPr>
              <w:pStyle w:val="0"/>
              <w:jc w:val="center"/>
            </w:pPr>
            <w:r>
              <w:rPr>
                <w:sz w:val="24"/>
              </w:rPr>
              <w:t xml:space="preserve">Расчетное количество одновременных пожаров</w:t>
            </w:r>
          </w:p>
        </w:tc>
        <w:tc>
          <w:tcPr>
            <w:gridSpan w:val="2"/>
            <w:tcW w:w="6178" w:type="dxa"/>
          </w:tcPr>
          <w:p>
            <w:pPr>
              <w:pStyle w:val="0"/>
              <w:jc w:val="center"/>
            </w:pPr>
            <w:r>
              <w:rPr>
                <w:sz w:val="24"/>
              </w:rPr>
              <w:t xml:space="preserve">Расход воды на наружное пожаротушение в населенном пункте на 1 пожар, л/с</w:t>
            </w:r>
          </w:p>
        </w:tc>
      </w:tr>
      <w:tr>
        <w:tc>
          <w:tcPr>
            <w:vMerge w:val="continue"/>
          </w:tcPr>
          <w:p/>
        </w:tc>
        <w:tc>
          <w:tcPr>
            <w:vMerge w:val="continue"/>
          </w:tcPr>
          <w:p/>
        </w:tc>
        <w:tc>
          <w:tcPr>
            <w:tcW w:w="3089" w:type="dxa"/>
          </w:tcPr>
          <w:p>
            <w:pPr>
              <w:pStyle w:val="0"/>
              <w:jc w:val="center"/>
            </w:pPr>
            <w:r>
              <w:rPr>
                <w:sz w:val="24"/>
              </w:rPr>
              <w:t xml:space="preserve">застройка зданиями, сооружениями высотой не более 2 этажей</w:t>
            </w:r>
          </w:p>
        </w:tc>
        <w:tc>
          <w:tcPr>
            <w:tcW w:w="3089" w:type="dxa"/>
          </w:tcPr>
          <w:p>
            <w:pPr>
              <w:pStyle w:val="0"/>
              <w:jc w:val="center"/>
            </w:pPr>
            <w:r>
              <w:rPr>
                <w:sz w:val="24"/>
              </w:rPr>
              <w:t xml:space="preserve">застройка зданиями, сооружениями высотой 3 этажа и выше</w:t>
            </w:r>
          </w:p>
        </w:tc>
      </w:tr>
      <w:tr>
        <w:tc>
          <w:tcPr>
            <w:tcW w:w="3685" w:type="dxa"/>
            <w:vAlign w:val="center"/>
          </w:tcPr>
          <w:p>
            <w:pPr>
              <w:pStyle w:val="0"/>
            </w:pPr>
            <w:r>
              <w:rPr>
                <w:sz w:val="24"/>
              </w:rPr>
              <w:t xml:space="preserve">Не более 1</w:t>
            </w:r>
          </w:p>
        </w:tc>
        <w:tc>
          <w:tcPr>
            <w:tcW w:w="2041" w:type="dxa"/>
            <w:vAlign w:val="center"/>
          </w:tcPr>
          <w:p>
            <w:pPr>
              <w:pStyle w:val="0"/>
              <w:jc w:val="center"/>
            </w:pPr>
            <w:r>
              <w:rPr>
                <w:sz w:val="24"/>
              </w:rPr>
              <w:t xml:space="preserve">1</w:t>
            </w:r>
          </w:p>
        </w:tc>
        <w:tc>
          <w:tcPr>
            <w:tcW w:w="3089" w:type="dxa"/>
            <w:vAlign w:val="center"/>
          </w:tcPr>
          <w:p>
            <w:pPr>
              <w:pStyle w:val="0"/>
              <w:jc w:val="center"/>
            </w:pPr>
            <w:r>
              <w:rPr>
                <w:sz w:val="24"/>
              </w:rPr>
              <w:t xml:space="preserve">5</w:t>
            </w:r>
          </w:p>
        </w:tc>
        <w:tc>
          <w:tcPr>
            <w:tcW w:w="3089" w:type="dxa"/>
            <w:vAlign w:val="center"/>
          </w:tcPr>
          <w:p>
            <w:pPr>
              <w:pStyle w:val="0"/>
              <w:jc w:val="center"/>
            </w:pPr>
            <w:r>
              <w:rPr>
                <w:sz w:val="24"/>
              </w:rPr>
              <w:t xml:space="preserve">10</w:t>
            </w:r>
          </w:p>
        </w:tc>
      </w:tr>
      <w:tr>
        <w:tc>
          <w:tcPr>
            <w:tcW w:w="3685" w:type="dxa"/>
            <w:vAlign w:val="center"/>
          </w:tcPr>
          <w:p>
            <w:pPr>
              <w:pStyle w:val="0"/>
            </w:pPr>
            <w:r>
              <w:rPr>
                <w:sz w:val="24"/>
              </w:rPr>
              <w:t xml:space="preserve">Более 1, но не более 5</w:t>
            </w:r>
          </w:p>
        </w:tc>
        <w:tc>
          <w:tcPr>
            <w:tcW w:w="2041" w:type="dxa"/>
            <w:vAlign w:val="center"/>
          </w:tcPr>
          <w:p>
            <w:pPr>
              <w:pStyle w:val="0"/>
              <w:jc w:val="center"/>
            </w:pPr>
            <w:r>
              <w:rPr>
                <w:sz w:val="24"/>
              </w:rPr>
              <w:t xml:space="preserve">1</w:t>
            </w:r>
          </w:p>
        </w:tc>
        <w:tc>
          <w:tcPr>
            <w:tcW w:w="3089" w:type="dxa"/>
            <w:vAlign w:val="center"/>
          </w:tcPr>
          <w:p>
            <w:pPr>
              <w:pStyle w:val="0"/>
              <w:jc w:val="center"/>
            </w:pPr>
            <w:r>
              <w:rPr>
                <w:sz w:val="24"/>
              </w:rPr>
              <w:t xml:space="preserve">10</w:t>
            </w:r>
          </w:p>
        </w:tc>
        <w:tc>
          <w:tcPr>
            <w:tcW w:w="3089" w:type="dxa"/>
            <w:vAlign w:val="center"/>
          </w:tcPr>
          <w:p>
            <w:pPr>
              <w:pStyle w:val="0"/>
              <w:jc w:val="center"/>
            </w:pPr>
            <w:r>
              <w:rPr>
                <w:sz w:val="24"/>
              </w:rPr>
              <w:t xml:space="preserve">10</w:t>
            </w:r>
          </w:p>
        </w:tc>
      </w:tr>
      <w:tr>
        <w:tc>
          <w:tcPr>
            <w:tcW w:w="3685" w:type="dxa"/>
            <w:vAlign w:val="bottom"/>
          </w:tcPr>
          <w:p>
            <w:pPr>
              <w:pStyle w:val="0"/>
            </w:pPr>
            <w:r>
              <w:rPr>
                <w:sz w:val="24"/>
              </w:rPr>
              <w:t xml:space="preserve">Более 5, но не более 10</w:t>
            </w:r>
          </w:p>
        </w:tc>
        <w:tc>
          <w:tcPr>
            <w:tcW w:w="2041" w:type="dxa"/>
            <w:vAlign w:val="center"/>
          </w:tcPr>
          <w:p>
            <w:pPr>
              <w:pStyle w:val="0"/>
              <w:jc w:val="center"/>
            </w:pPr>
            <w:r>
              <w:rPr>
                <w:sz w:val="24"/>
              </w:rPr>
              <w:t xml:space="preserve">1</w:t>
            </w:r>
          </w:p>
        </w:tc>
        <w:tc>
          <w:tcPr>
            <w:tcW w:w="3089" w:type="dxa"/>
            <w:vAlign w:val="center"/>
          </w:tcPr>
          <w:p>
            <w:pPr>
              <w:pStyle w:val="0"/>
              <w:jc w:val="center"/>
            </w:pPr>
            <w:r>
              <w:rPr>
                <w:sz w:val="24"/>
              </w:rPr>
              <w:t xml:space="preserve">10</w:t>
            </w:r>
          </w:p>
        </w:tc>
        <w:tc>
          <w:tcPr>
            <w:tcW w:w="3089" w:type="dxa"/>
            <w:vAlign w:val="center"/>
          </w:tcPr>
          <w:p>
            <w:pPr>
              <w:pStyle w:val="0"/>
              <w:jc w:val="center"/>
            </w:pPr>
            <w:r>
              <w:rPr>
                <w:sz w:val="24"/>
              </w:rPr>
              <w:t xml:space="preserve">15</w:t>
            </w:r>
          </w:p>
        </w:tc>
      </w:tr>
      <w:tr>
        <w:tc>
          <w:tcPr>
            <w:tcW w:w="3685" w:type="dxa"/>
            <w:vAlign w:val="bottom"/>
          </w:tcPr>
          <w:p>
            <w:pPr>
              <w:pStyle w:val="0"/>
            </w:pPr>
            <w:r>
              <w:rPr>
                <w:sz w:val="24"/>
              </w:rPr>
              <w:t xml:space="preserve">Более 10, но не более 25</w:t>
            </w:r>
          </w:p>
        </w:tc>
        <w:tc>
          <w:tcPr>
            <w:tcW w:w="2041" w:type="dxa"/>
            <w:vAlign w:val="center"/>
          </w:tcPr>
          <w:p>
            <w:pPr>
              <w:pStyle w:val="0"/>
              <w:jc w:val="center"/>
            </w:pPr>
            <w:r>
              <w:rPr>
                <w:sz w:val="24"/>
              </w:rPr>
              <w:t xml:space="preserve">2</w:t>
            </w:r>
          </w:p>
        </w:tc>
        <w:tc>
          <w:tcPr>
            <w:tcW w:w="3089" w:type="dxa"/>
            <w:vAlign w:val="center"/>
          </w:tcPr>
          <w:p>
            <w:pPr>
              <w:pStyle w:val="0"/>
              <w:jc w:val="center"/>
            </w:pPr>
            <w:r>
              <w:rPr>
                <w:sz w:val="24"/>
              </w:rPr>
              <w:t xml:space="preserve">10</w:t>
            </w:r>
          </w:p>
        </w:tc>
        <w:tc>
          <w:tcPr>
            <w:tcW w:w="3089" w:type="dxa"/>
            <w:vAlign w:val="center"/>
          </w:tcPr>
          <w:p>
            <w:pPr>
              <w:pStyle w:val="0"/>
              <w:jc w:val="center"/>
            </w:pPr>
            <w:r>
              <w:rPr>
                <w:sz w:val="24"/>
              </w:rPr>
              <w:t xml:space="preserve">15</w:t>
            </w:r>
          </w:p>
        </w:tc>
      </w:tr>
      <w:tr>
        <w:tc>
          <w:tcPr>
            <w:tcW w:w="3685" w:type="dxa"/>
            <w:vAlign w:val="bottom"/>
          </w:tcPr>
          <w:p>
            <w:pPr>
              <w:pStyle w:val="0"/>
            </w:pPr>
            <w:r>
              <w:rPr>
                <w:sz w:val="24"/>
              </w:rPr>
              <w:t xml:space="preserve">Более 25, но не более 50</w:t>
            </w:r>
          </w:p>
        </w:tc>
        <w:tc>
          <w:tcPr>
            <w:tcW w:w="2041" w:type="dxa"/>
            <w:vAlign w:val="center"/>
          </w:tcPr>
          <w:p>
            <w:pPr>
              <w:pStyle w:val="0"/>
              <w:jc w:val="center"/>
            </w:pPr>
            <w:r>
              <w:rPr>
                <w:sz w:val="24"/>
              </w:rPr>
              <w:t xml:space="preserve">2</w:t>
            </w:r>
          </w:p>
        </w:tc>
        <w:tc>
          <w:tcPr>
            <w:tcW w:w="3089" w:type="dxa"/>
            <w:vAlign w:val="center"/>
          </w:tcPr>
          <w:p>
            <w:pPr>
              <w:pStyle w:val="0"/>
              <w:jc w:val="center"/>
            </w:pPr>
            <w:r>
              <w:rPr>
                <w:sz w:val="24"/>
              </w:rPr>
              <w:t xml:space="preserve">20</w:t>
            </w:r>
          </w:p>
        </w:tc>
        <w:tc>
          <w:tcPr>
            <w:tcW w:w="3089" w:type="dxa"/>
            <w:vAlign w:val="center"/>
          </w:tcPr>
          <w:p>
            <w:pPr>
              <w:pStyle w:val="0"/>
              <w:jc w:val="center"/>
            </w:pPr>
            <w:r>
              <w:rPr>
                <w:sz w:val="24"/>
              </w:rPr>
              <w:t xml:space="preserve">25</w:t>
            </w:r>
          </w:p>
        </w:tc>
      </w:tr>
      <w:tr>
        <w:tc>
          <w:tcPr>
            <w:tcW w:w="3685" w:type="dxa"/>
            <w:vAlign w:val="bottom"/>
          </w:tcPr>
          <w:p>
            <w:pPr>
              <w:pStyle w:val="0"/>
            </w:pPr>
            <w:r>
              <w:rPr>
                <w:sz w:val="24"/>
              </w:rPr>
              <w:t xml:space="preserve">Более 50, но не более 100</w:t>
            </w:r>
          </w:p>
        </w:tc>
        <w:tc>
          <w:tcPr>
            <w:tcW w:w="2041" w:type="dxa"/>
            <w:vAlign w:val="center"/>
          </w:tcPr>
          <w:p>
            <w:pPr>
              <w:pStyle w:val="0"/>
              <w:jc w:val="center"/>
            </w:pPr>
            <w:r>
              <w:rPr>
                <w:sz w:val="24"/>
              </w:rPr>
              <w:t xml:space="preserve">2</w:t>
            </w:r>
          </w:p>
        </w:tc>
        <w:tc>
          <w:tcPr>
            <w:tcW w:w="3089" w:type="dxa"/>
            <w:vAlign w:val="center"/>
          </w:tcPr>
          <w:p>
            <w:pPr>
              <w:pStyle w:val="0"/>
              <w:jc w:val="center"/>
            </w:pPr>
            <w:r>
              <w:rPr>
                <w:sz w:val="24"/>
              </w:rPr>
              <w:t xml:space="preserve">25</w:t>
            </w:r>
          </w:p>
        </w:tc>
        <w:tc>
          <w:tcPr>
            <w:tcW w:w="3089" w:type="dxa"/>
            <w:vAlign w:val="center"/>
          </w:tcPr>
          <w:p>
            <w:pPr>
              <w:pStyle w:val="0"/>
              <w:jc w:val="center"/>
            </w:pPr>
            <w:r>
              <w:rPr>
                <w:sz w:val="24"/>
              </w:rPr>
              <w:t xml:space="preserve">35</w:t>
            </w:r>
          </w:p>
        </w:tc>
      </w:tr>
      <w:tr>
        <w:tc>
          <w:tcPr>
            <w:tcW w:w="3685" w:type="dxa"/>
            <w:vAlign w:val="bottom"/>
          </w:tcPr>
          <w:p>
            <w:pPr>
              <w:pStyle w:val="0"/>
            </w:pPr>
            <w:r>
              <w:rPr>
                <w:sz w:val="24"/>
              </w:rPr>
              <w:t xml:space="preserve">Более 100, но не более 200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40</w:t>
            </w:r>
          </w:p>
        </w:tc>
        <w:tc>
          <w:tcPr>
            <w:tcW w:w="3089" w:type="dxa"/>
            <w:vAlign w:val="center"/>
          </w:tcPr>
          <w:p>
            <w:pPr>
              <w:pStyle w:val="0"/>
              <w:jc w:val="center"/>
            </w:pPr>
            <w:r>
              <w:rPr>
                <w:sz w:val="24"/>
              </w:rPr>
              <w:t xml:space="preserve">40</w:t>
            </w:r>
          </w:p>
        </w:tc>
      </w:tr>
      <w:tr>
        <w:tc>
          <w:tcPr>
            <w:tcW w:w="3685" w:type="dxa"/>
            <w:vAlign w:val="bottom"/>
          </w:tcPr>
          <w:p>
            <w:pPr>
              <w:pStyle w:val="0"/>
            </w:pPr>
            <w:r>
              <w:rPr>
                <w:sz w:val="24"/>
              </w:rPr>
              <w:t xml:space="preserve">Более 200, но не более 300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55</w:t>
            </w:r>
          </w:p>
        </w:tc>
      </w:tr>
      <w:tr>
        <w:tc>
          <w:tcPr>
            <w:tcW w:w="3685" w:type="dxa"/>
            <w:vAlign w:val="bottom"/>
          </w:tcPr>
          <w:p>
            <w:pPr>
              <w:pStyle w:val="0"/>
            </w:pPr>
            <w:r>
              <w:rPr>
                <w:sz w:val="24"/>
              </w:rPr>
              <w:t xml:space="preserve">Более 300, но не более 400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70</w:t>
            </w:r>
          </w:p>
        </w:tc>
      </w:tr>
      <w:tr>
        <w:tc>
          <w:tcPr>
            <w:tcW w:w="3685" w:type="dxa"/>
            <w:vAlign w:val="bottom"/>
          </w:tcPr>
          <w:p>
            <w:pPr>
              <w:pStyle w:val="0"/>
            </w:pPr>
            <w:r>
              <w:rPr>
                <w:sz w:val="24"/>
              </w:rPr>
              <w:t xml:space="preserve">Более 400, но не более 500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80</w:t>
            </w:r>
          </w:p>
        </w:tc>
      </w:tr>
      <w:tr>
        <w:tc>
          <w:tcPr>
            <w:tcW w:w="3685" w:type="dxa"/>
            <w:vAlign w:val="bottom"/>
          </w:tcPr>
          <w:p>
            <w:pPr>
              <w:pStyle w:val="0"/>
            </w:pPr>
            <w:r>
              <w:rPr>
                <w:sz w:val="24"/>
              </w:rPr>
              <w:t xml:space="preserve">Более 500, но не более 600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85</w:t>
            </w:r>
          </w:p>
        </w:tc>
      </w:tr>
      <w:tr>
        <w:tc>
          <w:tcPr>
            <w:tcW w:w="3685" w:type="dxa"/>
            <w:vAlign w:val="bottom"/>
          </w:tcPr>
          <w:p>
            <w:pPr>
              <w:pStyle w:val="0"/>
            </w:pPr>
            <w:r>
              <w:rPr>
                <w:sz w:val="24"/>
              </w:rPr>
              <w:t xml:space="preserve">Более 600, но не более 700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90</w:t>
            </w:r>
          </w:p>
        </w:tc>
      </w:tr>
      <w:tr>
        <w:tc>
          <w:tcPr>
            <w:tcW w:w="3685" w:type="dxa"/>
          </w:tcPr>
          <w:p>
            <w:pPr>
              <w:pStyle w:val="0"/>
            </w:pPr>
            <w:r>
              <w:rPr>
                <w:sz w:val="24"/>
              </w:rPr>
              <w:t xml:space="preserve">Более 700, но не более 800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95</w:t>
            </w:r>
          </w:p>
        </w:tc>
      </w:tr>
      <w:tr>
        <w:tc>
          <w:tcPr>
            <w:tcW w:w="3685" w:type="dxa"/>
            <w:vAlign w:val="center"/>
          </w:tcPr>
          <w:p>
            <w:pPr>
              <w:pStyle w:val="0"/>
            </w:pPr>
            <w:r>
              <w:rPr>
                <w:sz w:val="24"/>
              </w:rPr>
              <w:t xml:space="preserve">Более 800, но не более 1000</w:t>
            </w:r>
          </w:p>
        </w:tc>
        <w:tc>
          <w:tcPr>
            <w:tcW w:w="2041" w:type="dxa"/>
            <w:vAlign w:val="center"/>
          </w:tcPr>
          <w:p>
            <w:pPr>
              <w:pStyle w:val="0"/>
              <w:jc w:val="center"/>
            </w:pPr>
            <w:r>
              <w:rPr>
                <w:sz w:val="24"/>
              </w:rPr>
              <w:t xml:space="preserve">3</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100</w:t>
            </w:r>
          </w:p>
        </w:tc>
      </w:tr>
      <w:tr>
        <w:tc>
          <w:tcPr>
            <w:tcW w:w="3685" w:type="dxa"/>
          </w:tcPr>
          <w:p>
            <w:pPr>
              <w:pStyle w:val="0"/>
            </w:pPr>
            <w:r>
              <w:rPr>
                <w:sz w:val="24"/>
              </w:rPr>
              <w:t xml:space="preserve">Более 1000</w:t>
            </w:r>
          </w:p>
        </w:tc>
        <w:tc>
          <w:tcPr>
            <w:tcW w:w="2041" w:type="dxa"/>
            <w:vAlign w:val="center"/>
          </w:tcPr>
          <w:p>
            <w:pPr>
              <w:pStyle w:val="0"/>
              <w:jc w:val="center"/>
            </w:pPr>
            <w:r>
              <w:rPr>
                <w:sz w:val="24"/>
              </w:rPr>
              <w:t xml:space="preserve">5</w:t>
            </w:r>
          </w:p>
        </w:tc>
        <w:tc>
          <w:tcPr>
            <w:tcW w:w="3089" w:type="dxa"/>
            <w:vAlign w:val="center"/>
          </w:tcPr>
          <w:p>
            <w:pPr>
              <w:pStyle w:val="0"/>
              <w:jc w:val="center"/>
            </w:pPr>
            <w:r>
              <w:rPr>
                <w:sz w:val="24"/>
              </w:rPr>
              <w:t xml:space="preserve">-</w:t>
            </w:r>
          </w:p>
        </w:tc>
        <w:tc>
          <w:tcPr>
            <w:tcW w:w="3089" w:type="dxa"/>
            <w:vAlign w:val="center"/>
          </w:tcPr>
          <w:p>
            <w:pPr>
              <w:pStyle w:val="0"/>
              <w:jc w:val="center"/>
            </w:pPr>
            <w:r>
              <w:rPr>
                <w:sz w:val="24"/>
              </w:rPr>
              <w:t xml:space="preserve">110</w:t>
            </w:r>
          </w:p>
        </w:tc>
      </w:tr>
    </w:tbl>
    <w:p>
      <w:pPr>
        <w:sectPr>
          <w:headerReference w:type="default" r:id="rId67"/>
          <w:headerReference w:type="first" r:id="rId67"/>
          <w:footerReference w:type="default" r:id="rId68"/>
          <w:footerReference w:type="first" r:id="rId6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 зонном водоснабжении расход воды на наружное пожаротушение и количество одновременных пожаров в каждой зоне следует принимать в зависимости от количества жителей, проживающих в данной зоне.</w:t>
      </w:r>
    </w:p>
    <w:p>
      <w:pPr>
        <w:pStyle w:val="0"/>
        <w:spacing w:before="240" w:lineRule="auto"/>
        <w:ind w:firstLine="540"/>
        <w:jc w:val="both"/>
      </w:pPr>
      <w:r>
        <w:rPr>
          <w:sz w:val="24"/>
        </w:rPr>
        <w:t xml:space="preserve">2. Для группового водопровода количество одновременных пожаров следует принимать в зависимости от общей численности жителей в населенных пунктах, подключенных к водопроводу.</w:t>
      </w:r>
    </w:p>
    <w:p>
      <w:pPr>
        <w:pStyle w:val="0"/>
        <w:spacing w:before="240" w:lineRule="auto"/>
        <w:ind w:firstLine="540"/>
        <w:jc w:val="both"/>
      </w:pPr>
      <w:r>
        <w:rPr>
          <w:sz w:val="24"/>
        </w:rPr>
        <w:t xml:space="preserve">Расход воды на восстановление пожарного объема по групповому водопроводу следует определять как сумму расходов воды для населенных пунктов (соответственно количеству одновременных пожаров), требующих наибольших расходов на пожаротушение, согласно </w:t>
      </w:r>
      <w:hyperlink w:history="0" w:anchor="P924" w:tooltip="5.18. Максимальный срок восстановления пожарного объема воды должен быть не более:">
        <w:r>
          <w:rPr>
            <w:sz w:val="24"/>
            <w:color w:val="0000ff"/>
          </w:rPr>
          <w:t xml:space="preserve">пункту 5.18</w:t>
        </w:r>
      </w:hyperlink>
      <w:r>
        <w:rPr>
          <w:sz w:val="24"/>
        </w:rPr>
        <w:t xml:space="preserve"> настоящего свода правил.</w:t>
      </w:r>
    </w:p>
    <w:p>
      <w:pPr>
        <w:pStyle w:val="0"/>
        <w:spacing w:before="240" w:lineRule="auto"/>
        <w:ind w:firstLine="540"/>
        <w:jc w:val="both"/>
      </w:pPr>
      <w:r>
        <w:rPr>
          <w:sz w:val="24"/>
        </w:rPr>
        <w:t xml:space="preserve">3. В расчетное количество одновременных пожаров в населенном пункте включены пожары на промышленных предприятиях, расположенных в пределах населенного пункта. При этом в расчетный расход воды следует включать соответствующие расходы воды на пожаротушение на этих предприятиях, но не менее указанных в </w:t>
      </w:r>
      <w:hyperlink w:history="0" w:anchor="P157" w:tooltip="Расход воды на наружное пожаротушение в населенном пункте">
        <w:r>
          <w:rPr>
            <w:sz w:val="24"/>
            <w:color w:val="0000ff"/>
          </w:rPr>
          <w:t xml:space="preserve">таблице 1</w:t>
        </w:r>
      </w:hyperlink>
      <w:r>
        <w:rPr>
          <w:sz w:val="24"/>
        </w:rPr>
        <w:t xml:space="preserve">.</w:t>
      </w:r>
    </w:p>
    <w:p>
      <w:pPr>
        <w:pStyle w:val="0"/>
        <w:jc w:val="both"/>
      </w:pPr>
      <w:r>
        <w:rPr>
          <w:sz w:val="24"/>
        </w:rPr>
      </w:r>
    </w:p>
    <w:bookmarkStart w:id="233" w:name="P233"/>
    <w:bookmarkEnd w:id="233"/>
    <w:p>
      <w:pPr>
        <w:pStyle w:val="0"/>
        <w:ind w:firstLine="540"/>
        <w:jc w:val="both"/>
      </w:pPr>
      <w:r>
        <w:rPr>
          <w:sz w:val="24"/>
        </w:rPr>
        <w:t xml:space="preserve">5.2.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расход воды на наружное пожаротушение (на один пожар) следует принимать по таблице 2 для здания или сооружения, требующего наибольшего расхода воды.</w:t>
      </w:r>
    </w:p>
    <w:p>
      <w:pPr>
        <w:pStyle w:val="0"/>
        <w:jc w:val="both"/>
      </w:pPr>
      <w:r>
        <w:rPr>
          <w:sz w:val="24"/>
        </w:rPr>
        <w:t xml:space="preserve">(в ред. </w:t>
      </w:r>
      <w:hyperlink w:history="0" r:id="rId6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jc w:val="right"/>
      </w:pPr>
      <w:r>
        <w:rPr>
          <w:sz w:val="24"/>
        </w:rPr>
        <w:t xml:space="preserve">Таблица 2</w:t>
      </w:r>
    </w:p>
    <w:p>
      <w:pPr>
        <w:pStyle w:val="0"/>
        <w:jc w:val="both"/>
      </w:pPr>
      <w:r>
        <w:rPr>
          <w:sz w:val="24"/>
        </w:rPr>
      </w:r>
    </w:p>
    <w:bookmarkStart w:id="238" w:name="P238"/>
    <w:bookmarkEnd w:id="238"/>
    <w:p>
      <w:pPr>
        <w:pStyle w:val="2"/>
        <w:outlineLvl w:val="2"/>
        <w:jc w:val="center"/>
      </w:pPr>
      <w:r>
        <w:rPr>
          <w:sz w:val="24"/>
        </w:rPr>
        <w:t xml:space="preserve">Расход воды на наружное пожаротушение зданий и сооружений</w:t>
      </w:r>
    </w:p>
    <w:p>
      <w:pPr>
        <w:pStyle w:val="2"/>
        <w:jc w:val="center"/>
      </w:pPr>
      <w:r>
        <w:rPr>
          <w:sz w:val="24"/>
        </w:rPr>
        <w:t xml:space="preserve">классов функциональной пожарной опасности Ф1, Ф2, Ф3, Ф4</w:t>
      </w:r>
    </w:p>
    <w:p>
      <w:pPr>
        <w:pStyle w:val="0"/>
        <w:jc w:val="center"/>
      </w:pPr>
      <w:r>
        <w:rPr>
          <w:sz w:val="24"/>
        </w:rPr>
      </w:r>
    </w:p>
    <w:p>
      <w:pPr>
        <w:pStyle w:val="0"/>
        <w:jc w:val="center"/>
      </w:pPr>
      <w:r>
        <w:rPr>
          <w:sz w:val="24"/>
        </w:rPr>
        <w:t xml:space="preserve">(в ред. </w:t>
      </w:r>
      <w:hyperlink w:history="0" r:id="rId7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65"/>
        <w:gridCol w:w="801"/>
        <w:gridCol w:w="801"/>
        <w:gridCol w:w="801"/>
        <w:gridCol w:w="801"/>
        <w:gridCol w:w="801"/>
        <w:gridCol w:w="801"/>
        <w:gridCol w:w="801"/>
        <w:gridCol w:w="801"/>
      </w:tblGrid>
      <w:tr>
        <w:tc>
          <w:tcPr>
            <w:tcW w:w="2665" w:type="dxa"/>
            <w:vMerge w:val="restart"/>
          </w:tcPr>
          <w:p>
            <w:pPr>
              <w:pStyle w:val="0"/>
              <w:jc w:val="center"/>
            </w:pPr>
            <w:r>
              <w:rPr>
                <w:sz w:val="24"/>
              </w:rPr>
              <w:t xml:space="preserve">Наименование зданий, сооружений</w:t>
            </w:r>
          </w:p>
        </w:tc>
        <w:tc>
          <w:tcPr>
            <w:gridSpan w:val="8"/>
            <w:tcW w:w="6408" w:type="dxa"/>
          </w:tcPr>
          <w:p>
            <w:pPr>
              <w:pStyle w:val="0"/>
              <w:jc w:val="center"/>
            </w:pPr>
            <w:r>
              <w:rPr>
                <w:sz w:val="24"/>
              </w:rPr>
              <w:t xml:space="preserve">Расход воды на наружное пожаротушение зданий, сооружений на один пожар, л/с, при строительном объеме зданий, сооружений, тыс. м</w:t>
            </w:r>
            <w:r>
              <w:rPr>
                <w:sz w:val="24"/>
                <w:vertAlign w:val="superscript"/>
              </w:rPr>
              <w:t xml:space="preserve">3</w:t>
            </w:r>
          </w:p>
        </w:tc>
      </w:tr>
      <w:tr>
        <w:tc>
          <w:tcPr>
            <w:vMerge w:val="continue"/>
          </w:tcPr>
          <w:p/>
        </w:tc>
        <w:tc>
          <w:tcPr>
            <w:tcW w:w="801" w:type="dxa"/>
          </w:tcPr>
          <w:p>
            <w:pPr>
              <w:pStyle w:val="0"/>
              <w:jc w:val="center"/>
            </w:pPr>
            <w:r>
              <w:rPr>
                <w:sz w:val="24"/>
              </w:rPr>
              <w:t xml:space="preserve">не более 1</w:t>
            </w:r>
          </w:p>
        </w:tc>
        <w:tc>
          <w:tcPr>
            <w:tcW w:w="801" w:type="dxa"/>
          </w:tcPr>
          <w:p>
            <w:pPr>
              <w:pStyle w:val="0"/>
              <w:jc w:val="center"/>
            </w:pPr>
            <w:r>
              <w:rPr>
                <w:sz w:val="24"/>
              </w:rPr>
              <w:t xml:space="preserve">более 1, но не более 5</w:t>
            </w:r>
          </w:p>
        </w:tc>
        <w:tc>
          <w:tcPr>
            <w:tcW w:w="801" w:type="dxa"/>
          </w:tcPr>
          <w:p>
            <w:pPr>
              <w:pStyle w:val="0"/>
              <w:jc w:val="center"/>
            </w:pPr>
            <w:r>
              <w:rPr>
                <w:sz w:val="24"/>
              </w:rPr>
              <w:t xml:space="preserve">более 5, но не более 25</w:t>
            </w:r>
          </w:p>
        </w:tc>
        <w:tc>
          <w:tcPr>
            <w:tcW w:w="801" w:type="dxa"/>
          </w:tcPr>
          <w:p>
            <w:pPr>
              <w:pStyle w:val="0"/>
              <w:jc w:val="center"/>
            </w:pPr>
            <w:r>
              <w:rPr>
                <w:sz w:val="24"/>
              </w:rPr>
              <w:t xml:space="preserve">более 25, но не более 50</w:t>
            </w:r>
          </w:p>
        </w:tc>
        <w:tc>
          <w:tcPr>
            <w:tcW w:w="801" w:type="dxa"/>
          </w:tcPr>
          <w:p>
            <w:pPr>
              <w:pStyle w:val="0"/>
              <w:jc w:val="center"/>
            </w:pPr>
            <w:r>
              <w:rPr>
                <w:sz w:val="24"/>
              </w:rPr>
              <w:t xml:space="preserve">более 50, но не более 150</w:t>
            </w:r>
          </w:p>
        </w:tc>
        <w:tc>
          <w:tcPr>
            <w:tcW w:w="801" w:type="dxa"/>
          </w:tcPr>
          <w:p>
            <w:pPr>
              <w:pStyle w:val="0"/>
              <w:jc w:val="center"/>
            </w:pPr>
            <w:r>
              <w:rPr>
                <w:sz w:val="24"/>
              </w:rPr>
              <w:t xml:space="preserve">более 150, но не более 300</w:t>
            </w:r>
          </w:p>
        </w:tc>
        <w:tc>
          <w:tcPr>
            <w:tcW w:w="801" w:type="dxa"/>
          </w:tcPr>
          <w:p>
            <w:pPr>
              <w:pStyle w:val="0"/>
              <w:jc w:val="center"/>
            </w:pPr>
            <w:r>
              <w:rPr>
                <w:sz w:val="24"/>
              </w:rPr>
              <w:t xml:space="preserve">более 300, но не более 800</w:t>
            </w:r>
          </w:p>
        </w:tc>
        <w:tc>
          <w:tcPr>
            <w:tcW w:w="801" w:type="dxa"/>
          </w:tcPr>
          <w:p>
            <w:pPr>
              <w:pStyle w:val="0"/>
              <w:jc w:val="center"/>
            </w:pPr>
            <w:r>
              <w:rPr>
                <w:sz w:val="24"/>
              </w:rPr>
              <w:t xml:space="preserve">более 800</w:t>
            </w:r>
          </w:p>
        </w:tc>
      </w:tr>
      <w:tr>
        <w:tc>
          <w:tcPr>
            <w:tcW w:w="2665" w:type="dxa"/>
          </w:tcPr>
          <w:p>
            <w:pPr>
              <w:pStyle w:val="0"/>
            </w:pPr>
            <w:r>
              <w:rPr>
                <w:sz w:val="24"/>
              </w:rPr>
              <w:t xml:space="preserve">Здания, сооружения класса функциональной пожарной опасности Ф1.3, Ф1.4 одно- и многосекционные при количестве этажей:</w:t>
            </w:r>
          </w:p>
        </w:tc>
        <w:tc>
          <w:tcPr>
            <w:gridSpan w:val="8"/>
            <w:tcW w:w="6408" w:type="dxa"/>
            <w:vAlign w:val="center"/>
          </w:tcPr>
          <w:p>
            <w:pPr>
              <w:pStyle w:val="0"/>
            </w:pPr>
            <w:r>
              <w:rPr>
                <w:sz w:val="24"/>
              </w:rPr>
            </w:r>
          </w:p>
        </w:tc>
      </w:tr>
      <w:tr>
        <w:tc>
          <w:tcPr>
            <w:tcW w:w="2665" w:type="dxa"/>
          </w:tcPr>
          <w:p>
            <w:pPr>
              <w:pStyle w:val="0"/>
            </w:pPr>
            <w:r>
              <w:rPr>
                <w:sz w:val="24"/>
              </w:rPr>
              <w:t xml:space="preserve">не более 2</w:t>
            </w:r>
          </w:p>
        </w:tc>
        <w:tc>
          <w:tcPr>
            <w:tcW w:w="801" w:type="dxa"/>
            <w:vAlign w:val="center"/>
          </w:tcPr>
          <w:p>
            <w:pPr>
              <w:pStyle w:val="0"/>
              <w:jc w:val="center"/>
            </w:pPr>
            <w:r>
              <w:rPr>
                <w:sz w:val="24"/>
              </w:rPr>
              <w:t xml:space="preserve">10 &lt;*&gt;</w:t>
            </w:r>
          </w:p>
        </w:tc>
        <w:tc>
          <w:tcPr>
            <w:tcW w:w="801" w:type="dxa"/>
            <w:vAlign w:val="center"/>
          </w:tcPr>
          <w:p>
            <w:pPr>
              <w:pStyle w:val="0"/>
              <w:jc w:val="center"/>
            </w:pPr>
            <w:r>
              <w:rPr>
                <w:sz w:val="24"/>
              </w:rPr>
              <w:t xml:space="preserve">10</w:t>
            </w:r>
          </w:p>
        </w:tc>
        <w:tc>
          <w:tcPr>
            <w:tcW w:w="801" w:type="dxa"/>
            <w:vAlign w:val="center"/>
          </w:tcPr>
          <w:p>
            <w:pPr>
              <w:pStyle w:val="0"/>
              <w:jc w:val="center"/>
            </w:pPr>
            <w:r>
              <w:rPr>
                <w:sz w:val="24"/>
              </w:rPr>
              <w:t xml:space="preserve">15</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25</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r>
      <w:tr>
        <w:tc>
          <w:tcPr>
            <w:tcW w:w="2665" w:type="dxa"/>
          </w:tcPr>
          <w:p>
            <w:pPr>
              <w:pStyle w:val="0"/>
            </w:pPr>
            <w:r>
              <w:rPr>
                <w:sz w:val="24"/>
              </w:rPr>
              <w:t xml:space="preserve">более 2, но не более 12</w:t>
            </w:r>
          </w:p>
        </w:tc>
        <w:tc>
          <w:tcPr>
            <w:tcW w:w="801" w:type="dxa"/>
            <w:vAlign w:val="center"/>
          </w:tcPr>
          <w:p>
            <w:pPr>
              <w:pStyle w:val="0"/>
              <w:jc w:val="center"/>
            </w:pPr>
            <w:r>
              <w:rPr>
                <w:sz w:val="24"/>
              </w:rPr>
              <w:t xml:space="preserve">10</w:t>
            </w:r>
          </w:p>
        </w:tc>
        <w:tc>
          <w:tcPr>
            <w:tcW w:w="801" w:type="dxa"/>
            <w:vAlign w:val="center"/>
          </w:tcPr>
          <w:p>
            <w:pPr>
              <w:pStyle w:val="0"/>
              <w:jc w:val="center"/>
            </w:pPr>
            <w:r>
              <w:rPr>
                <w:sz w:val="24"/>
              </w:rPr>
              <w:t xml:space="preserve">15</w:t>
            </w:r>
          </w:p>
        </w:tc>
        <w:tc>
          <w:tcPr>
            <w:tcW w:w="801" w:type="dxa"/>
            <w:vAlign w:val="center"/>
          </w:tcPr>
          <w:p>
            <w:pPr>
              <w:pStyle w:val="0"/>
              <w:jc w:val="center"/>
            </w:pPr>
            <w:r>
              <w:rPr>
                <w:sz w:val="24"/>
              </w:rPr>
              <w:t xml:space="preserve">15</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25</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r>
      <w:tr>
        <w:tc>
          <w:tcPr>
            <w:tcW w:w="2665" w:type="dxa"/>
          </w:tcPr>
          <w:p>
            <w:pPr>
              <w:pStyle w:val="0"/>
            </w:pPr>
            <w:r>
              <w:rPr>
                <w:sz w:val="24"/>
              </w:rPr>
              <w:t xml:space="preserve">более 12, но не более 16</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25</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c>
          <w:tcPr>
            <w:tcW w:w="801" w:type="dxa"/>
            <w:vAlign w:val="center"/>
          </w:tcPr>
          <w:p>
            <w:pPr>
              <w:pStyle w:val="0"/>
              <w:jc w:val="center"/>
            </w:pPr>
            <w:r>
              <w:rPr>
                <w:sz w:val="24"/>
              </w:rPr>
              <w:t xml:space="preserve">45</w:t>
            </w:r>
          </w:p>
        </w:tc>
      </w:tr>
      <w:tr>
        <w:tc>
          <w:tcPr>
            <w:tcW w:w="2665" w:type="dxa"/>
          </w:tcPr>
          <w:p>
            <w:pPr>
              <w:pStyle w:val="0"/>
            </w:pPr>
            <w:r>
              <w:rPr>
                <w:sz w:val="24"/>
              </w:rPr>
              <w:t xml:space="preserve">более 16, но не более 25</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25</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50</w:t>
            </w:r>
          </w:p>
        </w:tc>
        <w:tc>
          <w:tcPr>
            <w:tcW w:w="801" w:type="dxa"/>
            <w:vAlign w:val="center"/>
          </w:tcPr>
          <w:p>
            <w:pPr>
              <w:pStyle w:val="0"/>
              <w:jc w:val="center"/>
            </w:pPr>
            <w:r>
              <w:rPr>
                <w:sz w:val="24"/>
              </w:rPr>
              <w:t xml:space="preserve">60</w:t>
            </w:r>
          </w:p>
        </w:tc>
      </w:tr>
      <w:tr>
        <w:tc>
          <w:tcPr>
            <w:tcW w:w="2665" w:type="dxa"/>
          </w:tcPr>
          <w:p>
            <w:pPr>
              <w:pStyle w:val="0"/>
            </w:pPr>
            <w:r>
              <w:rPr>
                <w:sz w:val="24"/>
              </w:rPr>
              <w:t xml:space="preserve">более 25</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60</w:t>
            </w:r>
          </w:p>
        </w:tc>
        <w:tc>
          <w:tcPr>
            <w:tcW w:w="801" w:type="dxa"/>
            <w:vAlign w:val="center"/>
          </w:tcPr>
          <w:p>
            <w:pPr>
              <w:pStyle w:val="0"/>
              <w:jc w:val="center"/>
            </w:pPr>
            <w:r>
              <w:rPr>
                <w:sz w:val="24"/>
              </w:rPr>
              <w:t xml:space="preserve">80</w:t>
            </w:r>
          </w:p>
        </w:tc>
        <w:tc>
          <w:tcPr>
            <w:tcW w:w="801" w:type="dxa"/>
            <w:vAlign w:val="center"/>
          </w:tcPr>
          <w:p>
            <w:pPr>
              <w:pStyle w:val="0"/>
              <w:jc w:val="center"/>
            </w:pPr>
            <w:r>
              <w:rPr>
                <w:sz w:val="24"/>
              </w:rPr>
              <w:t xml:space="preserve">90</w:t>
            </w:r>
          </w:p>
        </w:tc>
        <w:tc>
          <w:tcPr>
            <w:tcW w:w="801" w:type="dxa"/>
            <w:vAlign w:val="center"/>
          </w:tcPr>
          <w:p>
            <w:pPr>
              <w:pStyle w:val="0"/>
              <w:jc w:val="center"/>
            </w:pPr>
            <w:r>
              <w:rPr>
                <w:sz w:val="24"/>
              </w:rPr>
              <w:t xml:space="preserve">100</w:t>
            </w:r>
          </w:p>
        </w:tc>
        <w:tc>
          <w:tcPr>
            <w:tcW w:w="801" w:type="dxa"/>
            <w:vAlign w:val="center"/>
          </w:tcPr>
          <w:p>
            <w:pPr>
              <w:pStyle w:val="0"/>
              <w:jc w:val="center"/>
            </w:pPr>
            <w:r>
              <w:rPr>
                <w:sz w:val="24"/>
              </w:rPr>
              <w:t xml:space="preserve">100</w:t>
            </w:r>
          </w:p>
        </w:tc>
        <w:tc>
          <w:tcPr>
            <w:tcW w:w="801" w:type="dxa"/>
            <w:vAlign w:val="center"/>
          </w:tcPr>
          <w:p>
            <w:pPr>
              <w:pStyle w:val="0"/>
              <w:jc w:val="center"/>
            </w:pPr>
            <w:r>
              <w:rPr>
                <w:sz w:val="24"/>
              </w:rPr>
              <w:t xml:space="preserve">100</w:t>
            </w:r>
          </w:p>
        </w:tc>
      </w:tr>
      <w:tr>
        <w:tc>
          <w:tcPr>
            <w:tcW w:w="2665" w:type="dxa"/>
          </w:tcPr>
          <w:p>
            <w:pPr>
              <w:pStyle w:val="0"/>
            </w:pPr>
            <w:r>
              <w:rPr>
                <w:sz w:val="24"/>
              </w:rPr>
              <w:t xml:space="preserve">Здания, сооружения класса функциональной пожарной опасности Ф1.1, Ф1.2, Ф2, Ф3, Ф4 при количестве этажей:</w:t>
            </w:r>
          </w:p>
        </w:tc>
        <w:tc>
          <w:tcPr>
            <w:gridSpan w:val="8"/>
            <w:tcW w:w="6408" w:type="dxa"/>
            <w:vAlign w:val="center"/>
          </w:tcPr>
          <w:p>
            <w:pPr>
              <w:pStyle w:val="0"/>
            </w:pPr>
            <w:r>
              <w:rPr>
                <w:sz w:val="24"/>
              </w:rPr>
            </w:r>
          </w:p>
        </w:tc>
      </w:tr>
      <w:tr>
        <w:tc>
          <w:tcPr>
            <w:tcW w:w="2665" w:type="dxa"/>
          </w:tcPr>
          <w:p>
            <w:pPr>
              <w:pStyle w:val="0"/>
            </w:pPr>
            <w:r>
              <w:rPr>
                <w:sz w:val="24"/>
              </w:rPr>
              <w:t xml:space="preserve">не более 2</w:t>
            </w:r>
          </w:p>
        </w:tc>
        <w:tc>
          <w:tcPr>
            <w:tcW w:w="801" w:type="dxa"/>
            <w:vAlign w:val="center"/>
          </w:tcPr>
          <w:p>
            <w:pPr>
              <w:pStyle w:val="0"/>
              <w:jc w:val="center"/>
            </w:pPr>
            <w:r>
              <w:rPr>
                <w:sz w:val="24"/>
              </w:rPr>
              <w:t xml:space="preserve">10 &lt;*&gt;</w:t>
            </w:r>
          </w:p>
        </w:tc>
        <w:tc>
          <w:tcPr>
            <w:tcW w:w="801" w:type="dxa"/>
            <w:vAlign w:val="center"/>
          </w:tcPr>
          <w:p>
            <w:pPr>
              <w:pStyle w:val="0"/>
              <w:jc w:val="center"/>
            </w:pPr>
            <w:r>
              <w:rPr>
                <w:sz w:val="24"/>
              </w:rPr>
              <w:t xml:space="preserve">10</w:t>
            </w:r>
          </w:p>
        </w:tc>
        <w:tc>
          <w:tcPr>
            <w:tcW w:w="801" w:type="dxa"/>
            <w:vAlign w:val="center"/>
          </w:tcPr>
          <w:p>
            <w:pPr>
              <w:pStyle w:val="0"/>
              <w:jc w:val="center"/>
            </w:pPr>
            <w:r>
              <w:rPr>
                <w:sz w:val="24"/>
              </w:rPr>
              <w:t xml:space="preserve">15</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r>
      <w:tr>
        <w:tc>
          <w:tcPr>
            <w:tcW w:w="2665" w:type="dxa"/>
          </w:tcPr>
          <w:p>
            <w:pPr>
              <w:pStyle w:val="0"/>
            </w:pPr>
            <w:r>
              <w:rPr>
                <w:sz w:val="24"/>
              </w:rPr>
              <w:t xml:space="preserve">более 2, но не более 6</w:t>
            </w:r>
          </w:p>
        </w:tc>
        <w:tc>
          <w:tcPr>
            <w:tcW w:w="801" w:type="dxa"/>
            <w:vAlign w:val="center"/>
          </w:tcPr>
          <w:p>
            <w:pPr>
              <w:pStyle w:val="0"/>
              <w:jc w:val="center"/>
            </w:pPr>
            <w:r>
              <w:rPr>
                <w:sz w:val="24"/>
              </w:rPr>
              <w:t xml:space="preserve">10</w:t>
            </w:r>
          </w:p>
        </w:tc>
        <w:tc>
          <w:tcPr>
            <w:tcW w:w="801" w:type="dxa"/>
            <w:vAlign w:val="center"/>
          </w:tcPr>
          <w:p>
            <w:pPr>
              <w:pStyle w:val="0"/>
              <w:jc w:val="center"/>
            </w:pPr>
            <w:r>
              <w:rPr>
                <w:sz w:val="24"/>
              </w:rPr>
              <w:t xml:space="preserve">15</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25</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c>
          <w:tcPr>
            <w:tcW w:w="801" w:type="dxa"/>
            <w:vAlign w:val="center"/>
          </w:tcPr>
          <w:p>
            <w:pPr>
              <w:pStyle w:val="0"/>
              <w:jc w:val="center"/>
            </w:pPr>
            <w:r>
              <w:rPr>
                <w:sz w:val="24"/>
              </w:rPr>
              <w:t xml:space="preserve">40</w:t>
            </w:r>
          </w:p>
        </w:tc>
      </w:tr>
      <w:tr>
        <w:tc>
          <w:tcPr>
            <w:tcW w:w="2665" w:type="dxa"/>
          </w:tcPr>
          <w:p>
            <w:pPr>
              <w:pStyle w:val="0"/>
            </w:pPr>
            <w:r>
              <w:rPr>
                <w:sz w:val="24"/>
              </w:rPr>
              <w:t xml:space="preserve">более 6, но не более 12</w:t>
            </w:r>
          </w:p>
        </w:tc>
        <w:tc>
          <w:tcPr>
            <w:tcW w:w="801" w:type="dxa"/>
            <w:vAlign w:val="center"/>
          </w:tcPr>
          <w:p>
            <w:pPr>
              <w:pStyle w:val="0"/>
              <w:jc w:val="center"/>
            </w:pPr>
            <w:r>
              <w:rPr>
                <w:sz w:val="24"/>
              </w:rPr>
              <w:t xml:space="preserve">15</w:t>
            </w:r>
          </w:p>
        </w:tc>
        <w:tc>
          <w:tcPr>
            <w:tcW w:w="801" w:type="dxa"/>
            <w:vAlign w:val="center"/>
          </w:tcPr>
          <w:p>
            <w:pPr>
              <w:pStyle w:val="0"/>
              <w:jc w:val="center"/>
            </w:pPr>
            <w:r>
              <w:rPr>
                <w:sz w:val="24"/>
              </w:rPr>
              <w:t xml:space="preserve">20</w:t>
            </w:r>
          </w:p>
        </w:tc>
        <w:tc>
          <w:tcPr>
            <w:tcW w:w="801" w:type="dxa"/>
            <w:vAlign w:val="center"/>
          </w:tcPr>
          <w:p>
            <w:pPr>
              <w:pStyle w:val="0"/>
              <w:jc w:val="center"/>
            </w:pPr>
            <w:r>
              <w:rPr>
                <w:sz w:val="24"/>
              </w:rPr>
              <w:t xml:space="preserve">25</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c>
          <w:tcPr>
            <w:tcW w:w="801" w:type="dxa"/>
            <w:vAlign w:val="center"/>
          </w:tcPr>
          <w:p>
            <w:pPr>
              <w:pStyle w:val="0"/>
              <w:jc w:val="center"/>
            </w:pPr>
            <w:r>
              <w:rPr>
                <w:sz w:val="24"/>
              </w:rPr>
              <w:t xml:space="preserve">40</w:t>
            </w:r>
          </w:p>
        </w:tc>
        <w:tc>
          <w:tcPr>
            <w:tcW w:w="801" w:type="dxa"/>
            <w:vAlign w:val="center"/>
          </w:tcPr>
          <w:p>
            <w:pPr>
              <w:pStyle w:val="0"/>
              <w:jc w:val="center"/>
            </w:pPr>
            <w:r>
              <w:rPr>
                <w:sz w:val="24"/>
              </w:rPr>
              <w:t xml:space="preserve">50</w:t>
            </w:r>
          </w:p>
        </w:tc>
      </w:tr>
      <w:tr>
        <w:tc>
          <w:tcPr>
            <w:tcW w:w="2665" w:type="dxa"/>
          </w:tcPr>
          <w:p>
            <w:pPr>
              <w:pStyle w:val="0"/>
            </w:pPr>
            <w:r>
              <w:rPr>
                <w:sz w:val="24"/>
              </w:rPr>
              <w:t xml:space="preserve">более 12, но не более 16</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50</w:t>
            </w:r>
          </w:p>
        </w:tc>
        <w:tc>
          <w:tcPr>
            <w:tcW w:w="801" w:type="dxa"/>
            <w:vAlign w:val="center"/>
          </w:tcPr>
          <w:p>
            <w:pPr>
              <w:pStyle w:val="0"/>
              <w:jc w:val="center"/>
            </w:pPr>
            <w:r>
              <w:rPr>
                <w:sz w:val="24"/>
              </w:rPr>
              <w:t xml:space="preserve">50</w:t>
            </w:r>
          </w:p>
        </w:tc>
        <w:tc>
          <w:tcPr>
            <w:tcW w:w="801" w:type="dxa"/>
            <w:vAlign w:val="center"/>
          </w:tcPr>
          <w:p>
            <w:pPr>
              <w:pStyle w:val="0"/>
              <w:jc w:val="center"/>
            </w:pPr>
            <w:r>
              <w:rPr>
                <w:sz w:val="24"/>
              </w:rPr>
              <w:t xml:space="preserve">60</w:t>
            </w:r>
          </w:p>
        </w:tc>
      </w:tr>
      <w:tr>
        <w:tc>
          <w:tcPr>
            <w:tcW w:w="2665" w:type="dxa"/>
          </w:tcPr>
          <w:p>
            <w:pPr>
              <w:pStyle w:val="0"/>
            </w:pPr>
            <w:r>
              <w:rPr>
                <w:sz w:val="24"/>
              </w:rPr>
              <w:t xml:space="preserve">более 16, но не более 25</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30</w:t>
            </w:r>
          </w:p>
        </w:tc>
        <w:tc>
          <w:tcPr>
            <w:tcW w:w="801" w:type="dxa"/>
            <w:vAlign w:val="center"/>
          </w:tcPr>
          <w:p>
            <w:pPr>
              <w:pStyle w:val="0"/>
              <w:jc w:val="center"/>
            </w:pPr>
            <w:r>
              <w:rPr>
                <w:sz w:val="24"/>
              </w:rPr>
              <w:t xml:space="preserve">35</w:t>
            </w:r>
          </w:p>
        </w:tc>
        <w:tc>
          <w:tcPr>
            <w:tcW w:w="801" w:type="dxa"/>
            <w:vAlign w:val="center"/>
          </w:tcPr>
          <w:p>
            <w:pPr>
              <w:pStyle w:val="0"/>
              <w:jc w:val="center"/>
            </w:pPr>
            <w:r>
              <w:rPr>
                <w:sz w:val="24"/>
              </w:rPr>
              <w:t xml:space="preserve">40</w:t>
            </w:r>
          </w:p>
        </w:tc>
        <w:tc>
          <w:tcPr>
            <w:tcW w:w="801" w:type="dxa"/>
            <w:vAlign w:val="center"/>
          </w:tcPr>
          <w:p>
            <w:pPr>
              <w:pStyle w:val="0"/>
              <w:jc w:val="center"/>
            </w:pPr>
            <w:r>
              <w:rPr>
                <w:sz w:val="24"/>
              </w:rPr>
              <w:t xml:space="preserve">50</w:t>
            </w:r>
          </w:p>
        </w:tc>
        <w:tc>
          <w:tcPr>
            <w:tcW w:w="801" w:type="dxa"/>
            <w:vAlign w:val="center"/>
          </w:tcPr>
          <w:p>
            <w:pPr>
              <w:pStyle w:val="0"/>
              <w:jc w:val="center"/>
            </w:pPr>
            <w:r>
              <w:rPr>
                <w:sz w:val="24"/>
              </w:rPr>
              <w:t xml:space="preserve">50</w:t>
            </w:r>
          </w:p>
        </w:tc>
        <w:tc>
          <w:tcPr>
            <w:tcW w:w="801" w:type="dxa"/>
            <w:vAlign w:val="center"/>
          </w:tcPr>
          <w:p>
            <w:pPr>
              <w:pStyle w:val="0"/>
              <w:jc w:val="center"/>
            </w:pPr>
            <w:r>
              <w:rPr>
                <w:sz w:val="24"/>
              </w:rPr>
              <w:t xml:space="preserve">60</w:t>
            </w:r>
          </w:p>
        </w:tc>
      </w:tr>
      <w:tr>
        <w:tc>
          <w:tcPr>
            <w:tcW w:w="2665" w:type="dxa"/>
            <w:vAlign w:val="center"/>
          </w:tcPr>
          <w:p>
            <w:pPr>
              <w:pStyle w:val="0"/>
            </w:pPr>
            <w:r>
              <w:rPr>
                <w:sz w:val="24"/>
              </w:rPr>
              <w:t xml:space="preserve">более 25</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w:t>
            </w:r>
          </w:p>
        </w:tc>
        <w:tc>
          <w:tcPr>
            <w:tcW w:w="801" w:type="dxa"/>
            <w:vAlign w:val="center"/>
          </w:tcPr>
          <w:p>
            <w:pPr>
              <w:pStyle w:val="0"/>
              <w:jc w:val="center"/>
            </w:pPr>
            <w:r>
              <w:rPr>
                <w:sz w:val="24"/>
              </w:rPr>
              <w:t xml:space="preserve">70</w:t>
            </w:r>
          </w:p>
        </w:tc>
        <w:tc>
          <w:tcPr>
            <w:tcW w:w="801" w:type="dxa"/>
            <w:vAlign w:val="center"/>
          </w:tcPr>
          <w:p>
            <w:pPr>
              <w:pStyle w:val="0"/>
              <w:jc w:val="center"/>
            </w:pPr>
            <w:r>
              <w:rPr>
                <w:sz w:val="24"/>
              </w:rPr>
              <w:t xml:space="preserve">90</w:t>
            </w:r>
          </w:p>
        </w:tc>
        <w:tc>
          <w:tcPr>
            <w:tcW w:w="801" w:type="dxa"/>
            <w:vAlign w:val="center"/>
          </w:tcPr>
          <w:p>
            <w:pPr>
              <w:pStyle w:val="0"/>
              <w:jc w:val="center"/>
            </w:pPr>
            <w:r>
              <w:rPr>
                <w:sz w:val="24"/>
              </w:rPr>
              <w:t xml:space="preserve">100</w:t>
            </w:r>
          </w:p>
        </w:tc>
        <w:tc>
          <w:tcPr>
            <w:tcW w:w="801" w:type="dxa"/>
            <w:vAlign w:val="center"/>
          </w:tcPr>
          <w:p>
            <w:pPr>
              <w:pStyle w:val="0"/>
              <w:jc w:val="center"/>
            </w:pPr>
            <w:r>
              <w:rPr>
                <w:sz w:val="24"/>
              </w:rPr>
              <w:t xml:space="preserve">100</w:t>
            </w:r>
          </w:p>
        </w:tc>
        <w:tc>
          <w:tcPr>
            <w:tcW w:w="801" w:type="dxa"/>
            <w:vAlign w:val="center"/>
          </w:tcPr>
          <w:p>
            <w:pPr>
              <w:pStyle w:val="0"/>
              <w:jc w:val="center"/>
            </w:pPr>
            <w:r>
              <w:rPr>
                <w:sz w:val="24"/>
              </w:rPr>
              <w:t xml:space="preserve">100</w:t>
            </w:r>
          </w:p>
        </w:tc>
        <w:tc>
          <w:tcPr>
            <w:tcW w:w="801" w:type="dxa"/>
            <w:vAlign w:val="center"/>
          </w:tcPr>
          <w:p>
            <w:pPr>
              <w:pStyle w:val="0"/>
              <w:jc w:val="center"/>
            </w:pPr>
            <w:r>
              <w:rPr>
                <w:sz w:val="24"/>
              </w:rPr>
              <w:t xml:space="preserve">100</w:t>
            </w:r>
          </w:p>
        </w:tc>
      </w:tr>
    </w:tbl>
    <w:p>
      <w:pPr>
        <w:pStyle w:val="0"/>
        <w:jc w:val="both"/>
      </w:pPr>
      <w:r>
        <w:rPr>
          <w:sz w:val="24"/>
        </w:rPr>
      </w:r>
    </w:p>
    <w:p>
      <w:pPr>
        <w:pStyle w:val="0"/>
        <w:ind w:firstLine="540"/>
        <w:jc w:val="both"/>
      </w:pPr>
      <w:r>
        <w:rPr>
          <w:sz w:val="24"/>
        </w:rPr>
        <w:t xml:space="preserve">--------------------------------</w:t>
      </w:r>
    </w:p>
    <w:p>
      <w:pPr>
        <w:pStyle w:val="0"/>
        <w:spacing w:before="240" w:lineRule="auto"/>
        <w:ind w:firstLine="540"/>
        <w:jc w:val="both"/>
      </w:pPr>
      <w:r>
        <w:rPr>
          <w:sz w:val="24"/>
        </w:rPr>
        <w:t xml:space="preserve">&lt;*&gt; Для населенных пунктов с числом жителей не более 5 тыс. чел. расход воды на один пожар допускается принимать 5 л/с.</w:t>
      </w:r>
    </w:p>
    <w:p>
      <w:pPr>
        <w:pStyle w:val="0"/>
        <w:jc w:val="both"/>
      </w:pPr>
      <w:r>
        <w:rPr>
          <w:sz w:val="24"/>
        </w:rPr>
      </w:r>
    </w:p>
    <w:p>
      <w:pPr>
        <w:pStyle w:val="0"/>
        <w:ind w:firstLine="540"/>
        <w:jc w:val="both"/>
      </w:pPr>
      <w:r>
        <w:rPr>
          <w:sz w:val="24"/>
        </w:rPr>
        <w:t xml:space="preserve">Примечание: количество этажей здания или сооружения - общее количество всех планировочных уровней здания или сооружения, определяемых как этаж.</w:t>
      </w:r>
    </w:p>
    <w:p>
      <w:pPr>
        <w:pStyle w:val="0"/>
        <w:spacing w:before="240" w:lineRule="auto"/>
        <w:ind w:firstLine="540"/>
        <w:jc w:val="both"/>
      </w:pPr>
      <w:r>
        <w:rPr>
          <w:sz w:val="24"/>
        </w:rPr>
        <w:t xml:space="preserve">При определении количества этажей учитывают:</w:t>
      </w:r>
    </w:p>
    <w:p>
      <w:pPr>
        <w:pStyle w:val="0"/>
        <w:spacing w:before="240" w:lineRule="auto"/>
        <w:ind w:firstLine="540"/>
        <w:jc w:val="both"/>
      </w:pPr>
      <w:r>
        <w:rPr>
          <w:sz w:val="24"/>
        </w:rPr>
        <w:t xml:space="preserve">- все надземные этажи, в том числе мансардный;</w:t>
      </w:r>
    </w:p>
    <w:p>
      <w:pPr>
        <w:pStyle w:val="0"/>
        <w:spacing w:before="240" w:lineRule="auto"/>
        <w:ind w:firstLine="540"/>
        <w:jc w:val="both"/>
      </w:pPr>
      <w:r>
        <w:rPr>
          <w:sz w:val="24"/>
        </w:rPr>
        <w:t xml:space="preserve">- все подземные этажи, а также подвальный и цокольный этаж(и).</w:t>
      </w:r>
    </w:p>
    <w:p>
      <w:pPr>
        <w:pStyle w:val="0"/>
        <w:spacing w:before="240" w:lineRule="auto"/>
        <w:ind w:firstLine="540"/>
        <w:jc w:val="both"/>
      </w:pPr>
      <w:r>
        <w:rPr>
          <w:sz w:val="24"/>
        </w:rPr>
        <w:t xml:space="preserve">При определении количества этажей не учитывают:</w:t>
      </w:r>
    </w:p>
    <w:p>
      <w:pPr>
        <w:pStyle w:val="0"/>
        <w:spacing w:before="240" w:lineRule="auto"/>
        <w:ind w:firstLine="540"/>
        <w:jc w:val="both"/>
      </w:pPr>
      <w:r>
        <w:rPr>
          <w:sz w:val="24"/>
        </w:rPr>
        <w:t xml:space="preserve">- подполье для проветривания здания или сооружения на многолетнемерзлых грунтах;</w:t>
      </w:r>
    </w:p>
    <w:p>
      <w:pPr>
        <w:pStyle w:val="0"/>
        <w:spacing w:before="240" w:lineRule="auto"/>
        <w:ind w:firstLine="540"/>
        <w:jc w:val="both"/>
      </w:pPr>
      <w:r>
        <w:rPr>
          <w:sz w:val="24"/>
        </w:rPr>
        <w:t xml:space="preserve">- техническое подполье под зданием или сооружением, независимо от его высоты, а также междуэтажное пространство и технический чердак с высотой менее 1,8 м;</w:t>
      </w:r>
    </w:p>
    <w:p>
      <w:pPr>
        <w:pStyle w:val="0"/>
        <w:spacing w:before="240" w:lineRule="auto"/>
        <w:ind w:firstLine="540"/>
        <w:jc w:val="both"/>
      </w:pPr>
      <w:r>
        <w:rPr>
          <w:sz w:val="24"/>
        </w:rPr>
        <w:t xml:space="preserve">- отдельные технические надстройки на кровле, такие как выходы на кровлю из лестничных клеток; выезды на кровлю (для гаражей); машинные помещения лифтов, выходящие на кровлю; вентиляционные камеры и другие технические помещения, суммарной площадью менее 15% площади кровли здания или сооружения, независимо от высоты такой надстройки над уровнем кровли.</w:t>
      </w:r>
    </w:p>
    <w:p>
      <w:pPr>
        <w:pStyle w:val="0"/>
        <w:jc w:val="both"/>
      </w:pPr>
      <w:r>
        <w:rPr>
          <w:sz w:val="24"/>
        </w:rPr>
        <w:t xml:space="preserve">(примечание в ред. </w:t>
      </w:r>
      <w:hyperlink w:history="0" r:id="rId7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bookmarkStart w:id="370" w:name="P370"/>
    <w:bookmarkEnd w:id="370"/>
    <w:p>
      <w:pPr>
        <w:pStyle w:val="0"/>
        <w:ind w:firstLine="540"/>
        <w:jc w:val="both"/>
      </w:pPr>
      <w:r>
        <w:rPr>
          <w:sz w:val="24"/>
        </w:rPr>
        <w:t xml:space="preserve">5.3. Расход воды на наружное пожаротушение производственных объектов (за исключением случаев, для которых настоящим сводом правил установлены иные требования) на один пожар должен приниматься для здания или сооружения, требующего наибольшего расхода воды, по </w:t>
      </w:r>
      <w:hyperlink w:history="0" w:anchor="P375" w:tooltip="Расход воды на наружное пожаротушение зданий и сооружений">
        <w:r>
          <w:rPr>
            <w:sz w:val="24"/>
            <w:color w:val="0000ff"/>
          </w:rPr>
          <w:t xml:space="preserve">таблицам 3</w:t>
        </w:r>
      </w:hyperlink>
      <w:r>
        <w:rPr>
          <w:sz w:val="24"/>
        </w:rPr>
        <w:t xml:space="preserve"> и </w:t>
      </w:r>
      <w:hyperlink w:history="0" w:anchor="P554" w:tooltip="Расход воды на наружное пожаротушение зданий">
        <w:r>
          <w:rPr>
            <w:sz w:val="24"/>
            <w:color w:val="0000ff"/>
          </w:rPr>
          <w:t xml:space="preserve">4</w:t>
        </w:r>
      </w:hyperlink>
      <w:r>
        <w:rPr>
          <w:sz w:val="24"/>
        </w:rPr>
        <w:t xml:space="preserve">.</w:t>
      </w:r>
    </w:p>
    <w:p>
      <w:pPr>
        <w:pStyle w:val="0"/>
        <w:jc w:val="both"/>
      </w:pPr>
      <w:r>
        <w:rPr>
          <w:sz w:val="24"/>
        </w:rPr>
        <w:t xml:space="preserve">(п. 5.3 в ред. </w:t>
      </w:r>
      <w:hyperlink w:history="0" r:id="rId7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jc w:val="right"/>
      </w:pPr>
      <w:r>
        <w:rPr>
          <w:sz w:val="24"/>
        </w:rPr>
        <w:t xml:space="preserve">Таблица 3</w:t>
      </w:r>
    </w:p>
    <w:p>
      <w:pPr>
        <w:pStyle w:val="0"/>
        <w:jc w:val="both"/>
      </w:pPr>
      <w:r>
        <w:rPr>
          <w:sz w:val="24"/>
        </w:rPr>
      </w:r>
    </w:p>
    <w:bookmarkStart w:id="375" w:name="P375"/>
    <w:bookmarkEnd w:id="375"/>
    <w:p>
      <w:pPr>
        <w:pStyle w:val="2"/>
        <w:outlineLvl w:val="2"/>
        <w:jc w:val="center"/>
      </w:pPr>
      <w:r>
        <w:rPr>
          <w:sz w:val="24"/>
        </w:rPr>
        <w:t xml:space="preserve">Расход воды на наружное пожаротушение зданий и сооружений</w:t>
      </w:r>
    </w:p>
    <w:p>
      <w:pPr>
        <w:pStyle w:val="2"/>
        <w:jc w:val="center"/>
      </w:pPr>
      <w:r>
        <w:rPr>
          <w:sz w:val="24"/>
        </w:rPr>
        <w:t xml:space="preserve">класса функциональной пожарной опасности Ф5 без фонарей</w:t>
      </w:r>
    </w:p>
    <w:p>
      <w:pPr>
        <w:pStyle w:val="2"/>
        <w:jc w:val="center"/>
      </w:pPr>
      <w:r>
        <w:rPr>
          <w:sz w:val="24"/>
        </w:rPr>
        <w:t xml:space="preserve">шириной не более 60 м и с фонарями любой ширины</w:t>
      </w:r>
    </w:p>
    <w:p>
      <w:pPr>
        <w:pStyle w:val="0"/>
        <w:jc w:val="center"/>
      </w:pPr>
      <w:r>
        <w:rPr>
          <w:sz w:val="24"/>
        </w:rPr>
      </w:r>
    </w:p>
    <w:p>
      <w:pPr>
        <w:pStyle w:val="0"/>
        <w:jc w:val="center"/>
      </w:pPr>
      <w:r>
        <w:rPr>
          <w:sz w:val="24"/>
        </w:rPr>
        <w:t xml:space="preserve">(в ред. </w:t>
      </w:r>
      <w:hyperlink w:history="0" r:id="rId7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03"/>
        <w:gridCol w:w="1530"/>
        <w:gridCol w:w="1247"/>
        <w:gridCol w:w="778"/>
        <w:gridCol w:w="778"/>
        <w:gridCol w:w="778"/>
        <w:gridCol w:w="778"/>
        <w:gridCol w:w="778"/>
        <w:gridCol w:w="778"/>
        <w:gridCol w:w="778"/>
        <w:gridCol w:w="778"/>
        <w:gridCol w:w="778"/>
        <w:gridCol w:w="784"/>
      </w:tblGrid>
      <w:tr>
        <w:tc>
          <w:tcPr>
            <w:tcW w:w="1303" w:type="dxa"/>
            <w:vMerge w:val="restart"/>
          </w:tcPr>
          <w:p>
            <w:pPr>
              <w:pStyle w:val="0"/>
              <w:jc w:val="center"/>
            </w:pPr>
            <w:r>
              <w:rPr>
                <w:sz w:val="24"/>
              </w:rPr>
              <w:t xml:space="preserve">Степень огнестойкости зданий, сооружений</w:t>
            </w:r>
          </w:p>
        </w:tc>
        <w:tc>
          <w:tcPr>
            <w:tcW w:w="1530" w:type="dxa"/>
            <w:vMerge w:val="restart"/>
          </w:tcPr>
          <w:p>
            <w:pPr>
              <w:pStyle w:val="0"/>
              <w:jc w:val="center"/>
            </w:pPr>
            <w:r>
              <w:rPr>
                <w:sz w:val="24"/>
              </w:rPr>
              <w:t xml:space="preserve">Класс конструктивной пожарной опасности зданий, сооружений</w:t>
            </w:r>
          </w:p>
        </w:tc>
        <w:tc>
          <w:tcPr>
            <w:tcW w:w="1247" w:type="dxa"/>
            <w:vMerge w:val="restart"/>
          </w:tcPr>
          <w:p>
            <w:pPr>
              <w:pStyle w:val="0"/>
              <w:jc w:val="center"/>
            </w:pPr>
            <w:r>
              <w:rPr>
                <w:sz w:val="24"/>
              </w:rPr>
              <w:t xml:space="preserve">Категория зданий, сооружений по взрывопожарной и пожарной опасности</w:t>
            </w:r>
          </w:p>
        </w:tc>
        <w:tc>
          <w:tcPr>
            <w:gridSpan w:val="10"/>
            <w:tcW w:w="7786" w:type="dxa"/>
          </w:tcPr>
          <w:p>
            <w:pPr>
              <w:pStyle w:val="0"/>
              <w:jc w:val="center"/>
            </w:pPr>
            <w:r>
              <w:rPr>
                <w:sz w:val="24"/>
              </w:rPr>
              <w:t xml:space="preserve">Расход воды на наружное пожаротушение на один пожар, л/с при строительном объеме зданий, сооружений, тыс. м</w:t>
            </w:r>
            <w:r>
              <w:rPr>
                <w:sz w:val="24"/>
                <w:vertAlign w:val="superscript"/>
              </w:rPr>
              <w:t xml:space="preserve">3</w:t>
            </w:r>
          </w:p>
        </w:tc>
      </w:tr>
      <w:tr>
        <w:tc>
          <w:tcPr>
            <w:vMerge w:val="continue"/>
          </w:tcPr>
          <w:p/>
        </w:tc>
        <w:tc>
          <w:tcPr>
            <w:vMerge w:val="continue"/>
          </w:tcPr>
          <w:p/>
        </w:tc>
        <w:tc>
          <w:tcPr>
            <w:vMerge w:val="continue"/>
          </w:tcPr>
          <w:p/>
        </w:tc>
        <w:tc>
          <w:tcPr>
            <w:tcW w:w="778" w:type="dxa"/>
          </w:tcPr>
          <w:p>
            <w:pPr>
              <w:pStyle w:val="0"/>
              <w:jc w:val="center"/>
            </w:pPr>
            <w:r>
              <w:rPr>
                <w:sz w:val="24"/>
              </w:rPr>
              <w:t xml:space="preserve">не более 3</w:t>
            </w:r>
          </w:p>
        </w:tc>
        <w:tc>
          <w:tcPr>
            <w:tcW w:w="778" w:type="dxa"/>
          </w:tcPr>
          <w:p>
            <w:pPr>
              <w:pStyle w:val="0"/>
              <w:jc w:val="center"/>
            </w:pPr>
            <w:r>
              <w:rPr>
                <w:sz w:val="24"/>
              </w:rPr>
              <w:t xml:space="preserve">более 3, но не более 5</w:t>
            </w:r>
          </w:p>
        </w:tc>
        <w:tc>
          <w:tcPr>
            <w:tcW w:w="778" w:type="dxa"/>
          </w:tcPr>
          <w:p>
            <w:pPr>
              <w:pStyle w:val="0"/>
              <w:jc w:val="center"/>
            </w:pPr>
            <w:r>
              <w:rPr>
                <w:sz w:val="24"/>
              </w:rPr>
              <w:t xml:space="preserve">более 5, но не более 20</w:t>
            </w:r>
          </w:p>
        </w:tc>
        <w:tc>
          <w:tcPr>
            <w:tcW w:w="778" w:type="dxa"/>
          </w:tcPr>
          <w:p>
            <w:pPr>
              <w:pStyle w:val="0"/>
              <w:jc w:val="center"/>
            </w:pPr>
            <w:r>
              <w:rPr>
                <w:sz w:val="24"/>
              </w:rPr>
              <w:t xml:space="preserve">более 20, но не более 50</w:t>
            </w:r>
          </w:p>
        </w:tc>
        <w:tc>
          <w:tcPr>
            <w:tcW w:w="778" w:type="dxa"/>
          </w:tcPr>
          <w:p>
            <w:pPr>
              <w:pStyle w:val="0"/>
              <w:jc w:val="center"/>
            </w:pPr>
            <w:r>
              <w:rPr>
                <w:sz w:val="24"/>
              </w:rPr>
              <w:t xml:space="preserve">более 50, но не более 200</w:t>
            </w:r>
          </w:p>
        </w:tc>
        <w:tc>
          <w:tcPr>
            <w:tcW w:w="778" w:type="dxa"/>
          </w:tcPr>
          <w:p>
            <w:pPr>
              <w:pStyle w:val="0"/>
              <w:jc w:val="center"/>
            </w:pPr>
            <w:r>
              <w:rPr>
                <w:sz w:val="24"/>
              </w:rPr>
              <w:t xml:space="preserve">более 200, но не более 400</w:t>
            </w:r>
          </w:p>
        </w:tc>
        <w:tc>
          <w:tcPr>
            <w:tcW w:w="778" w:type="dxa"/>
          </w:tcPr>
          <w:p>
            <w:pPr>
              <w:pStyle w:val="0"/>
              <w:jc w:val="center"/>
            </w:pPr>
            <w:r>
              <w:rPr>
                <w:sz w:val="24"/>
              </w:rPr>
              <w:t xml:space="preserve">более 400, но не более 600</w:t>
            </w:r>
          </w:p>
        </w:tc>
        <w:tc>
          <w:tcPr>
            <w:tcW w:w="778" w:type="dxa"/>
          </w:tcPr>
          <w:p>
            <w:pPr>
              <w:pStyle w:val="0"/>
              <w:jc w:val="center"/>
            </w:pPr>
            <w:r>
              <w:rPr>
                <w:sz w:val="24"/>
              </w:rPr>
              <w:t xml:space="preserve">более 600, но не более 800</w:t>
            </w:r>
          </w:p>
        </w:tc>
        <w:tc>
          <w:tcPr>
            <w:tcW w:w="778" w:type="dxa"/>
          </w:tcPr>
          <w:p>
            <w:pPr>
              <w:pStyle w:val="0"/>
              <w:jc w:val="center"/>
            </w:pPr>
            <w:r>
              <w:rPr>
                <w:sz w:val="24"/>
              </w:rPr>
              <w:t xml:space="preserve">более 800, но не более 1100</w:t>
            </w:r>
          </w:p>
        </w:tc>
        <w:tc>
          <w:tcPr>
            <w:tcW w:w="784" w:type="dxa"/>
          </w:tcPr>
          <w:p>
            <w:pPr>
              <w:pStyle w:val="0"/>
              <w:jc w:val="center"/>
            </w:pPr>
            <w:r>
              <w:rPr>
                <w:sz w:val="24"/>
              </w:rPr>
              <w:t xml:space="preserve">более 1100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C0,</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40</w:t>
            </w:r>
          </w:p>
        </w:tc>
        <w:tc>
          <w:tcPr>
            <w:tcW w:w="784" w:type="dxa"/>
            <w:vAlign w:val="center"/>
          </w:tcPr>
          <w:p>
            <w:pPr>
              <w:pStyle w:val="0"/>
              <w:jc w:val="center"/>
            </w:pPr>
            <w:r>
              <w:rPr>
                <w:sz w:val="24"/>
              </w:rPr>
              <w:t xml:space="preserve">50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C1,</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50</w:t>
            </w:r>
          </w:p>
        </w:tc>
        <w:tc>
          <w:tcPr>
            <w:tcW w:w="784" w:type="dxa"/>
            <w:vAlign w:val="center"/>
          </w:tcPr>
          <w:p>
            <w:pPr>
              <w:pStyle w:val="0"/>
              <w:jc w:val="center"/>
            </w:pPr>
            <w:r>
              <w:rPr>
                <w:sz w:val="24"/>
              </w:rPr>
              <w:t xml:space="preserve">60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C0</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84" w:type="dxa"/>
            <w:vAlign w:val="center"/>
          </w:tcPr>
          <w:p>
            <w:pPr>
              <w:pStyle w:val="0"/>
              <w:jc w:val="center"/>
            </w:pPr>
            <w:r>
              <w:rPr>
                <w:sz w:val="24"/>
              </w:rPr>
              <w:t xml:space="preserve">70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C1</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84" w:type="dxa"/>
            <w:vAlign w:val="center"/>
          </w:tcPr>
          <w:p>
            <w:pPr>
              <w:pStyle w:val="0"/>
              <w:jc w:val="center"/>
            </w:pPr>
            <w:r>
              <w:rPr>
                <w:sz w:val="24"/>
              </w:rPr>
              <w:t xml:space="preserve">100</w:t>
            </w:r>
          </w:p>
        </w:tc>
      </w:tr>
      <w:tr>
        <w:tc>
          <w:tcPr>
            <w:tcW w:w="1303" w:type="dxa"/>
            <w:vAlign w:val="center"/>
          </w:tcPr>
          <w:p>
            <w:pPr>
              <w:pStyle w:val="0"/>
              <w:jc w:val="center"/>
            </w:pPr>
            <w:r>
              <w:rPr>
                <w:sz w:val="24"/>
              </w:rPr>
              <w:t xml:space="preserve">III</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55</w:t>
            </w:r>
          </w:p>
        </w:tc>
        <w:tc>
          <w:tcPr>
            <w:tcW w:w="778" w:type="dxa"/>
            <w:vAlign w:val="center"/>
          </w:tcPr>
          <w:p>
            <w:pPr>
              <w:pStyle w:val="0"/>
              <w:jc w:val="center"/>
            </w:pPr>
            <w:r>
              <w:rPr>
                <w:sz w:val="24"/>
              </w:rPr>
              <w:t xml:space="preserve">60</w:t>
            </w:r>
          </w:p>
        </w:tc>
        <w:tc>
          <w:tcPr>
            <w:tcW w:w="784" w:type="dxa"/>
            <w:vAlign w:val="center"/>
          </w:tcPr>
          <w:p>
            <w:pPr>
              <w:pStyle w:val="0"/>
              <w:jc w:val="center"/>
            </w:pPr>
            <w:r>
              <w:rPr>
                <w:sz w:val="24"/>
              </w:rPr>
              <w:t xml:space="preserve">60</w:t>
            </w:r>
          </w:p>
        </w:tc>
      </w:tr>
      <w:tr>
        <w:tc>
          <w:tcPr>
            <w:tcW w:w="1303" w:type="dxa"/>
            <w:vAlign w:val="center"/>
          </w:tcPr>
          <w:p>
            <w:pPr>
              <w:pStyle w:val="0"/>
              <w:jc w:val="center"/>
            </w:pPr>
            <w:r>
              <w:rPr>
                <w:sz w:val="24"/>
              </w:rPr>
              <w:t xml:space="preserve">III</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100</w:t>
            </w:r>
          </w:p>
        </w:tc>
        <w:tc>
          <w:tcPr>
            <w:tcW w:w="784" w:type="dxa"/>
            <w:vAlign w:val="center"/>
          </w:tcPr>
          <w:p>
            <w:pPr>
              <w:pStyle w:val="0"/>
              <w:jc w:val="center"/>
            </w:pPr>
            <w:r>
              <w:rPr>
                <w:sz w:val="24"/>
              </w:rPr>
              <w:t xml:space="preserve">100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80</w:t>
            </w:r>
          </w:p>
        </w:tc>
        <w:tc>
          <w:tcPr>
            <w:tcW w:w="784" w:type="dxa"/>
            <w:vAlign w:val="center"/>
          </w:tcPr>
          <w:p>
            <w:pPr>
              <w:pStyle w:val="0"/>
              <w:jc w:val="center"/>
            </w:pPr>
            <w:r>
              <w:rPr>
                <w:sz w:val="24"/>
              </w:rPr>
              <w:t xml:space="preserve">80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100</w:t>
            </w:r>
          </w:p>
        </w:tc>
        <w:tc>
          <w:tcPr>
            <w:tcW w:w="778" w:type="dxa"/>
            <w:vAlign w:val="center"/>
          </w:tcPr>
          <w:p>
            <w:pPr>
              <w:pStyle w:val="0"/>
              <w:jc w:val="center"/>
            </w:pPr>
            <w:r>
              <w:rPr>
                <w:sz w:val="24"/>
              </w:rPr>
              <w:t xml:space="preserve">100</w:t>
            </w:r>
          </w:p>
        </w:tc>
        <w:tc>
          <w:tcPr>
            <w:tcW w:w="784" w:type="dxa"/>
            <w:vAlign w:val="center"/>
          </w:tcPr>
          <w:p>
            <w:pPr>
              <w:pStyle w:val="0"/>
              <w:jc w:val="center"/>
            </w:pPr>
            <w:r>
              <w:rPr>
                <w:sz w:val="24"/>
              </w:rPr>
              <w:t xml:space="preserve">100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C2, C3</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10</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90</w:t>
            </w:r>
          </w:p>
        </w:tc>
        <w:tc>
          <w:tcPr>
            <w:tcW w:w="784" w:type="dxa"/>
            <w:vAlign w:val="center"/>
          </w:tcPr>
          <w:p>
            <w:pPr>
              <w:pStyle w:val="0"/>
              <w:jc w:val="center"/>
            </w:pPr>
            <w:r>
              <w:rPr>
                <w:sz w:val="24"/>
              </w:rPr>
              <w:t xml:space="preserve">90-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C2, C3</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65</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r>
        <w:tc>
          <w:tcPr>
            <w:tcW w:w="1303" w:type="dxa"/>
            <w:vAlign w:val="center"/>
          </w:tcPr>
          <w:p>
            <w:pPr>
              <w:pStyle w:val="0"/>
              <w:jc w:val="center"/>
            </w:pPr>
            <w:r>
              <w:rPr>
                <w:sz w:val="24"/>
              </w:rPr>
              <w:t xml:space="preserve">V</w:t>
            </w:r>
          </w:p>
        </w:tc>
        <w:tc>
          <w:tcPr>
            <w:tcW w:w="1530" w:type="dxa"/>
            <w:vAlign w:val="center"/>
          </w:tcPr>
          <w:p>
            <w:pPr>
              <w:pStyle w:val="0"/>
              <w:jc w:val="center"/>
            </w:pPr>
            <w:r>
              <w:rPr>
                <w:sz w:val="24"/>
              </w:rPr>
              <w:t xml:space="preserve">Не норм.</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55</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r>
        <w:tc>
          <w:tcPr>
            <w:tcW w:w="1303" w:type="dxa"/>
            <w:vAlign w:val="center"/>
          </w:tcPr>
          <w:p>
            <w:pPr>
              <w:pStyle w:val="0"/>
              <w:jc w:val="center"/>
            </w:pPr>
            <w:r>
              <w:rPr>
                <w:sz w:val="24"/>
              </w:rPr>
              <w:t xml:space="preserve">V</w:t>
            </w:r>
          </w:p>
        </w:tc>
        <w:tc>
          <w:tcPr>
            <w:tcW w:w="1530" w:type="dxa"/>
            <w:vAlign w:val="center"/>
          </w:tcPr>
          <w:p>
            <w:pPr>
              <w:pStyle w:val="0"/>
              <w:jc w:val="center"/>
            </w:pPr>
            <w:r>
              <w:rPr>
                <w:sz w:val="24"/>
              </w:rPr>
              <w:t xml:space="preserve">Не норм.</w:t>
            </w:r>
          </w:p>
        </w:tc>
        <w:tc>
          <w:tcPr>
            <w:tcW w:w="1247" w:type="dxa"/>
            <w:vAlign w:val="center"/>
          </w:tcPr>
          <w:p>
            <w:pPr>
              <w:pStyle w:val="0"/>
              <w:jc w:val="center"/>
            </w:pPr>
            <w:r>
              <w:rPr>
                <w:sz w:val="24"/>
              </w:rPr>
              <w:t xml:space="preserve">В</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bl>
    <w:p>
      <w:pPr>
        <w:pStyle w:val="0"/>
        <w:jc w:val="both"/>
      </w:pPr>
      <w:r>
        <w:rPr>
          <w:sz w:val="24"/>
        </w:rPr>
      </w:r>
    </w:p>
    <w:p>
      <w:pPr>
        <w:pStyle w:val="0"/>
        <w:jc w:val="right"/>
      </w:pPr>
      <w:r>
        <w:rPr>
          <w:sz w:val="24"/>
        </w:rPr>
        <w:t xml:space="preserve">Таблица 4</w:t>
      </w:r>
    </w:p>
    <w:p>
      <w:pPr>
        <w:pStyle w:val="0"/>
        <w:jc w:val="both"/>
      </w:pPr>
      <w:r>
        <w:rPr>
          <w:sz w:val="24"/>
        </w:rPr>
      </w:r>
    </w:p>
    <w:bookmarkStart w:id="554" w:name="P554"/>
    <w:bookmarkEnd w:id="554"/>
    <w:p>
      <w:pPr>
        <w:pStyle w:val="2"/>
        <w:outlineLvl w:val="2"/>
        <w:jc w:val="center"/>
      </w:pPr>
      <w:r>
        <w:rPr>
          <w:sz w:val="24"/>
        </w:rPr>
        <w:t xml:space="preserve">Расход воды на наружное пожаротушение зданий</w:t>
      </w:r>
    </w:p>
    <w:p>
      <w:pPr>
        <w:pStyle w:val="2"/>
        <w:jc w:val="center"/>
      </w:pPr>
      <w:r>
        <w:rPr>
          <w:sz w:val="24"/>
        </w:rPr>
        <w:t xml:space="preserve">и сооружений класса функциональной пожарной опасности Ф5</w:t>
      </w:r>
    </w:p>
    <w:p>
      <w:pPr>
        <w:pStyle w:val="2"/>
        <w:jc w:val="center"/>
      </w:pPr>
      <w:r>
        <w:rPr>
          <w:sz w:val="24"/>
        </w:rPr>
        <w:t xml:space="preserve">без фонарей шириной 60 метров и более</w:t>
      </w:r>
    </w:p>
    <w:p>
      <w:pPr>
        <w:pStyle w:val="0"/>
        <w:jc w:val="center"/>
      </w:pPr>
      <w:r>
        <w:rPr>
          <w:sz w:val="24"/>
        </w:rPr>
      </w:r>
    </w:p>
    <w:p>
      <w:pPr>
        <w:pStyle w:val="0"/>
        <w:jc w:val="center"/>
      </w:pPr>
      <w:r>
        <w:rPr>
          <w:sz w:val="24"/>
        </w:rPr>
        <w:t xml:space="preserve">(в ред. </w:t>
      </w:r>
      <w:hyperlink w:history="0" r:id="rId7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03"/>
        <w:gridCol w:w="1530"/>
        <w:gridCol w:w="1247"/>
        <w:gridCol w:w="778"/>
        <w:gridCol w:w="778"/>
        <w:gridCol w:w="778"/>
        <w:gridCol w:w="778"/>
        <w:gridCol w:w="778"/>
        <w:gridCol w:w="778"/>
        <w:gridCol w:w="778"/>
        <w:gridCol w:w="778"/>
        <w:gridCol w:w="778"/>
        <w:gridCol w:w="784"/>
      </w:tblGrid>
      <w:tr>
        <w:tc>
          <w:tcPr>
            <w:tcW w:w="1303" w:type="dxa"/>
            <w:vMerge w:val="restart"/>
          </w:tcPr>
          <w:p>
            <w:pPr>
              <w:pStyle w:val="0"/>
              <w:jc w:val="center"/>
            </w:pPr>
            <w:r>
              <w:rPr>
                <w:sz w:val="24"/>
              </w:rPr>
              <w:t xml:space="preserve">Степень огнестойкости зданий, сооружений</w:t>
            </w:r>
          </w:p>
        </w:tc>
        <w:tc>
          <w:tcPr>
            <w:tcW w:w="1530" w:type="dxa"/>
            <w:vMerge w:val="restart"/>
          </w:tcPr>
          <w:p>
            <w:pPr>
              <w:pStyle w:val="0"/>
              <w:jc w:val="center"/>
            </w:pPr>
            <w:r>
              <w:rPr>
                <w:sz w:val="24"/>
              </w:rPr>
              <w:t xml:space="preserve">Класс конструктивной пожарной опасности зданий, сооружений</w:t>
            </w:r>
          </w:p>
        </w:tc>
        <w:tc>
          <w:tcPr>
            <w:tcW w:w="1247" w:type="dxa"/>
            <w:vMerge w:val="restart"/>
          </w:tcPr>
          <w:p>
            <w:pPr>
              <w:pStyle w:val="0"/>
              <w:jc w:val="center"/>
            </w:pPr>
            <w:r>
              <w:rPr>
                <w:sz w:val="24"/>
              </w:rPr>
              <w:t xml:space="preserve">Категория зданий, сооружений по взрывопожарной и пожарной опасности</w:t>
            </w:r>
          </w:p>
        </w:tc>
        <w:tc>
          <w:tcPr>
            <w:gridSpan w:val="10"/>
            <w:tcW w:w="7786" w:type="dxa"/>
          </w:tcPr>
          <w:p>
            <w:pPr>
              <w:pStyle w:val="0"/>
              <w:jc w:val="center"/>
            </w:pPr>
            <w:r>
              <w:rPr>
                <w:sz w:val="24"/>
              </w:rPr>
              <w:t xml:space="preserve">Расход воды на наружное пожаротушение на один пожар, л/с, зданий, сооружений без фонарей, шириной 60 м и более, при строительном объеме зданий, сооружений, тыс. м</w:t>
            </w:r>
            <w:r>
              <w:rPr>
                <w:sz w:val="24"/>
                <w:vertAlign w:val="superscript"/>
              </w:rPr>
              <w:t xml:space="preserve">3</w:t>
            </w:r>
          </w:p>
        </w:tc>
      </w:tr>
      <w:tr>
        <w:tc>
          <w:tcPr>
            <w:vMerge w:val="continue"/>
          </w:tcPr>
          <w:p/>
        </w:tc>
        <w:tc>
          <w:tcPr>
            <w:vMerge w:val="continue"/>
          </w:tcPr>
          <w:p/>
        </w:tc>
        <w:tc>
          <w:tcPr>
            <w:vMerge w:val="continue"/>
          </w:tcPr>
          <w:p/>
        </w:tc>
        <w:tc>
          <w:tcPr>
            <w:tcW w:w="778" w:type="dxa"/>
          </w:tcPr>
          <w:p>
            <w:pPr>
              <w:pStyle w:val="0"/>
              <w:jc w:val="center"/>
            </w:pPr>
            <w:r>
              <w:rPr>
                <w:sz w:val="24"/>
              </w:rPr>
              <w:t xml:space="preserve">не более 50</w:t>
            </w:r>
          </w:p>
        </w:tc>
        <w:tc>
          <w:tcPr>
            <w:tcW w:w="778" w:type="dxa"/>
          </w:tcPr>
          <w:p>
            <w:pPr>
              <w:pStyle w:val="0"/>
              <w:jc w:val="center"/>
            </w:pPr>
            <w:r>
              <w:rPr>
                <w:sz w:val="24"/>
              </w:rPr>
              <w:t xml:space="preserve">более 50, но не более 100</w:t>
            </w:r>
          </w:p>
        </w:tc>
        <w:tc>
          <w:tcPr>
            <w:tcW w:w="778" w:type="dxa"/>
          </w:tcPr>
          <w:p>
            <w:pPr>
              <w:pStyle w:val="0"/>
              <w:jc w:val="center"/>
            </w:pPr>
            <w:r>
              <w:rPr>
                <w:sz w:val="24"/>
              </w:rPr>
              <w:t xml:space="preserve">более 100, но не более 200</w:t>
            </w:r>
          </w:p>
        </w:tc>
        <w:tc>
          <w:tcPr>
            <w:tcW w:w="778" w:type="dxa"/>
          </w:tcPr>
          <w:p>
            <w:pPr>
              <w:pStyle w:val="0"/>
              <w:jc w:val="center"/>
            </w:pPr>
            <w:r>
              <w:rPr>
                <w:sz w:val="24"/>
              </w:rPr>
              <w:t xml:space="preserve">более 200, но не более 300</w:t>
            </w:r>
          </w:p>
        </w:tc>
        <w:tc>
          <w:tcPr>
            <w:tcW w:w="778" w:type="dxa"/>
          </w:tcPr>
          <w:p>
            <w:pPr>
              <w:pStyle w:val="0"/>
              <w:jc w:val="center"/>
            </w:pPr>
            <w:r>
              <w:rPr>
                <w:sz w:val="24"/>
              </w:rPr>
              <w:t xml:space="preserve">более 300, но не более 400</w:t>
            </w:r>
          </w:p>
        </w:tc>
        <w:tc>
          <w:tcPr>
            <w:tcW w:w="778" w:type="dxa"/>
          </w:tcPr>
          <w:p>
            <w:pPr>
              <w:pStyle w:val="0"/>
              <w:jc w:val="center"/>
            </w:pPr>
            <w:r>
              <w:rPr>
                <w:sz w:val="24"/>
              </w:rPr>
              <w:t xml:space="preserve">более 400, но не более 500</w:t>
            </w:r>
          </w:p>
        </w:tc>
        <w:tc>
          <w:tcPr>
            <w:tcW w:w="778" w:type="dxa"/>
          </w:tcPr>
          <w:p>
            <w:pPr>
              <w:pStyle w:val="0"/>
              <w:jc w:val="center"/>
            </w:pPr>
            <w:r>
              <w:rPr>
                <w:sz w:val="24"/>
              </w:rPr>
              <w:t xml:space="preserve">более 500, но не более 600</w:t>
            </w:r>
          </w:p>
        </w:tc>
        <w:tc>
          <w:tcPr>
            <w:tcW w:w="778" w:type="dxa"/>
          </w:tcPr>
          <w:p>
            <w:pPr>
              <w:pStyle w:val="0"/>
              <w:jc w:val="center"/>
            </w:pPr>
            <w:r>
              <w:rPr>
                <w:sz w:val="24"/>
              </w:rPr>
              <w:t xml:space="preserve">более 600, но не более 800</w:t>
            </w:r>
          </w:p>
        </w:tc>
        <w:tc>
          <w:tcPr>
            <w:tcW w:w="778" w:type="dxa"/>
          </w:tcPr>
          <w:p>
            <w:pPr>
              <w:pStyle w:val="0"/>
              <w:jc w:val="center"/>
            </w:pPr>
            <w:r>
              <w:rPr>
                <w:sz w:val="24"/>
              </w:rPr>
              <w:t xml:space="preserve">более 800, но не более 1100</w:t>
            </w:r>
          </w:p>
        </w:tc>
        <w:tc>
          <w:tcPr>
            <w:tcW w:w="784" w:type="dxa"/>
          </w:tcPr>
          <w:p>
            <w:pPr>
              <w:pStyle w:val="0"/>
              <w:jc w:val="center"/>
            </w:pPr>
            <w:r>
              <w:rPr>
                <w:sz w:val="24"/>
              </w:rPr>
              <w:t xml:space="preserve">более 1100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15</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25</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84" w:type="dxa"/>
            <w:vAlign w:val="center"/>
          </w:tcPr>
          <w:p>
            <w:pPr>
              <w:pStyle w:val="0"/>
              <w:jc w:val="center"/>
            </w:pPr>
            <w:r>
              <w:rPr>
                <w:sz w:val="24"/>
              </w:rPr>
              <w:t xml:space="preserve">70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C0</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100</w:t>
            </w:r>
          </w:p>
        </w:tc>
        <w:tc>
          <w:tcPr>
            <w:tcW w:w="784" w:type="dxa"/>
            <w:vAlign w:val="center"/>
          </w:tcPr>
          <w:p>
            <w:pPr>
              <w:pStyle w:val="0"/>
              <w:jc w:val="center"/>
            </w:pPr>
            <w:r>
              <w:rPr>
                <w:sz w:val="24"/>
              </w:rPr>
              <w:t xml:space="preserve">110</w:t>
            </w:r>
          </w:p>
        </w:tc>
      </w:tr>
      <w:tr>
        <w:tc>
          <w:tcPr>
            <w:tcW w:w="1303" w:type="dxa"/>
            <w:vAlign w:val="center"/>
          </w:tcPr>
          <w:p>
            <w:pPr>
              <w:pStyle w:val="0"/>
              <w:jc w:val="center"/>
            </w:pPr>
            <w:r>
              <w:rPr>
                <w:sz w:val="24"/>
              </w:rPr>
              <w:t xml:space="preserve">I и II</w:t>
            </w:r>
          </w:p>
        </w:tc>
        <w:tc>
          <w:tcPr>
            <w:tcW w:w="1530" w:type="dxa"/>
            <w:vAlign w:val="center"/>
          </w:tcPr>
          <w:p>
            <w:pPr>
              <w:pStyle w:val="0"/>
              <w:jc w:val="center"/>
            </w:pPr>
            <w:r>
              <w:rPr>
                <w:sz w:val="24"/>
              </w:rPr>
              <w:t xml:space="preserve">C1</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30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100</w:t>
            </w:r>
          </w:p>
        </w:tc>
        <w:tc>
          <w:tcPr>
            <w:tcW w:w="778" w:type="dxa"/>
            <w:vAlign w:val="center"/>
          </w:tcPr>
          <w:p>
            <w:pPr>
              <w:pStyle w:val="0"/>
              <w:jc w:val="center"/>
            </w:pPr>
            <w:r>
              <w:rPr>
                <w:sz w:val="24"/>
              </w:rPr>
              <w:t xml:space="preserve">100</w:t>
            </w:r>
          </w:p>
        </w:tc>
        <w:tc>
          <w:tcPr>
            <w:tcW w:w="784" w:type="dxa"/>
            <w:vAlign w:val="center"/>
          </w:tcPr>
          <w:p>
            <w:pPr>
              <w:pStyle w:val="0"/>
              <w:jc w:val="center"/>
            </w:pPr>
            <w:r>
              <w:rPr>
                <w:sz w:val="24"/>
              </w:rPr>
              <w:t xml:space="preserve">110</w:t>
            </w:r>
          </w:p>
        </w:tc>
      </w:tr>
      <w:tr>
        <w:tc>
          <w:tcPr>
            <w:tcW w:w="1303" w:type="dxa"/>
            <w:vAlign w:val="center"/>
          </w:tcPr>
          <w:p>
            <w:pPr>
              <w:pStyle w:val="0"/>
              <w:jc w:val="center"/>
            </w:pPr>
            <w:r>
              <w:rPr>
                <w:sz w:val="24"/>
              </w:rPr>
              <w:t xml:space="preserve">III</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20</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84" w:type="dxa"/>
            <w:vAlign w:val="center"/>
          </w:tcPr>
          <w:p>
            <w:pPr>
              <w:pStyle w:val="0"/>
              <w:jc w:val="center"/>
            </w:pPr>
            <w:r>
              <w:rPr>
                <w:sz w:val="24"/>
              </w:rPr>
              <w:t xml:space="preserve">70</w:t>
            </w:r>
          </w:p>
        </w:tc>
      </w:tr>
      <w:tr>
        <w:tc>
          <w:tcPr>
            <w:tcW w:w="1303" w:type="dxa"/>
            <w:vAlign w:val="center"/>
          </w:tcPr>
          <w:p>
            <w:pPr>
              <w:pStyle w:val="0"/>
              <w:jc w:val="center"/>
            </w:pPr>
            <w:r>
              <w:rPr>
                <w:sz w:val="24"/>
              </w:rPr>
              <w:t xml:space="preserve">III</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100</w:t>
            </w:r>
          </w:p>
        </w:tc>
        <w:tc>
          <w:tcPr>
            <w:tcW w:w="778" w:type="dxa"/>
            <w:vAlign w:val="center"/>
          </w:tcPr>
          <w:p>
            <w:pPr>
              <w:pStyle w:val="0"/>
              <w:jc w:val="center"/>
            </w:pPr>
            <w:r>
              <w:rPr>
                <w:sz w:val="24"/>
              </w:rPr>
              <w:t xml:space="preserve">110</w:t>
            </w:r>
          </w:p>
        </w:tc>
        <w:tc>
          <w:tcPr>
            <w:tcW w:w="784" w:type="dxa"/>
            <w:vAlign w:val="center"/>
          </w:tcPr>
          <w:p>
            <w:pPr>
              <w:pStyle w:val="0"/>
              <w:jc w:val="center"/>
            </w:pPr>
            <w:r>
              <w:rPr>
                <w:sz w:val="24"/>
              </w:rPr>
              <w:t xml:space="preserve">110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35</w:t>
            </w:r>
          </w:p>
        </w:tc>
        <w:tc>
          <w:tcPr>
            <w:tcW w:w="778" w:type="dxa"/>
            <w:vAlign w:val="center"/>
          </w:tcPr>
          <w:p>
            <w:pPr>
              <w:pStyle w:val="0"/>
              <w:jc w:val="center"/>
            </w:pPr>
            <w:r>
              <w:rPr>
                <w:sz w:val="24"/>
              </w:rPr>
              <w:t xml:space="preserve">45</w:t>
            </w:r>
          </w:p>
        </w:tc>
        <w:tc>
          <w:tcPr>
            <w:tcW w:w="778" w:type="dxa"/>
            <w:vAlign w:val="center"/>
          </w:tcPr>
          <w:p>
            <w:pPr>
              <w:pStyle w:val="0"/>
              <w:jc w:val="center"/>
            </w:pPr>
            <w:r>
              <w:rPr>
                <w:sz w:val="24"/>
              </w:rPr>
              <w:t xml:space="preserve">55</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65</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84" w:type="dxa"/>
            <w:vAlign w:val="center"/>
          </w:tcPr>
          <w:p>
            <w:pPr>
              <w:pStyle w:val="0"/>
              <w:jc w:val="center"/>
            </w:pPr>
            <w:r>
              <w:rPr>
                <w:sz w:val="24"/>
              </w:rPr>
              <w:t xml:space="preserve">100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C0, C1</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65</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90</w:t>
            </w:r>
          </w:p>
        </w:tc>
        <w:tc>
          <w:tcPr>
            <w:tcW w:w="778" w:type="dxa"/>
            <w:vAlign w:val="center"/>
          </w:tcPr>
          <w:p>
            <w:pPr>
              <w:pStyle w:val="0"/>
              <w:jc w:val="center"/>
            </w:pPr>
            <w:r>
              <w:rPr>
                <w:sz w:val="24"/>
              </w:rPr>
              <w:t xml:space="preserve">100</w:t>
            </w:r>
          </w:p>
        </w:tc>
        <w:tc>
          <w:tcPr>
            <w:tcW w:w="778" w:type="dxa"/>
            <w:vAlign w:val="center"/>
          </w:tcPr>
          <w:p>
            <w:pPr>
              <w:pStyle w:val="0"/>
              <w:jc w:val="center"/>
            </w:pPr>
            <w:r>
              <w:rPr>
                <w:sz w:val="24"/>
              </w:rPr>
              <w:t xml:space="preserve">110</w:t>
            </w:r>
          </w:p>
        </w:tc>
        <w:tc>
          <w:tcPr>
            <w:tcW w:w="784" w:type="dxa"/>
            <w:vAlign w:val="center"/>
          </w:tcPr>
          <w:p>
            <w:pPr>
              <w:pStyle w:val="0"/>
              <w:jc w:val="center"/>
            </w:pPr>
            <w:r>
              <w:rPr>
                <w:sz w:val="24"/>
              </w:rPr>
              <w:t xml:space="preserve">110</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C2, C3</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50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r>
        <w:tc>
          <w:tcPr>
            <w:tcW w:w="1303" w:type="dxa"/>
            <w:vAlign w:val="center"/>
          </w:tcPr>
          <w:p>
            <w:pPr>
              <w:pStyle w:val="0"/>
              <w:jc w:val="center"/>
            </w:pPr>
            <w:r>
              <w:rPr>
                <w:sz w:val="24"/>
              </w:rPr>
              <w:t xml:space="preserve">IV</w:t>
            </w:r>
          </w:p>
        </w:tc>
        <w:tc>
          <w:tcPr>
            <w:tcW w:w="1530" w:type="dxa"/>
            <w:vAlign w:val="center"/>
          </w:tcPr>
          <w:p>
            <w:pPr>
              <w:pStyle w:val="0"/>
              <w:jc w:val="center"/>
            </w:pPr>
            <w:r>
              <w:rPr>
                <w:sz w:val="24"/>
              </w:rPr>
              <w:t xml:space="preserve">C2, C3</w:t>
            </w:r>
          </w:p>
        </w:tc>
        <w:tc>
          <w:tcPr>
            <w:tcW w:w="1247" w:type="dxa"/>
            <w:vAlign w:val="center"/>
          </w:tcPr>
          <w:p>
            <w:pPr>
              <w:pStyle w:val="0"/>
              <w:jc w:val="center"/>
            </w:pPr>
            <w:r>
              <w:rPr>
                <w:sz w:val="24"/>
              </w:rPr>
              <w:t xml:space="preserve">А, Б, В</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75</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r>
        <w:tc>
          <w:tcPr>
            <w:tcW w:w="1303" w:type="dxa"/>
            <w:vAlign w:val="center"/>
          </w:tcPr>
          <w:p>
            <w:pPr>
              <w:pStyle w:val="0"/>
              <w:jc w:val="center"/>
            </w:pPr>
            <w:r>
              <w:rPr>
                <w:sz w:val="24"/>
              </w:rPr>
              <w:t xml:space="preserve">V</w:t>
            </w:r>
          </w:p>
        </w:tc>
        <w:tc>
          <w:tcPr>
            <w:tcW w:w="1530" w:type="dxa"/>
            <w:vAlign w:val="center"/>
          </w:tcPr>
          <w:p>
            <w:pPr>
              <w:pStyle w:val="0"/>
              <w:jc w:val="center"/>
            </w:pPr>
            <w:r>
              <w:rPr>
                <w:sz w:val="24"/>
              </w:rPr>
              <w:t xml:space="preserve">Не норм.</w:t>
            </w:r>
          </w:p>
        </w:tc>
        <w:tc>
          <w:tcPr>
            <w:tcW w:w="1247" w:type="dxa"/>
            <w:vAlign w:val="center"/>
          </w:tcPr>
          <w:p>
            <w:pPr>
              <w:pStyle w:val="0"/>
              <w:jc w:val="center"/>
            </w:pPr>
            <w:r>
              <w:rPr>
                <w:sz w:val="24"/>
              </w:rPr>
              <w:t xml:space="preserve">Г, Д</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70</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r>
        <w:tc>
          <w:tcPr>
            <w:tcW w:w="1303" w:type="dxa"/>
            <w:vAlign w:val="center"/>
          </w:tcPr>
          <w:p>
            <w:pPr>
              <w:pStyle w:val="0"/>
              <w:jc w:val="center"/>
            </w:pPr>
            <w:r>
              <w:rPr>
                <w:sz w:val="24"/>
              </w:rPr>
              <w:t xml:space="preserve">V</w:t>
            </w:r>
          </w:p>
        </w:tc>
        <w:tc>
          <w:tcPr>
            <w:tcW w:w="1530" w:type="dxa"/>
            <w:vAlign w:val="center"/>
          </w:tcPr>
          <w:p>
            <w:pPr>
              <w:pStyle w:val="0"/>
              <w:jc w:val="center"/>
            </w:pPr>
            <w:r>
              <w:rPr>
                <w:sz w:val="24"/>
              </w:rPr>
              <w:t xml:space="preserve">Не норм.</w:t>
            </w:r>
          </w:p>
        </w:tc>
        <w:tc>
          <w:tcPr>
            <w:tcW w:w="1247" w:type="dxa"/>
            <w:vAlign w:val="center"/>
          </w:tcPr>
          <w:p>
            <w:pPr>
              <w:pStyle w:val="0"/>
              <w:jc w:val="center"/>
            </w:pPr>
            <w:r>
              <w:rPr>
                <w:sz w:val="24"/>
              </w:rPr>
              <w:t xml:space="preserve">В</w:t>
            </w:r>
          </w:p>
        </w:tc>
        <w:tc>
          <w:tcPr>
            <w:tcW w:w="778" w:type="dxa"/>
            <w:vAlign w:val="center"/>
          </w:tcPr>
          <w:p>
            <w:pPr>
              <w:pStyle w:val="0"/>
              <w:jc w:val="center"/>
            </w:pPr>
            <w:r>
              <w:rPr>
                <w:sz w:val="24"/>
              </w:rPr>
              <w:t xml:space="preserve">40</w:t>
            </w:r>
          </w:p>
        </w:tc>
        <w:tc>
          <w:tcPr>
            <w:tcW w:w="778" w:type="dxa"/>
            <w:vAlign w:val="center"/>
          </w:tcPr>
          <w:p>
            <w:pPr>
              <w:pStyle w:val="0"/>
              <w:jc w:val="center"/>
            </w:pPr>
            <w:r>
              <w:rPr>
                <w:sz w:val="24"/>
              </w:rPr>
              <w:t xml:space="preserve">60</w:t>
            </w:r>
          </w:p>
        </w:tc>
        <w:tc>
          <w:tcPr>
            <w:tcW w:w="778" w:type="dxa"/>
            <w:vAlign w:val="center"/>
          </w:tcPr>
          <w:p>
            <w:pPr>
              <w:pStyle w:val="0"/>
              <w:jc w:val="center"/>
            </w:pPr>
            <w:r>
              <w:rPr>
                <w:sz w:val="24"/>
              </w:rPr>
              <w:t xml:space="preserve">80</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78" w:type="dxa"/>
            <w:vAlign w:val="center"/>
          </w:tcPr>
          <w:p>
            <w:pPr>
              <w:pStyle w:val="0"/>
              <w:jc w:val="center"/>
            </w:pPr>
            <w:r>
              <w:rPr>
                <w:sz w:val="24"/>
              </w:rPr>
              <w:t xml:space="preserve">-</w:t>
            </w:r>
          </w:p>
        </w:tc>
        <w:tc>
          <w:tcPr>
            <w:tcW w:w="784" w:type="dxa"/>
            <w:vAlign w:val="center"/>
          </w:tcPr>
          <w:p>
            <w:pPr>
              <w:pStyle w:val="0"/>
              <w:jc w:val="center"/>
            </w:pPr>
            <w:r>
              <w:rPr>
                <w:sz w:val="24"/>
              </w:rPr>
              <w:t xml:space="preserve">-</w:t>
            </w:r>
          </w:p>
        </w:tc>
      </w:tr>
    </w:tbl>
    <w:p>
      <w:pPr>
        <w:sectPr>
          <w:headerReference w:type="default" r:id="rId67"/>
          <w:headerReference w:type="first" r:id="rId67"/>
          <w:footerReference w:type="default" r:id="rId68"/>
          <w:footerReference w:type="first" r:id="rId6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Примечания к таблицам 3 и 4:</w:t>
      </w:r>
    </w:p>
    <w:p>
      <w:pPr>
        <w:pStyle w:val="0"/>
        <w:spacing w:before="240" w:lineRule="auto"/>
        <w:ind w:firstLine="540"/>
        <w:jc w:val="both"/>
      </w:pPr>
      <w:r>
        <w:rPr>
          <w:sz w:val="24"/>
        </w:rPr>
        <w:t xml:space="preserve">1. При двух расчетных пожарах на производственном объекте в соответствии с </w:t>
      </w:r>
      <w:hyperlink w:history="0" w:anchor="P917" w:tooltip="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
        <w:r>
          <w:rPr>
            <w:sz w:val="24"/>
            <w:color w:val="0000ff"/>
          </w:rPr>
          <w:t xml:space="preserve">пунктом 5.15</w:t>
        </w:r>
      </w:hyperlink>
      <w:r>
        <w:rPr>
          <w:sz w:val="24"/>
        </w:rPr>
        <w:t xml:space="preserve"> настоящего свода правил расчетный расход воды на наружное пожаротушение следует принимать в соответствии с </w:t>
      </w:r>
      <w:hyperlink w:history="0" w:anchor="P375" w:tooltip="Расход воды на наружное пожаротушение зданий и сооружений">
        <w:r>
          <w:rPr>
            <w:sz w:val="24"/>
            <w:color w:val="0000ff"/>
          </w:rPr>
          <w:t xml:space="preserve">таблицами 3</w:t>
        </w:r>
      </w:hyperlink>
      <w:r>
        <w:rPr>
          <w:sz w:val="24"/>
        </w:rPr>
        <w:t xml:space="preserve"> и </w:t>
      </w:r>
      <w:hyperlink w:history="0" w:anchor="P554" w:tooltip="Расход воды на наружное пожаротушение зданий">
        <w:r>
          <w:rPr>
            <w:sz w:val="24"/>
            <w:color w:val="0000ff"/>
          </w:rPr>
          <w:t xml:space="preserve">4</w:t>
        </w:r>
      </w:hyperlink>
      <w:r>
        <w:rPr>
          <w:sz w:val="24"/>
        </w:rPr>
        <w:t xml:space="preserve"> для двух зданий или сооружений, требующих наибольшего расхода воды.</w:t>
      </w:r>
    </w:p>
    <w:p>
      <w:pPr>
        <w:pStyle w:val="0"/>
        <w:jc w:val="both"/>
      </w:pPr>
      <w:r>
        <w:rPr>
          <w:sz w:val="24"/>
        </w:rPr>
        <w:t xml:space="preserve">(п. 1 в ред. </w:t>
      </w:r>
      <w:hyperlink w:history="0" r:id="rId7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2. Расход воды на наружное пожаротушение отдельно стоящих зданий предприятий (класса функциональной пожарной опасности Ф3, Ф4) следует определять по </w:t>
      </w:r>
      <w:hyperlink w:history="0" w:anchor="P238" w:tooltip="Расход воды на наружное пожаротушение зданий и сооружений">
        <w:r>
          <w:rPr>
            <w:sz w:val="24"/>
            <w:color w:val="0000ff"/>
          </w:rPr>
          <w:t xml:space="preserve">таблице 2</w:t>
        </w:r>
      </w:hyperlink>
      <w:r>
        <w:rPr>
          <w:sz w:val="24"/>
        </w:rPr>
        <w:t xml:space="preserve">, а встроенных в здания или сооружения класса функциональной пожарной опасности Ф5 - по общему объему здания или сооружения по </w:t>
      </w:r>
      <w:hyperlink w:history="0" w:anchor="P375" w:tooltip="Расход воды на наружное пожаротушение зданий и сооружений">
        <w:r>
          <w:rPr>
            <w:sz w:val="24"/>
            <w:color w:val="0000ff"/>
          </w:rPr>
          <w:t xml:space="preserve">таблицам 3</w:t>
        </w:r>
      </w:hyperlink>
      <w:r>
        <w:rPr>
          <w:sz w:val="24"/>
        </w:rPr>
        <w:t xml:space="preserve"> и </w:t>
      </w:r>
      <w:hyperlink w:history="0" w:anchor="P554" w:tooltip="Расход воды на наружное пожаротушение зданий">
        <w:r>
          <w:rPr>
            <w:sz w:val="24"/>
            <w:color w:val="0000ff"/>
          </w:rPr>
          <w:t xml:space="preserve">4</w:t>
        </w:r>
      </w:hyperlink>
      <w:r>
        <w:rPr>
          <w:sz w:val="24"/>
        </w:rPr>
        <w:t xml:space="preserve">.</w:t>
      </w:r>
    </w:p>
    <w:p>
      <w:pPr>
        <w:pStyle w:val="0"/>
        <w:jc w:val="both"/>
      </w:pPr>
      <w:r>
        <w:rPr>
          <w:sz w:val="24"/>
        </w:rPr>
        <w:t xml:space="preserve">(п. 2 в ред. </w:t>
      </w:r>
      <w:hyperlink w:history="0" r:id="rId7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 Расход воды на наружное пожаротушение зданий или сооружений сельскохозяйственных предприятий I и II степеней огнестойкости классов конструктивной пожарной опасности C0, C1 объемом не более 5 тыс. м</w:t>
      </w:r>
      <w:r>
        <w:rPr>
          <w:sz w:val="24"/>
          <w:vertAlign w:val="superscript"/>
        </w:rPr>
        <w:t xml:space="preserve">3</w:t>
      </w:r>
      <w:r>
        <w:rPr>
          <w:sz w:val="24"/>
        </w:rPr>
        <w:t xml:space="preserve"> с категориями Г и Д по пожарной опасности следует принимать 5 л/с.</w:t>
      </w:r>
    </w:p>
    <w:p>
      <w:pPr>
        <w:pStyle w:val="0"/>
        <w:jc w:val="both"/>
      </w:pPr>
      <w:r>
        <w:rPr>
          <w:sz w:val="24"/>
        </w:rPr>
        <w:t xml:space="preserve">(в ред. </w:t>
      </w:r>
      <w:hyperlink w:history="0" r:id="rId7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4. Расход воды на наружное пожаротушение зданий или сооружений передающих и приемных радиостанций, радиотелевизионных передающих станций (РПС) и радиотелевизионных ретрансляторов независимо от объема зданий или сооружений и числа проживающих в населенном пункте людей надлежит принимать не менее 15 л/с, если по </w:t>
      </w:r>
      <w:hyperlink w:history="0" w:anchor="P375" w:tooltip="Расход воды на наружное пожаротушение зданий и сооружений">
        <w:r>
          <w:rPr>
            <w:sz w:val="24"/>
            <w:color w:val="0000ff"/>
          </w:rPr>
          <w:t xml:space="preserve">таблицам 3</w:t>
        </w:r>
      </w:hyperlink>
      <w:r>
        <w:rPr>
          <w:sz w:val="24"/>
        </w:rPr>
        <w:t xml:space="preserve"> и </w:t>
      </w:r>
      <w:hyperlink w:history="0" w:anchor="P554" w:tooltip="Расход воды на наружное пожаротушение зданий">
        <w:r>
          <w:rPr>
            <w:sz w:val="24"/>
            <w:color w:val="0000ff"/>
          </w:rPr>
          <w:t xml:space="preserve">4</w:t>
        </w:r>
      </w:hyperlink>
      <w:r>
        <w:rPr>
          <w:sz w:val="24"/>
        </w:rPr>
        <w:t xml:space="preserve"> не требуется больший расход воды. Указанные требования не распространяются на радиотелевизионные ретрансляторы, устанавливаемые на существующих и проектируемых объектах связи, а также передвижные радиостанции и радиостанции контейнерного типа.</w:t>
      </w:r>
    </w:p>
    <w:p>
      <w:pPr>
        <w:pStyle w:val="0"/>
        <w:jc w:val="both"/>
      </w:pPr>
      <w:r>
        <w:rPr>
          <w:sz w:val="24"/>
        </w:rPr>
        <w:t xml:space="preserve">(в ред. </w:t>
      </w:r>
      <w:hyperlink w:history="0" r:id="rId7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5. Исключен с 1 марта 2024 года. - </w:t>
      </w:r>
      <w:hyperlink w:history="0" r:id="rId7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w:t>
        </w:r>
      </w:hyperlink>
      <w:r>
        <w:rPr>
          <w:sz w:val="24"/>
        </w:rPr>
        <w:t xml:space="preserve"> МЧС России от 25.12.2023 N 1329.</w:t>
      </w:r>
    </w:p>
    <w:p>
      <w:pPr>
        <w:pStyle w:val="0"/>
        <w:jc w:val="both"/>
      </w:pPr>
      <w:r>
        <w:rPr>
          <w:sz w:val="24"/>
        </w:rPr>
      </w:r>
    </w:p>
    <w:p>
      <w:pPr>
        <w:pStyle w:val="0"/>
        <w:ind w:firstLine="540"/>
        <w:jc w:val="both"/>
      </w:pPr>
      <w:r>
        <w:rPr>
          <w:sz w:val="24"/>
        </w:rPr>
        <w:t xml:space="preserve">5.4. Расход воды на наружное пожаротушение зданий или сооружений, разделенных на пожарные отсеки противопожарными стенами, следует принимать по тому пожарному отсеку, где требуется наибольший расход воды. В том случае, если здание или сооружение разделено на пожарные отсеки только противопожарными перекрытиями, расход воды на наружное пожаротушение следует определять по общему объему здания или сооружения.</w:t>
      </w:r>
    </w:p>
    <w:p>
      <w:pPr>
        <w:pStyle w:val="0"/>
        <w:jc w:val="both"/>
      </w:pPr>
      <w:r>
        <w:rPr>
          <w:sz w:val="24"/>
        </w:rPr>
        <w:t xml:space="preserve">(в ред. </w:t>
      </w:r>
      <w:hyperlink w:history="0" r:id="rId8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Расход воды на наружное пожаротушение для зданий или сооружений, разделенных на надземные и подземные пожарные отсеки, следует определять по тому пожарному отсеку здания или сооружения, где требуется наибольший расход воды.</w:t>
      </w:r>
    </w:p>
    <w:p>
      <w:pPr>
        <w:pStyle w:val="0"/>
        <w:jc w:val="both"/>
      </w:pPr>
      <w:r>
        <w:rPr>
          <w:sz w:val="24"/>
        </w:rPr>
        <w:t xml:space="preserve">(в ред. </w:t>
      </w:r>
      <w:hyperlink w:history="0" r:id="rId8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Для многосекционных зданий класса функциональной пожарной опасности Ф1.3 при разделении секций согласно </w:t>
      </w:r>
      <w:hyperlink w:history="0" r:id="rId82"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пункту 5.2.9</w:t>
        </w:r>
      </w:hyperlink>
      <w:r>
        <w:rPr>
          <w:sz w:val="24"/>
        </w:rPr>
        <w:t xml:space="preserve"> СП 4.13130 противопожарными стенами 2-го типа расход воды на наружное пожаротушение следует принимать по той секции, где требуется наибольший расход воды. Для зданий или сооружений V степени огнестойкости, а также для зданий или сооружений любой степени огнестойкости класса конструктивной пожарной опасности C2, C3 расход воды на наружное пожаротушение следует принимать по полному строительному объему здания или сооружения без учета наличия противопожарных стен и перекрытий.</w:t>
      </w:r>
    </w:p>
    <w:p>
      <w:pPr>
        <w:pStyle w:val="0"/>
        <w:jc w:val="both"/>
      </w:pPr>
      <w:r>
        <w:rPr>
          <w:sz w:val="24"/>
        </w:rPr>
        <w:t xml:space="preserve">(абзац введен </w:t>
      </w:r>
      <w:hyperlink w:history="0" r:id="rId8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spacing w:before="240" w:lineRule="auto"/>
        <w:ind w:firstLine="540"/>
        <w:jc w:val="both"/>
      </w:pPr>
      <w:r>
        <w:rPr>
          <w:sz w:val="24"/>
        </w:rPr>
        <w:t xml:space="preserve">5.5. Исключен с 1 марта 2024 года. - </w:t>
      </w:r>
      <w:hyperlink w:history="0" r:id="rId8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w:t>
        </w:r>
      </w:hyperlink>
      <w:r>
        <w:rPr>
          <w:sz w:val="24"/>
        </w:rPr>
        <w:t xml:space="preserve"> МЧС России от 25.12.2023 N 1329.</w:t>
      </w:r>
    </w:p>
    <w:p>
      <w:pPr>
        <w:pStyle w:val="0"/>
        <w:spacing w:before="240" w:lineRule="auto"/>
        <w:ind w:firstLine="540"/>
        <w:jc w:val="both"/>
      </w:pPr>
      <w:r>
        <w:rPr>
          <w:sz w:val="24"/>
        </w:rPr>
        <w:t xml:space="preserve">5.6. Расход воды на наружное пожаротушение для закрытых и открытых складов лесоматериалов по </w:t>
      </w:r>
      <w:hyperlink w:history="0" r:id="rId85" w:tooltip="&quot;СП 114.13330.2016. Свод правил. Склады лесных материалов. Противопожарные нормы. Актуализированная редакция СНиП 21-03-2003&quot; (утв. Приказом Минстроя России от 09.09.2016 N 627/пр) {КонсультантПлюс}">
        <w:r>
          <w:rPr>
            <w:sz w:val="24"/>
            <w:color w:val="0000ff"/>
          </w:rPr>
          <w:t xml:space="preserve">СП 114.13330</w:t>
        </w:r>
      </w:hyperlink>
      <w:r>
        <w:rPr>
          <w:sz w:val="24"/>
        </w:rPr>
        <w:t xml:space="preserve"> и </w:t>
      </w:r>
      <w:hyperlink w:history="0" r:id="rId86" w:tooltip="&quot;СП 316.1325800.2017. Свод правил. Терминалы контейнерные. Правила проектирования&quot; (утв. и введен в действие Приказом Минстроя России от 14.11.2017 N 1541/пр) (ред. от 25.11.2019) {КонсультантПлюс}">
        <w:r>
          <w:rPr>
            <w:sz w:val="24"/>
            <w:color w:val="0000ff"/>
          </w:rPr>
          <w:t xml:space="preserve">СП 316.1325800</w:t>
        </w:r>
      </w:hyperlink>
      <w:r>
        <w:rPr>
          <w:sz w:val="24"/>
        </w:rPr>
        <w:t xml:space="preserve"> на один пожар следует принимать не менее величин, указанных в таблице 5.</w:t>
      </w:r>
    </w:p>
    <w:p>
      <w:pPr>
        <w:pStyle w:val="0"/>
        <w:jc w:val="both"/>
      </w:pPr>
      <w:r>
        <w:rPr>
          <w:sz w:val="24"/>
        </w:rPr>
        <w:t xml:space="preserve">(в ред. </w:t>
      </w:r>
      <w:hyperlink w:history="0" r:id="rId8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jc w:val="right"/>
      </w:pPr>
      <w:r>
        <w:rPr>
          <w:sz w:val="24"/>
        </w:rPr>
        <w:t xml:space="preserve">Таблица 5</w:t>
      </w:r>
    </w:p>
    <w:p>
      <w:pPr>
        <w:pStyle w:val="0"/>
        <w:jc w:val="both"/>
      </w:pPr>
      <w:r>
        <w:rPr>
          <w:sz w:val="24"/>
        </w:rPr>
      </w:r>
    </w:p>
    <w:p>
      <w:pPr>
        <w:pStyle w:val="2"/>
        <w:outlineLvl w:val="2"/>
        <w:jc w:val="center"/>
      </w:pPr>
      <w:r>
        <w:rPr>
          <w:sz w:val="24"/>
        </w:rPr>
        <w:t xml:space="preserve">Расход воды на наружное пожаротушение закрытых и открытых</w:t>
      </w:r>
    </w:p>
    <w:p>
      <w:pPr>
        <w:pStyle w:val="2"/>
        <w:jc w:val="center"/>
      </w:pPr>
      <w:r>
        <w:rPr>
          <w:sz w:val="24"/>
        </w:rPr>
        <w:t xml:space="preserve">складов лесоматериалов</w:t>
      </w:r>
    </w:p>
    <w:p>
      <w:pPr>
        <w:pStyle w:val="0"/>
        <w:jc w:val="center"/>
      </w:pPr>
      <w:r>
        <w:rPr>
          <w:sz w:val="24"/>
        </w:rPr>
      </w:r>
    </w:p>
    <w:p>
      <w:pPr>
        <w:pStyle w:val="0"/>
        <w:jc w:val="center"/>
      </w:pPr>
      <w:r>
        <w:rPr>
          <w:sz w:val="24"/>
        </w:rPr>
        <w:t xml:space="preserve">(в ред. </w:t>
      </w:r>
      <w:hyperlink w:history="0" r:id="rId8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32"/>
        <w:gridCol w:w="1048"/>
        <w:gridCol w:w="1048"/>
        <w:gridCol w:w="1048"/>
        <w:gridCol w:w="1049"/>
      </w:tblGrid>
      <w:tr>
        <w:tc>
          <w:tcPr>
            <w:tcW w:w="4932" w:type="dxa"/>
            <w:vMerge w:val="restart"/>
          </w:tcPr>
          <w:p>
            <w:pPr>
              <w:pStyle w:val="0"/>
              <w:jc w:val="center"/>
            </w:pPr>
            <w:r>
              <w:rPr>
                <w:sz w:val="24"/>
              </w:rPr>
              <w:t xml:space="preserve">Вид и способ хранения лесоматериалов</w:t>
            </w:r>
          </w:p>
        </w:tc>
        <w:tc>
          <w:tcPr>
            <w:gridSpan w:val="4"/>
            <w:tcW w:w="4193" w:type="dxa"/>
          </w:tcPr>
          <w:p>
            <w:pPr>
              <w:pStyle w:val="0"/>
              <w:jc w:val="center"/>
            </w:pPr>
            <w:r>
              <w:rPr>
                <w:sz w:val="24"/>
              </w:rPr>
              <w:t xml:space="preserve">Расход воды на тушение пожара, л/с при суммарной вместимости складов лесоматериалов, м</w:t>
            </w:r>
            <w:r>
              <w:rPr>
                <w:sz w:val="24"/>
                <w:vertAlign w:val="superscript"/>
              </w:rPr>
              <w:t xml:space="preserve">3</w:t>
            </w:r>
          </w:p>
        </w:tc>
      </w:tr>
      <w:tr>
        <w:tc>
          <w:tcPr>
            <w:vMerge w:val="continue"/>
          </w:tcPr>
          <w:p/>
        </w:tc>
        <w:tc>
          <w:tcPr>
            <w:tcW w:w="1048" w:type="dxa"/>
          </w:tcPr>
          <w:p>
            <w:pPr>
              <w:pStyle w:val="0"/>
              <w:jc w:val="center"/>
            </w:pPr>
            <w:r>
              <w:rPr>
                <w:sz w:val="24"/>
              </w:rPr>
              <w:t xml:space="preserve">до 10 000</w:t>
            </w:r>
          </w:p>
        </w:tc>
        <w:tc>
          <w:tcPr>
            <w:tcW w:w="1048" w:type="dxa"/>
          </w:tcPr>
          <w:p>
            <w:pPr>
              <w:pStyle w:val="0"/>
              <w:jc w:val="center"/>
            </w:pPr>
            <w:r>
              <w:rPr>
                <w:sz w:val="24"/>
              </w:rPr>
              <w:t xml:space="preserve">св. 10 000 до 100 000</w:t>
            </w:r>
          </w:p>
        </w:tc>
        <w:tc>
          <w:tcPr>
            <w:tcW w:w="1048" w:type="dxa"/>
          </w:tcPr>
          <w:p>
            <w:pPr>
              <w:pStyle w:val="0"/>
              <w:jc w:val="center"/>
            </w:pPr>
            <w:r>
              <w:rPr>
                <w:sz w:val="24"/>
              </w:rPr>
              <w:t xml:space="preserve">св. 100 000 до 500 000</w:t>
            </w:r>
          </w:p>
        </w:tc>
        <w:tc>
          <w:tcPr>
            <w:tcW w:w="1049" w:type="dxa"/>
          </w:tcPr>
          <w:p>
            <w:pPr>
              <w:pStyle w:val="0"/>
              <w:jc w:val="center"/>
            </w:pPr>
            <w:r>
              <w:rPr>
                <w:sz w:val="24"/>
              </w:rPr>
              <w:t xml:space="preserve">св. 500 000</w:t>
            </w:r>
          </w:p>
        </w:tc>
      </w:tr>
      <w:tr>
        <w:tc>
          <w:tcPr>
            <w:tcW w:w="4932" w:type="dxa"/>
            <w:vAlign w:val="center"/>
          </w:tcPr>
          <w:p>
            <w:pPr>
              <w:pStyle w:val="0"/>
              <w:ind w:firstLine="283"/>
            </w:pPr>
            <w:r>
              <w:rPr>
                <w:sz w:val="24"/>
              </w:rPr>
              <w:t xml:space="preserve">Закрытые склады:</w:t>
            </w:r>
          </w:p>
        </w:tc>
        <w:tc>
          <w:tcPr>
            <w:gridSpan w:val="4"/>
            <w:tcW w:w="4193" w:type="dxa"/>
            <w:vAlign w:val="center"/>
          </w:tcPr>
          <w:p>
            <w:pPr>
              <w:pStyle w:val="0"/>
            </w:pPr>
            <w:r>
              <w:rPr>
                <w:sz w:val="24"/>
              </w:rPr>
            </w:r>
          </w:p>
        </w:tc>
      </w:tr>
      <w:tr>
        <w:tc>
          <w:tcPr>
            <w:tcW w:w="4932" w:type="dxa"/>
            <w:vAlign w:val="center"/>
          </w:tcPr>
          <w:p>
            <w:pPr>
              <w:pStyle w:val="0"/>
            </w:pPr>
            <w:r>
              <w:rPr>
                <w:sz w:val="24"/>
              </w:rPr>
              <w:t xml:space="preserve">щепа и опилки</w:t>
            </w:r>
          </w:p>
        </w:tc>
        <w:tc>
          <w:tcPr>
            <w:tcW w:w="1048" w:type="dxa"/>
            <w:vAlign w:val="center"/>
          </w:tcPr>
          <w:p>
            <w:pPr>
              <w:pStyle w:val="0"/>
              <w:jc w:val="center"/>
            </w:pPr>
            <w:r>
              <w:rPr>
                <w:sz w:val="24"/>
              </w:rPr>
              <w:t xml:space="preserve">30</w:t>
            </w:r>
          </w:p>
        </w:tc>
        <w:tc>
          <w:tcPr>
            <w:tcW w:w="1048" w:type="dxa"/>
            <w:vAlign w:val="center"/>
          </w:tcPr>
          <w:p>
            <w:pPr>
              <w:pStyle w:val="0"/>
              <w:jc w:val="center"/>
            </w:pPr>
            <w:r>
              <w:rPr>
                <w:sz w:val="24"/>
              </w:rPr>
              <w:t xml:space="preserve">60</w:t>
            </w:r>
          </w:p>
        </w:tc>
        <w:tc>
          <w:tcPr>
            <w:tcW w:w="1048" w:type="dxa"/>
            <w:vAlign w:val="center"/>
          </w:tcPr>
          <w:p>
            <w:pPr>
              <w:pStyle w:val="0"/>
              <w:jc w:val="center"/>
            </w:pPr>
            <w:r>
              <w:rPr>
                <w:sz w:val="24"/>
              </w:rPr>
              <w:t xml:space="preserve">90</w:t>
            </w:r>
          </w:p>
        </w:tc>
        <w:tc>
          <w:tcPr>
            <w:tcW w:w="1049" w:type="dxa"/>
            <w:vAlign w:val="center"/>
          </w:tcPr>
          <w:p>
            <w:pPr>
              <w:pStyle w:val="0"/>
              <w:jc w:val="center"/>
            </w:pPr>
            <w:r>
              <w:rPr>
                <w:sz w:val="24"/>
              </w:rPr>
              <w:t xml:space="preserve">120</w:t>
            </w:r>
          </w:p>
        </w:tc>
      </w:tr>
      <w:tr>
        <w:tc>
          <w:tcPr>
            <w:tcW w:w="4932" w:type="dxa"/>
            <w:vAlign w:val="center"/>
          </w:tcPr>
          <w:p>
            <w:pPr>
              <w:pStyle w:val="0"/>
            </w:pPr>
            <w:r>
              <w:rPr>
                <w:sz w:val="24"/>
              </w:rPr>
              <w:t xml:space="preserve">пиломатериалы</w:t>
            </w:r>
          </w:p>
        </w:tc>
        <w:tc>
          <w:tcPr>
            <w:tcW w:w="1048" w:type="dxa"/>
            <w:vAlign w:val="center"/>
          </w:tcPr>
          <w:p>
            <w:pPr>
              <w:pStyle w:val="0"/>
              <w:jc w:val="center"/>
            </w:pPr>
            <w:r>
              <w:rPr>
                <w:sz w:val="24"/>
              </w:rPr>
              <w:t xml:space="preserve">60</w:t>
            </w:r>
          </w:p>
        </w:tc>
        <w:tc>
          <w:tcPr>
            <w:tcW w:w="1048" w:type="dxa"/>
            <w:vAlign w:val="center"/>
          </w:tcPr>
          <w:p>
            <w:pPr>
              <w:pStyle w:val="0"/>
              <w:jc w:val="center"/>
            </w:pPr>
            <w:r>
              <w:rPr>
                <w:sz w:val="24"/>
              </w:rPr>
              <w:t xml:space="preserve">90</w:t>
            </w:r>
          </w:p>
        </w:tc>
        <w:tc>
          <w:tcPr>
            <w:tcW w:w="1048" w:type="dxa"/>
            <w:vAlign w:val="center"/>
          </w:tcPr>
          <w:p>
            <w:pPr>
              <w:pStyle w:val="0"/>
              <w:jc w:val="center"/>
            </w:pPr>
            <w:r>
              <w:rPr>
                <w:sz w:val="24"/>
              </w:rPr>
              <w:t xml:space="preserve">120</w:t>
            </w:r>
          </w:p>
        </w:tc>
        <w:tc>
          <w:tcPr>
            <w:tcW w:w="1049" w:type="dxa"/>
            <w:vAlign w:val="center"/>
          </w:tcPr>
          <w:p>
            <w:pPr>
              <w:pStyle w:val="0"/>
              <w:jc w:val="center"/>
            </w:pPr>
            <w:r>
              <w:rPr>
                <w:sz w:val="24"/>
              </w:rPr>
              <w:t xml:space="preserve">150</w:t>
            </w:r>
          </w:p>
        </w:tc>
      </w:tr>
      <w:tr>
        <w:tc>
          <w:tcPr>
            <w:tcW w:w="4932" w:type="dxa"/>
            <w:vAlign w:val="center"/>
          </w:tcPr>
          <w:p>
            <w:pPr>
              <w:pStyle w:val="0"/>
              <w:ind w:firstLine="283"/>
            </w:pPr>
            <w:r>
              <w:rPr>
                <w:sz w:val="24"/>
              </w:rPr>
              <w:t xml:space="preserve">Открытые склады:</w:t>
            </w:r>
          </w:p>
        </w:tc>
        <w:tc>
          <w:tcPr>
            <w:gridSpan w:val="4"/>
            <w:tcW w:w="4193" w:type="dxa"/>
            <w:vAlign w:val="center"/>
          </w:tcPr>
          <w:p>
            <w:pPr>
              <w:pStyle w:val="0"/>
            </w:pPr>
            <w:r>
              <w:rPr>
                <w:sz w:val="24"/>
              </w:rPr>
            </w:r>
          </w:p>
        </w:tc>
      </w:tr>
      <w:tr>
        <w:tc>
          <w:tcPr>
            <w:tcW w:w="4932" w:type="dxa"/>
            <w:vAlign w:val="center"/>
          </w:tcPr>
          <w:p>
            <w:pPr>
              <w:pStyle w:val="0"/>
            </w:pPr>
            <w:r>
              <w:rPr>
                <w:sz w:val="24"/>
              </w:rPr>
              <w:t xml:space="preserve">щепа и опилки в кучах</w:t>
            </w:r>
          </w:p>
        </w:tc>
        <w:tc>
          <w:tcPr>
            <w:tcW w:w="1048" w:type="dxa"/>
            <w:vAlign w:val="center"/>
          </w:tcPr>
          <w:p>
            <w:pPr>
              <w:pStyle w:val="0"/>
              <w:jc w:val="center"/>
            </w:pPr>
            <w:r>
              <w:rPr>
                <w:sz w:val="24"/>
              </w:rPr>
              <w:t xml:space="preserve">30</w:t>
            </w:r>
          </w:p>
        </w:tc>
        <w:tc>
          <w:tcPr>
            <w:tcW w:w="1048" w:type="dxa"/>
            <w:vAlign w:val="center"/>
          </w:tcPr>
          <w:p>
            <w:pPr>
              <w:pStyle w:val="0"/>
              <w:jc w:val="center"/>
            </w:pPr>
            <w:r>
              <w:rPr>
                <w:sz w:val="24"/>
              </w:rPr>
              <w:t xml:space="preserve">60</w:t>
            </w:r>
          </w:p>
        </w:tc>
        <w:tc>
          <w:tcPr>
            <w:tcW w:w="1048" w:type="dxa"/>
            <w:vAlign w:val="center"/>
          </w:tcPr>
          <w:p>
            <w:pPr>
              <w:pStyle w:val="0"/>
              <w:jc w:val="center"/>
            </w:pPr>
            <w:r>
              <w:rPr>
                <w:sz w:val="24"/>
              </w:rPr>
              <w:t xml:space="preserve">90</w:t>
            </w:r>
          </w:p>
        </w:tc>
        <w:tc>
          <w:tcPr>
            <w:tcW w:w="1049" w:type="dxa"/>
            <w:vAlign w:val="center"/>
          </w:tcPr>
          <w:p>
            <w:pPr>
              <w:pStyle w:val="0"/>
              <w:jc w:val="center"/>
            </w:pPr>
            <w:r>
              <w:rPr>
                <w:sz w:val="24"/>
              </w:rPr>
              <w:t xml:space="preserve">120</w:t>
            </w:r>
          </w:p>
        </w:tc>
      </w:tr>
      <w:tr>
        <w:tc>
          <w:tcPr>
            <w:tcW w:w="4932" w:type="dxa"/>
            <w:vAlign w:val="center"/>
          </w:tcPr>
          <w:p>
            <w:pPr>
              <w:pStyle w:val="0"/>
            </w:pPr>
            <w:r>
              <w:rPr>
                <w:sz w:val="24"/>
              </w:rPr>
              <w:t xml:space="preserve">древесные отходы в кучах</w:t>
            </w:r>
          </w:p>
        </w:tc>
        <w:tc>
          <w:tcPr>
            <w:tcW w:w="1048" w:type="dxa"/>
            <w:vAlign w:val="center"/>
          </w:tcPr>
          <w:p>
            <w:pPr>
              <w:pStyle w:val="0"/>
              <w:jc w:val="center"/>
            </w:pPr>
            <w:r>
              <w:rPr>
                <w:sz w:val="24"/>
              </w:rPr>
              <w:t xml:space="preserve">30</w:t>
            </w:r>
          </w:p>
        </w:tc>
        <w:tc>
          <w:tcPr>
            <w:tcW w:w="1048" w:type="dxa"/>
            <w:vAlign w:val="center"/>
          </w:tcPr>
          <w:p>
            <w:pPr>
              <w:pStyle w:val="0"/>
              <w:jc w:val="center"/>
            </w:pPr>
            <w:r>
              <w:rPr>
                <w:sz w:val="24"/>
              </w:rPr>
              <w:t xml:space="preserve">60</w:t>
            </w:r>
          </w:p>
        </w:tc>
        <w:tc>
          <w:tcPr>
            <w:tcW w:w="1048" w:type="dxa"/>
            <w:vAlign w:val="center"/>
          </w:tcPr>
          <w:p>
            <w:pPr>
              <w:pStyle w:val="0"/>
              <w:jc w:val="center"/>
            </w:pPr>
            <w:r>
              <w:rPr>
                <w:sz w:val="24"/>
              </w:rPr>
              <w:t xml:space="preserve">90</w:t>
            </w:r>
          </w:p>
        </w:tc>
        <w:tc>
          <w:tcPr>
            <w:tcW w:w="1049" w:type="dxa"/>
            <w:vAlign w:val="center"/>
          </w:tcPr>
          <w:p>
            <w:pPr>
              <w:pStyle w:val="0"/>
              <w:jc w:val="center"/>
            </w:pPr>
            <w:r>
              <w:rPr>
                <w:sz w:val="24"/>
              </w:rPr>
              <w:t xml:space="preserve">120</w:t>
            </w:r>
          </w:p>
        </w:tc>
      </w:tr>
      <w:tr>
        <w:tc>
          <w:tcPr>
            <w:tcW w:w="4932" w:type="dxa"/>
            <w:vAlign w:val="center"/>
          </w:tcPr>
          <w:p>
            <w:pPr>
              <w:pStyle w:val="0"/>
            </w:pPr>
            <w:r>
              <w:rPr>
                <w:sz w:val="24"/>
              </w:rPr>
              <w:t xml:space="preserve">круглые лесоматериалы в штабелях</w:t>
            </w:r>
          </w:p>
        </w:tc>
        <w:tc>
          <w:tcPr>
            <w:tcW w:w="1048" w:type="dxa"/>
            <w:vAlign w:val="center"/>
          </w:tcPr>
          <w:p>
            <w:pPr>
              <w:pStyle w:val="0"/>
              <w:jc w:val="center"/>
            </w:pPr>
            <w:r>
              <w:rPr>
                <w:sz w:val="24"/>
              </w:rPr>
              <w:t xml:space="preserve">60</w:t>
            </w:r>
          </w:p>
        </w:tc>
        <w:tc>
          <w:tcPr>
            <w:tcW w:w="1048" w:type="dxa"/>
            <w:vAlign w:val="center"/>
          </w:tcPr>
          <w:p>
            <w:pPr>
              <w:pStyle w:val="0"/>
              <w:jc w:val="center"/>
            </w:pPr>
            <w:r>
              <w:rPr>
                <w:sz w:val="24"/>
              </w:rPr>
              <w:t xml:space="preserve">90</w:t>
            </w:r>
          </w:p>
        </w:tc>
        <w:tc>
          <w:tcPr>
            <w:tcW w:w="1048" w:type="dxa"/>
            <w:vAlign w:val="center"/>
          </w:tcPr>
          <w:p>
            <w:pPr>
              <w:pStyle w:val="0"/>
              <w:jc w:val="center"/>
            </w:pPr>
            <w:r>
              <w:rPr>
                <w:sz w:val="24"/>
              </w:rPr>
              <w:t xml:space="preserve">120</w:t>
            </w:r>
          </w:p>
        </w:tc>
        <w:tc>
          <w:tcPr>
            <w:tcW w:w="1049" w:type="dxa"/>
            <w:vAlign w:val="center"/>
          </w:tcPr>
          <w:p>
            <w:pPr>
              <w:pStyle w:val="0"/>
              <w:jc w:val="center"/>
            </w:pPr>
            <w:r>
              <w:rPr>
                <w:sz w:val="24"/>
              </w:rPr>
              <w:t xml:space="preserve">150</w:t>
            </w:r>
          </w:p>
        </w:tc>
      </w:tr>
      <w:tr>
        <w:tc>
          <w:tcPr>
            <w:tcW w:w="4932" w:type="dxa"/>
            <w:vAlign w:val="center"/>
          </w:tcPr>
          <w:p>
            <w:pPr>
              <w:pStyle w:val="0"/>
            </w:pPr>
            <w:r>
              <w:rPr>
                <w:sz w:val="24"/>
              </w:rPr>
              <w:t xml:space="preserve">пиломатериалы в штабелях</w:t>
            </w:r>
          </w:p>
        </w:tc>
        <w:tc>
          <w:tcPr>
            <w:tcW w:w="1048" w:type="dxa"/>
            <w:vAlign w:val="center"/>
          </w:tcPr>
          <w:p>
            <w:pPr>
              <w:pStyle w:val="0"/>
              <w:jc w:val="center"/>
            </w:pPr>
            <w:r>
              <w:rPr>
                <w:sz w:val="24"/>
              </w:rPr>
              <w:t xml:space="preserve">60</w:t>
            </w:r>
          </w:p>
        </w:tc>
        <w:tc>
          <w:tcPr>
            <w:tcW w:w="1048" w:type="dxa"/>
            <w:vAlign w:val="center"/>
          </w:tcPr>
          <w:p>
            <w:pPr>
              <w:pStyle w:val="0"/>
              <w:jc w:val="center"/>
            </w:pPr>
            <w:r>
              <w:rPr>
                <w:sz w:val="24"/>
              </w:rPr>
              <w:t xml:space="preserve">120</w:t>
            </w:r>
          </w:p>
        </w:tc>
        <w:tc>
          <w:tcPr>
            <w:tcW w:w="1048" w:type="dxa"/>
            <w:vAlign w:val="center"/>
          </w:tcPr>
          <w:p>
            <w:pPr>
              <w:pStyle w:val="0"/>
              <w:jc w:val="center"/>
            </w:pPr>
            <w:r>
              <w:rPr>
                <w:sz w:val="24"/>
              </w:rPr>
              <w:t xml:space="preserve">150</w:t>
            </w:r>
          </w:p>
        </w:tc>
        <w:tc>
          <w:tcPr>
            <w:tcW w:w="1049" w:type="dxa"/>
            <w:vAlign w:val="center"/>
          </w:tcPr>
          <w:p>
            <w:pPr>
              <w:pStyle w:val="0"/>
              <w:jc w:val="center"/>
            </w:pPr>
            <w:r>
              <w:rPr>
                <w:sz w:val="24"/>
              </w:rPr>
              <w:t xml:space="preserve">180</w:t>
            </w:r>
          </w:p>
        </w:tc>
      </w:tr>
      <w:tr>
        <w:tc>
          <w:tcPr>
            <w:tcW w:w="4932" w:type="dxa"/>
            <w:vAlign w:val="center"/>
          </w:tcPr>
          <w:p>
            <w:pPr>
              <w:pStyle w:val="0"/>
            </w:pPr>
            <w:r>
              <w:rPr>
                <w:sz w:val="24"/>
              </w:rPr>
              <w:t xml:space="preserve">балансовая древесина, осмол и дрова в кучах</w:t>
            </w:r>
          </w:p>
        </w:tc>
        <w:tc>
          <w:tcPr>
            <w:tcW w:w="1048" w:type="dxa"/>
            <w:vAlign w:val="center"/>
          </w:tcPr>
          <w:p>
            <w:pPr>
              <w:pStyle w:val="0"/>
              <w:jc w:val="center"/>
            </w:pPr>
            <w:r>
              <w:rPr>
                <w:sz w:val="24"/>
              </w:rPr>
              <w:t xml:space="preserve">90</w:t>
            </w:r>
          </w:p>
        </w:tc>
        <w:tc>
          <w:tcPr>
            <w:tcW w:w="1048" w:type="dxa"/>
            <w:vAlign w:val="center"/>
          </w:tcPr>
          <w:p>
            <w:pPr>
              <w:pStyle w:val="0"/>
              <w:jc w:val="center"/>
            </w:pPr>
            <w:r>
              <w:rPr>
                <w:sz w:val="24"/>
              </w:rPr>
              <w:t xml:space="preserve">120</w:t>
            </w:r>
          </w:p>
        </w:tc>
        <w:tc>
          <w:tcPr>
            <w:tcW w:w="1048" w:type="dxa"/>
            <w:vAlign w:val="center"/>
          </w:tcPr>
          <w:p>
            <w:pPr>
              <w:pStyle w:val="0"/>
              <w:jc w:val="center"/>
            </w:pPr>
            <w:r>
              <w:rPr>
                <w:sz w:val="24"/>
              </w:rPr>
              <w:t xml:space="preserve">180</w:t>
            </w:r>
          </w:p>
        </w:tc>
        <w:tc>
          <w:tcPr>
            <w:tcW w:w="1049" w:type="dxa"/>
            <w:vAlign w:val="center"/>
          </w:tcPr>
          <w:p>
            <w:pPr>
              <w:pStyle w:val="0"/>
              <w:jc w:val="center"/>
            </w:pPr>
            <w:r>
              <w:rPr>
                <w:sz w:val="24"/>
              </w:rPr>
              <w:t xml:space="preserve">240</w:t>
            </w:r>
          </w:p>
        </w:tc>
      </w:tr>
    </w:tbl>
    <w:p>
      <w:pPr>
        <w:pStyle w:val="0"/>
        <w:jc w:val="both"/>
      </w:pPr>
      <w:r>
        <w:rPr>
          <w:sz w:val="24"/>
        </w:rPr>
      </w:r>
    </w:p>
    <w:p>
      <w:pPr>
        <w:pStyle w:val="0"/>
        <w:ind w:firstLine="540"/>
        <w:jc w:val="both"/>
      </w:pPr>
      <w:r>
        <w:rPr>
          <w:sz w:val="24"/>
        </w:rPr>
        <w:t xml:space="preserve">5.7. Расход воды на наружное пожаротушение для открытых площадок хранения контейнеров промышленных предприятий по </w:t>
      </w:r>
      <w:hyperlink w:history="0" r:id="rId89" w:tooltip="&quot;СП 37.13330.2012. Свод правил. Промышленный транспорт. Актуализированная редакция СНиП 2.05.07-91*&quot; (утв. Приказом Минрегиона России от 29.12.2011 N 635/7) (ред. от 01.11.2025) {КонсультантПлюс}">
        <w:r>
          <w:rPr>
            <w:sz w:val="24"/>
            <w:color w:val="0000ff"/>
          </w:rPr>
          <w:t xml:space="preserve">СП 37.13330</w:t>
        </w:r>
      </w:hyperlink>
      <w:r>
        <w:rPr>
          <w:sz w:val="24"/>
        </w:rPr>
        <w:t xml:space="preserve"> и </w:t>
      </w:r>
      <w:hyperlink w:history="0" r:id="rId90" w:tooltip="&quot;СП 316.1325800.2017. Свод правил. Терминалы контейнерные. Правила проектирования&quot; (утв. и введен в действие Приказом Минстроя России от 14.11.2017 N 1541/пр) (ред. от 25.11.2019) {КонсультантПлюс}">
        <w:r>
          <w:rPr>
            <w:sz w:val="24"/>
            <w:color w:val="0000ff"/>
          </w:rPr>
          <w:t xml:space="preserve">СП 316.1325800</w:t>
        </w:r>
      </w:hyperlink>
      <w:r>
        <w:rPr>
          <w:sz w:val="24"/>
        </w:rPr>
        <w:t xml:space="preserve"> с грузом до 30 т следует принимать при количестве контейнеров:</w:t>
      </w:r>
    </w:p>
    <w:p>
      <w:pPr>
        <w:pStyle w:val="0"/>
        <w:jc w:val="both"/>
      </w:pPr>
      <w:r>
        <w:rPr>
          <w:sz w:val="24"/>
        </w:rPr>
        <w:t xml:space="preserve">(в ред. </w:t>
      </w:r>
      <w:hyperlink w:history="0" r:id="rId9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30 - 50 шт. - 15 л/с;</w:t>
      </w:r>
    </w:p>
    <w:p>
      <w:pPr>
        <w:pStyle w:val="0"/>
        <w:spacing w:before="240" w:lineRule="auto"/>
        <w:ind w:firstLine="540"/>
        <w:jc w:val="both"/>
      </w:pPr>
      <w:r>
        <w:rPr>
          <w:sz w:val="24"/>
        </w:rPr>
        <w:t xml:space="preserve">51 - 100 шт. - 20 л/с;</w:t>
      </w:r>
    </w:p>
    <w:p>
      <w:pPr>
        <w:pStyle w:val="0"/>
        <w:spacing w:before="240" w:lineRule="auto"/>
        <w:ind w:firstLine="540"/>
        <w:jc w:val="both"/>
      </w:pPr>
      <w:r>
        <w:rPr>
          <w:sz w:val="24"/>
        </w:rPr>
        <w:t xml:space="preserve">101 - 300 шт. - 25 л/с;</w:t>
      </w:r>
    </w:p>
    <w:p>
      <w:pPr>
        <w:pStyle w:val="0"/>
        <w:spacing w:before="240" w:lineRule="auto"/>
        <w:ind w:firstLine="540"/>
        <w:jc w:val="both"/>
      </w:pPr>
      <w:r>
        <w:rPr>
          <w:sz w:val="24"/>
        </w:rPr>
        <w:t xml:space="preserve">301 - 1000 шт. - 40 л/с;</w:t>
      </w:r>
    </w:p>
    <w:p>
      <w:pPr>
        <w:pStyle w:val="0"/>
        <w:spacing w:before="240" w:lineRule="auto"/>
        <w:ind w:firstLine="540"/>
        <w:jc w:val="both"/>
      </w:pPr>
      <w:r>
        <w:rPr>
          <w:sz w:val="24"/>
        </w:rPr>
        <w:t xml:space="preserve">1001 - 1500 шт. - 60 л/с;</w:t>
      </w:r>
    </w:p>
    <w:p>
      <w:pPr>
        <w:pStyle w:val="0"/>
        <w:spacing w:before="240" w:lineRule="auto"/>
        <w:ind w:firstLine="540"/>
        <w:jc w:val="both"/>
      </w:pPr>
      <w:r>
        <w:rPr>
          <w:sz w:val="24"/>
        </w:rPr>
        <w:t xml:space="preserve">1501 - 2000 шт. - 80 л/с;</w:t>
      </w:r>
    </w:p>
    <w:p>
      <w:pPr>
        <w:pStyle w:val="0"/>
        <w:spacing w:before="240" w:lineRule="auto"/>
        <w:ind w:firstLine="540"/>
        <w:jc w:val="both"/>
      </w:pPr>
      <w:r>
        <w:rPr>
          <w:sz w:val="24"/>
        </w:rPr>
        <w:t xml:space="preserve">Свыше 2000 шт. - 100 л/с.</w:t>
      </w:r>
    </w:p>
    <w:p>
      <w:pPr>
        <w:pStyle w:val="0"/>
        <w:spacing w:before="240" w:lineRule="auto"/>
        <w:ind w:firstLine="540"/>
        <w:jc w:val="both"/>
      </w:pPr>
      <w:r>
        <w:rPr>
          <w:sz w:val="24"/>
        </w:rPr>
        <w:t xml:space="preserve">5.8. Расчетный расход воды на тушение пожара при объединенном водопроводе для автоматических установок пожаротушения, пожарных кранов и пожарных гидрантов на время их совместной работы следует принимать как сумму наибольших расходов, определенных в соответствии с требованиями нормативных документов по пожарной безопасности и настоящего раздела.</w:t>
      </w:r>
    </w:p>
    <w:p>
      <w:pPr>
        <w:pStyle w:val="0"/>
        <w:jc w:val="both"/>
      </w:pPr>
      <w:r>
        <w:rPr>
          <w:sz w:val="24"/>
        </w:rPr>
        <w:t xml:space="preserve">(в ред. </w:t>
      </w:r>
      <w:hyperlink w:history="0" r:id="rId9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Расход воды, необходимый на время тушения пожара после отключения автоматических установок пожаротушения, следует принимать согласно </w:t>
      </w:r>
      <w:hyperlink w:history="0" w:anchor="P233" w:tooltip="5.2.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расход воды на наружное пожаротушение (на один пожар) следует принимать по таблице 2 для здания или сооружения, требующего наибольшего расхода воды.">
        <w:r>
          <w:rPr>
            <w:sz w:val="24"/>
            <w:color w:val="0000ff"/>
          </w:rPr>
          <w:t xml:space="preserve">пунктам 5.2</w:t>
        </w:r>
      </w:hyperlink>
      <w:r>
        <w:rPr>
          <w:sz w:val="24"/>
        </w:rPr>
        <w:t xml:space="preserve">, </w:t>
      </w:r>
      <w:hyperlink w:history="0" w:anchor="P370" w:tooltip="5.3. Расход воды на наружное пожаротушение производственных объектов (за исключением случаев, для которых настоящим сводом правил установлены иные требования) на один пожар должен приниматься для здания или сооружения, требующего наибольшего расхода воды, по таблицам 3 и 4.">
        <w:r>
          <w:rPr>
            <w:sz w:val="24"/>
            <w:color w:val="0000ff"/>
          </w:rPr>
          <w:t xml:space="preserve">5.3</w:t>
        </w:r>
      </w:hyperlink>
      <w:r>
        <w:rPr>
          <w:sz w:val="24"/>
        </w:rPr>
        <w:t xml:space="preserve">, </w:t>
      </w:r>
      <w:hyperlink w:history="0" w:anchor="P806" w:tooltip="5.9. Если подача воды на наружное пожаротушение предусматривается стационарными установками пожаротушения, дополнительно к расходу воды на установки пожаротушения следует предусматривать расход воды из пожарных гидрантов в размере 25% от принятого в соответствии с пунктом 5.3 настоящего свода правил. При этом суммарный расход воды должен быть не менее расхода для здания или сооружения, определенного по таблице 3 или 4.">
        <w:r>
          <w:rPr>
            <w:sz w:val="24"/>
            <w:color w:val="0000ff"/>
          </w:rPr>
          <w:t xml:space="preserve">5.9</w:t>
        </w:r>
      </w:hyperlink>
      <w:r>
        <w:rPr>
          <w:sz w:val="24"/>
        </w:rPr>
        <w:t xml:space="preserve"> и </w:t>
      </w:r>
      <w:hyperlink w:history="0" w:anchor="P808" w:tooltip="5.10. На пожаротушение зданий или сооружений, оборудованных внутренним противопожарным водопроводом, следует учитывать дополнительный расход воды к расходам, указанным в таблицах 2 - 4, который следует принимать в соответствии с СП 10.13130 для здания или сооружения, требующего наибольшего расхода воды.">
        <w:r>
          <w:rPr>
            <w:sz w:val="24"/>
            <w:color w:val="0000ff"/>
          </w:rPr>
          <w:t xml:space="preserve">5.10</w:t>
        </w:r>
      </w:hyperlink>
      <w:r>
        <w:rPr>
          <w:sz w:val="24"/>
        </w:rPr>
        <w:t xml:space="preserve"> настоящего свода правил.</w:t>
      </w:r>
    </w:p>
    <w:p>
      <w:pPr>
        <w:pStyle w:val="0"/>
        <w:spacing w:before="240" w:lineRule="auto"/>
        <w:ind w:firstLine="540"/>
        <w:jc w:val="both"/>
      </w:pPr>
      <w:r>
        <w:rPr>
          <w:sz w:val="24"/>
        </w:rPr>
        <w:t xml:space="preserve">Примечание: одновременность действия автоматических установок пожаротушения следует учитывать в зависимости от условий пожаротушения.</w:t>
      </w:r>
    </w:p>
    <w:p>
      <w:pPr>
        <w:pStyle w:val="0"/>
        <w:jc w:val="both"/>
      </w:pPr>
      <w:r>
        <w:rPr>
          <w:sz w:val="24"/>
        </w:rPr>
      </w:r>
    </w:p>
    <w:bookmarkStart w:id="806" w:name="P806"/>
    <w:bookmarkEnd w:id="806"/>
    <w:p>
      <w:pPr>
        <w:pStyle w:val="0"/>
        <w:ind w:firstLine="540"/>
        <w:jc w:val="both"/>
      </w:pPr>
      <w:r>
        <w:rPr>
          <w:sz w:val="24"/>
        </w:rPr>
        <w:t xml:space="preserve">5.9. Если подача воды на наружное пожаротушение предусматривается стационарными установками пожаротушения, дополнительно к расходу воды на установки пожаротушения следует предусматривать расход воды из пожарных гидрантов в размере 25% от принятого в соответствии с </w:t>
      </w:r>
      <w:hyperlink w:history="0" w:anchor="P370" w:tooltip="5.3. Расход воды на наружное пожаротушение производственных объектов (за исключением случаев, для которых настоящим сводом правил установлены иные требования) на один пожар должен приниматься для здания или сооружения, требующего наибольшего расхода воды, по таблицам 3 и 4.">
        <w:r>
          <w:rPr>
            <w:sz w:val="24"/>
            <w:color w:val="0000ff"/>
          </w:rPr>
          <w:t xml:space="preserve">пунктом 5.3</w:t>
        </w:r>
      </w:hyperlink>
      <w:r>
        <w:rPr>
          <w:sz w:val="24"/>
        </w:rPr>
        <w:t xml:space="preserve"> настоящего свода правил. При этом суммарный расход воды должен быть не менее расхода для здания или сооружения, определенного по </w:t>
      </w:r>
      <w:hyperlink w:history="0" w:anchor="P375" w:tooltip="Расход воды на наружное пожаротушение зданий и сооружений">
        <w:r>
          <w:rPr>
            <w:sz w:val="24"/>
            <w:color w:val="0000ff"/>
          </w:rPr>
          <w:t xml:space="preserve">таблице 3</w:t>
        </w:r>
      </w:hyperlink>
      <w:r>
        <w:rPr>
          <w:sz w:val="24"/>
        </w:rPr>
        <w:t xml:space="preserve"> или </w:t>
      </w:r>
      <w:hyperlink w:history="0" w:anchor="P554" w:tooltip="Расход воды на наружное пожаротушение зданий">
        <w:r>
          <w:rPr>
            <w:sz w:val="24"/>
            <w:color w:val="0000ff"/>
          </w:rPr>
          <w:t xml:space="preserve">4</w:t>
        </w:r>
      </w:hyperlink>
      <w:r>
        <w:rPr>
          <w:sz w:val="24"/>
        </w:rPr>
        <w:t xml:space="preserve">.</w:t>
      </w:r>
    </w:p>
    <w:p>
      <w:pPr>
        <w:pStyle w:val="0"/>
        <w:jc w:val="both"/>
      </w:pPr>
      <w:r>
        <w:rPr>
          <w:sz w:val="24"/>
        </w:rPr>
        <w:t xml:space="preserve">(в ред. </w:t>
      </w:r>
      <w:hyperlink w:history="0" r:id="rId9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808" w:name="P808"/>
    <w:bookmarkEnd w:id="808"/>
    <w:p>
      <w:pPr>
        <w:pStyle w:val="0"/>
        <w:spacing w:before="240" w:lineRule="auto"/>
        <w:ind w:firstLine="540"/>
        <w:jc w:val="both"/>
      </w:pPr>
      <w:r>
        <w:rPr>
          <w:sz w:val="24"/>
        </w:rPr>
        <w:t xml:space="preserve">5.10. На пожаротушение зданий или сооружений, оборудованных внутренним противопожарным водопроводом, следует учитывать дополнительный расход воды к расходам, указанным в </w:t>
      </w:r>
      <w:hyperlink w:history="0" w:anchor="P238" w:tooltip="Расход воды на наружное пожаротушение зданий и сооружений">
        <w:r>
          <w:rPr>
            <w:sz w:val="24"/>
            <w:color w:val="0000ff"/>
          </w:rPr>
          <w:t xml:space="preserve">таблицах 2</w:t>
        </w:r>
      </w:hyperlink>
      <w:r>
        <w:rPr>
          <w:sz w:val="24"/>
        </w:rPr>
        <w:t xml:space="preserve"> - </w:t>
      </w:r>
      <w:hyperlink w:history="0" w:anchor="P554" w:tooltip="Расход воды на наружное пожаротушение зданий">
        <w:r>
          <w:rPr>
            <w:sz w:val="24"/>
            <w:color w:val="0000ff"/>
          </w:rPr>
          <w:t xml:space="preserve">4</w:t>
        </w:r>
      </w:hyperlink>
      <w:r>
        <w:rPr>
          <w:sz w:val="24"/>
        </w:rPr>
        <w:t xml:space="preserve">, который следует принимать в соответствии с </w:t>
      </w:r>
      <w:hyperlink w:history="0" r:id="rId9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для здания или сооружения, требующего наибольшего расхода воды.</w:t>
      </w:r>
    </w:p>
    <w:p>
      <w:pPr>
        <w:pStyle w:val="0"/>
        <w:jc w:val="both"/>
      </w:pPr>
      <w:r>
        <w:rPr>
          <w:sz w:val="24"/>
        </w:rPr>
        <w:t xml:space="preserve">(п. 5.10 в ред. </w:t>
      </w:r>
      <w:hyperlink w:history="0" r:id="rId9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5.11. Расчетный расход воды объединенного водопровода на тушение пожара должен быть обеспечен при наибольшем расходе воды на другие нужды, предусмотренные </w:t>
      </w:r>
      <w:hyperlink w:history="0" r:id="rId96"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9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В случаях, когда по условиям технологического процесса возможно использование производственной воды на пожаротушение, следует предусматривать установку гидрантов на сети производственного водопровода дополнительно к гидрантам, установленным на сети противопожарного водопровода, обеспечивающего требуемый расход воды на пожаротушение.</w:t>
      </w:r>
    </w:p>
    <w:p>
      <w:pPr>
        <w:pStyle w:val="0"/>
        <w:spacing w:before="240" w:lineRule="auto"/>
        <w:ind w:firstLine="540"/>
        <w:jc w:val="both"/>
      </w:pPr>
      <w:r>
        <w:rPr>
          <w:sz w:val="24"/>
        </w:rPr>
        <w:t xml:space="preserve">5.12. Расход воды на наружное пожаротушение автостоянок в соответствии с </w:t>
      </w:r>
      <w:hyperlink w:history="0" r:id="rId98" w:tooltip="Приказ Минстроя России от 05.10.2023 N 718/пр (ред. от 16.12.2025) &quot;Об утверждении СП 113.13330.2023 &quot;СНиП 21-02-99* Стоянки автомобилей&quot; (вместе с &quot;СП 113.13330.2023. Свод правил. Стоянки автомобилей СНиП 21-02-99*&quot;) {КонсультантПлюс}">
        <w:r>
          <w:rPr>
            <w:sz w:val="24"/>
            <w:color w:val="0000ff"/>
          </w:rPr>
          <w:t xml:space="preserve">СП 113.13330</w:t>
        </w:r>
      </w:hyperlink>
      <w:r>
        <w:rPr>
          <w:sz w:val="24"/>
        </w:rPr>
        <w:t xml:space="preserve"> следует принимать по </w:t>
      </w:r>
      <w:hyperlink w:history="0" w:anchor="P824" w:tooltip="Расход воды на наружное пожаротушение надземных автостоянок">
        <w:r>
          <w:rPr>
            <w:sz w:val="24"/>
            <w:color w:val="0000ff"/>
          </w:rPr>
          <w:t xml:space="preserve">таблице 6</w:t>
        </w:r>
      </w:hyperlink>
      <w:r>
        <w:rPr>
          <w:sz w:val="24"/>
        </w:rPr>
        <w:t xml:space="preserve"> настоящего свода правил для надземных автостоянок закрытого и открытого типов.</w:t>
      </w:r>
    </w:p>
    <w:p>
      <w:pPr>
        <w:pStyle w:val="0"/>
        <w:spacing w:before="240" w:lineRule="auto"/>
        <w:ind w:firstLine="540"/>
        <w:jc w:val="both"/>
      </w:pPr>
      <w:r>
        <w:rPr>
          <w:sz w:val="24"/>
        </w:rPr>
        <w:t xml:space="preserve">Для других видов автостоянок:</w:t>
      </w:r>
    </w:p>
    <w:p>
      <w:pPr>
        <w:pStyle w:val="0"/>
        <w:spacing w:before="240" w:lineRule="auto"/>
        <w:ind w:firstLine="540"/>
        <w:jc w:val="both"/>
      </w:pPr>
      <w:r>
        <w:rPr>
          <w:sz w:val="24"/>
        </w:rPr>
        <w:t xml:space="preserve">автостоянок боксового типа с непосредственным выездом наружу из каждого бокса при количестве боксов от 50 до 200 - 5 л/с, более 200 - 10 л/с;</w:t>
      </w:r>
    </w:p>
    <w:p>
      <w:pPr>
        <w:pStyle w:val="0"/>
        <w:spacing w:before="240" w:lineRule="auto"/>
        <w:ind w:firstLine="540"/>
        <w:jc w:val="both"/>
      </w:pPr>
      <w:r>
        <w:rPr>
          <w:sz w:val="24"/>
        </w:rPr>
        <w:t xml:space="preserve">подземных автостоянок до двух этажей включительно - 20 л/с;</w:t>
      </w:r>
    </w:p>
    <w:p>
      <w:pPr>
        <w:pStyle w:val="0"/>
        <w:spacing w:before="240" w:lineRule="auto"/>
        <w:ind w:firstLine="540"/>
        <w:jc w:val="both"/>
      </w:pPr>
      <w:r>
        <w:rPr>
          <w:sz w:val="24"/>
        </w:rPr>
        <w:t xml:space="preserve">подземных автостоянок более двух этажей - 30 л/с;</w:t>
      </w:r>
    </w:p>
    <w:p>
      <w:pPr>
        <w:pStyle w:val="0"/>
        <w:spacing w:before="240" w:lineRule="auto"/>
        <w:ind w:firstLine="540"/>
        <w:jc w:val="both"/>
      </w:pPr>
      <w:r>
        <w:rPr>
          <w:sz w:val="24"/>
        </w:rPr>
        <w:t xml:space="preserve">многоуровневых надземных и подземных автостоянок - 40 л/с.</w:t>
      </w:r>
    </w:p>
    <w:p>
      <w:pPr>
        <w:pStyle w:val="0"/>
        <w:spacing w:before="240" w:lineRule="auto"/>
        <w:ind w:firstLine="540"/>
        <w:jc w:val="both"/>
      </w:pPr>
      <w:r>
        <w:rPr>
          <w:sz w:val="24"/>
        </w:rPr>
        <w:t xml:space="preserve">Примечание: Многоуровневая автостоянка - стоянка, на которой в соответствии с требованиями нормативных документов по пожарной безопасности предусматривается размещение автомобилей на нескольких уровнях (ярусах) в пределах одного этажа.</w:t>
      </w:r>
    </w:p>
    <w:p>
      <w:pPr>
        <w:pStyle w:val="0"/>
        <w:jc w:val="both"/>
      </w:pPr>
      <w:r>
        <w:rPr>
          <w:sz w:val="24"/>
        </w:rPr>
        <w:t xml:space="preserve">(п. 5.12 в ред. </w:t>
      </w:r>
      <w:hyperlink w:history="0" r:id="rId9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jc w:val="right"/>
      </w:pPr>
      <w:r>
        <w:rPr>
          <w:sz w:val="24"/>
        </w:rPr>
        <w:t xml:space="preserve">Таблица 6</w:t>
      </w:r>
    </w:p>
    <w:p>
      <w:pPr>
        <w:pStyle w:val="0"/>
        <w:jc w:val="both"/>
      </w:pPr>
      <w:r>
        <w:rPr>
          <w:sz w:val="24"/>
        </w:rPr>
      </w:r>
    </w:p>
    <w:bookmarkStart w:id="824" w:name="P824"/>
    <w:bookmarkEnd w:id="824"/>
    <w:p>
      <w:pPr>
        <w:pStyle w:val="2"/>
        <w:outlineLvl w:val="2"/>
        <w:jc w:val="center"/>
      </w:pPr>
      <w:r>
        <w:rPr>
          <w:sz w:val="24"/>
        </w:rPr>
        <w:t xml:space="preserve">Расход воды на наружное пожаротушение надземных автостоянок</w:t>
      </w:r>
    </w:p>
    <w:p>
      <w:pPr>
        <w:pStyle w:val="2"/>
        <w:jc w:val="center"/>
      </w:pPr>
      <w:r>
        <w:rPr>
          <w:sz w:val="24"/>
        </w:rPr>
        <w:t xml:space="preserve">закрытого и открытого типов</w:t>
      </w:r>
    </w:p>
    <w:p>
      <w:pPr>
        <w:pStyle w:val="0"/>
        <w:jc w:val="center"/>
      </w:pPr>
      <w:r>
        <w:rPr>
          <w:sz w:val="24"/>
        </w:rPr>
      </w:r>
    </w:p>
    <w:p>
      <w:pPr>
        <w:pStyle w:val="0"/>
        <w:jc w:val="center"/>
      </w:pPr>
      <w:r>
        <w:rPr>
          <w:sz w:val="24"/>
        </w:rPr>
        <w:t xml:space="preserve">(в ред. </w:t>
      </w:r>
      <w:hyperlink w:history="0" r:id="rId10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2608"/>
        <w:gridCol w:w="1142"/>
        <w:gridCol w:w="1142"/>
        <w:gridCol w:w="1142"/>
        <w:gridCol w:w="1144"/>
      </w:tblGrid>
      <w:tr>
        <w:tc>
          <w:tcPr>
            <w:tcW w:w="1871" w:type="dxa"/>
            <w:vMerge w:val="restart"/>
          </w:tcPr>
          <w:p>
            <w:pPr>
              <w:pStyle w:val="0"/>
              <w:jc w:val="center"/>
            </w:pPr>
            <w:r>
              <w:rPr>
                <w:sz w:val="24"/>
              </w:rPr>
              <w:t xml:space="preserve">Степень огнестойкости</w:t>
            </w:r>
          </w:p>
        </w:tc>
        <w:tc>
          <w:tcPr>
            <w:tcW w:w="2608" w:type="dxa"/>
            <w:vMerge w:val="restart"/>
          </w:tcPr>
          <w:p>
            <w:pPr>
              <w:pStyle w:val="0"/>
              <w:jc w:val="center"/>
            </w:pPr>
            <w:r>
              <w:rPr>
                <w:sz w:val="24"/>
              </w:rPr>
              <w:t xml:space="preserve">Класс конструктивной пожарной опасности</w:t>
            </w:r>
          </w:p>
        </w:tc>
        <w:tc>
          <w:tcPr>
            <w:gridSpan w:val="4"/>
            <w:tcW w:w="4570" w:type="dxa"/>
          </w:tcPr>
          <w:p>
            <w:pPr>
              <w:pStyle w:val="0"/>
              <w:jc w:val="center"/>
            </w:pPr>
            <w:r>
              <w:rPr>
                <w:sz w:val="24"/>
              </w:rPr>
              <w:t xml:space="preserve">Расход воды на наружное пожаротушение на один пожар, л/с, при объеме автостоянки (пожарного отсека), тыс. м</w:t>
            </w:r>
            <w:r>
              <w:rPr>
                <w:sz w:val="24"/>
                <w:vertAlign w:val="superscript"/>
              </w:rPr>
              <w:t xml:space="preserve">3</w:t>
            </w:r>
          </w:p>
        </w:tc>
      </w:tr>
      <w:tr>
        <w:tc>
          <w:tcPr>
            <w:vMerge w:val="continue"/>
          </w:tcPr>
          <w:p/>
        </w:tc>
        <w:tc>
          <w:tcPr>
            <w:vMerge w:val="continue"/>
          </w:tcPr>
          <w:p/>
        </w:tc>
        <w:tc>
          <w:tcPr>
            <w:tcW w:w="1142" w:type="dxa"/>
          </w:tcPr>
          <w:p>
            <w:pPr>
              <w:pStyle w:val="0"/>
              <w:jc w:val="center"/>
            </w:pPr>
            <w:r>
              <w:rPr>
                <w:sz w:val="24"/>
              </w:rPr>
              <w:t xml:space="preserve">до 5</w:t>
            </w:r>
          </w:p>
        </w:tc>
        <w:tc>
          <w:tcPr>
            <w:tcW w:w="1142" w:type="dxa"/>
          </w:tcPr>
          <w:p>
            <w:pPr>
              <w:pStyle w:val="0"/>
              <w:jc w:val="center"/>
            </w:pPr>
            <w:r>
              <w:rPr>
                <w:sz w:val="24"/>
              </w:rPr>
              <w:t xml:space="preserve">свыше 5 до 20</w:t>
            </w:r>
          </w:p>
        </w:tc>
        <w:tc>
          <w:tcPr>
            <w:tcW w:w="1142" w:type="dxa"/>
          </w:tcPr>
          <w:p>
            <w:pPr>
              <w:pStyle w:val="0"/>
              <w:jc w:val="center"/>
            </w:pPr>
            <w:r>
              <w:rPr>
                <w:sz w:val="24"/>
              </w:rPr>
              <w:t xml:space="preserve">свыше 20 до 50</w:t>
            </w:r>
          </w:p>
        </w:tc>
        <w:tc>
          <w:tcPr>
            <w:tcW w:w="1144" w:type="dxa"/>
          </w:tcPr>
          <w:p>
            <w:pPr>
              <w:pStyle w:val="0"/>
              <w:jc w:val="center"/>
            </w:pPr>
            <w:r>
              <w:rPr>
                <w:sz w:val="24"/>
              </w:rPr>
              <w:t xml:space="preserve">свыше 50</w:t>
            </w:r>
          </w:p>
        </w:tc>
      </w:tr>
      <w:tr>
        <w:tc>
          <w:tcPr>
            <w:tcW w:w="1871" w:type="dxa"/>
          </w:tcPr>
          <w:p>
            <w:pPr>
              <w:pStyle w:val="0"/>
              <w:jc w:val="center"/>
            </w:pPr>
            <w:r>
              <w:rPr>
                <w:sz w:val="24"/>
              </w:rPr>
              <w:t xml:space="preserve">I, II, III</w:t>
            </w:r>
          </w:p>
        </w:tc>
        <w:tc>
          <w:tcPr>
            <w:tcW w:w="2608" w:type="dxa"/>
          </w:tcPr>
          <w:p>
            <w:pPr>
              <w:pStyle w:val="0"/>
              <w:jc w:val="center"/>
            </w:pPr>
            <w:r>
              <w:rPr>
                <w:sz w:val="24"/>
              </w:rPr>
              <w:t xml:space="preserve">C0, C1</w:t>
            </w:r>
          </w:p>
        </w:tc>
        <w:tc>
          <w:tcPr>
            <w:tcW w:w="1142" w:type="dxa"/>
          </w:tcPr>
          <w:p>
            <w:pPr>
              <w:pStyle w:val="0"/>
              <w:jc w:val="center"/>
            </w:pPr>
            <w:r>
              <w:rPr>
                <w:sz w:val="24"/>
              </w:rPr>
              <w:t xml:space="preserve">10</w:t>
            </w:r>
          </w:p>
        </w:tc>
        <w:tc>
          <w:tcPr>
            <w:tcW w:w="1142" w:type="dxa"/>
          </w:tcPr>
          <w:p>
            <w:pPr>
              <w:pStyle w:val="0"/>
              <w:jc w:val="center"/>
            </w:pPr>
            <w:r>
              <w:rPr>
                <w:sz w:val="24"/>
              </w:rPr>
              <w:t xml:space="preserve">15</w:t>
            </w:r>
          </w:p>
        </w:tc>
        <w:tc>
          <w:tcPr>
            <w:tcW w:w="1142" w:type="dxa"/>
          </w:tcPr>
          <w:p>
            <w:pPr>
              <w:pStyle w:val="0"/>
              <w:jc w:val="center"/>
            </w:pPr>
            <w:r>
              <w:rPr>
                <w:sz w:val="24"/>
              </w:rPr>
              <w:t xml:space="preserve">20</w:t>
            </w:r>
          </w:p>
        </w:tc>
        <w:tc>
          <w:tcPr>
            <w:tcW w:w="1144" w:type="dxa"/>
          </w:tcPr>
          <w:p>
            <w:pPr>
              <w:pStyle w:val="0"/>
              <w:jc w:val="center"/>
            </w:pPr>
            <w:r>
              <w:rPr>
                <w:sz w:val="24"/>
              </w:rPr>
              <w:t xml:space="preserve">30</w:t>
            </w:r>
          </w:p>
        </w:tc>
      </w:tr>
      <w:tr>
        <w:tc>
          <w:tcPr>
            <w:tcW w:w="1871" w:type="dxa"/>
          </w:tcPr>
          <w:p>
            <w:pPr>
              <w:pStyle w:val="0"/>
              <w:jc w:val="center"/>
            </w:pPr>
            <w:r>
              <w:rPr>
                <w:sz w:val="24"/>
              </w:rPr>
              <w:t xml:space="preserve">IV</w:t>
            </w:r>
          </w:p>
        </w:tc>
        <w:tc>
          <w:tcPr>
            <w:tcW w:w="2608" w:type="dxa"/>
          </w:tcPr>
          <w:p>
            <w:pPr>
              <w:pStyle w:val="0"/>
              <w:jc w:val="center"/>
            </w:pPr>
            <w:r>
              <w:rPr>
                <w:sz w:val="24"/>
              </w:rPr>
              <w:t xml:space="preserve">C0, C1</w:t>
            </w:r>
          </w:p>
        </w:tc>
        <w:tc>
          <w:tcPr>
            <w:tcW w:w="1142" w:type="dxa"/>
          </w:tcPr>
          <w:p>
            <w:pPr>
              <w:pStyle w:val="0"/>
              <w:jc w:val="center"/>
            </w:pPr>
            <w:r>
              <w:rPr>
                <w:sz w:val="24"/>
              </w:rPr>
              <w:t xml:space="preserve">10</w:t>
            </w:r>
          </w:p>
        </w:tc>
        <w:tc>
          <w:tcPr>
            <w:tcW w:w="1142" w:type="dxa"/>
          </w:tcPr>
          <w:p>
            <w:pPr>
              <w:pStyle w:val="0"/>
              <w:jc w:val="center"/>
            </w:pPr>
            <w:r>
              <w:rPr>
                <w:sz w:val="24"/>
              </w:rPr>
              <w:t xml:space="preserve">15</w:t>
            </w:r>
          </w:p>
        </w:tc>
        <w:tc>
          <w:tcPr>
            <w:tcW w:w="1142" w:type="dxa"/>
          </w:tcPr>
          <w:p>
            <w:pPr>
              <w:pStyle w:val="0"/>
              <w:jc w:val="center"/>
            </w:pPr>
            <w:r>
              <w:rPr>
                <w:sz w:val="24"/>
              </w:rPr>
              <w:t xml:space="preserve">20</w:t>
            </w:r>
          </w:p>
        </w:tc>
        <w:tc>
          <w:tcPr>
            <w:tcW w:w="1144" w:type="dxa"/>
          </w:tcPr>
          <w:p>
            <w:pPr>
              <w:pStyle w:val="0"/>
              <w:jc w:val="center"/>
            </w:pPr>
            <w:r>
              <w:rPr>
                <w:sz w:val="24"/>
              </w:rPr>
              <w:t xml:space="preserve">-</w:t>
            </w:r>
          </w:p>
        </w:tc>
      </w:tr>
      <w:tr>
        <w:tc>
          <w:tcPr>
            <w:tcW w:w="1871" w:type="dxa"/>
          </w:tcPr>
          <w:p>
            <w:pPr>
              <w:pStyle w:val="0"/>
              <w:jc w:val="center"/>
            </w:pPr>
            <w:r>
              <w:rPr>
                <w:sz w:val="24"/>
              </w:rPr>
              <w:t xml:space="preserve">IV</w:t>
            </w:r>
          </w:p>
        </w:tc>
        <w:tc>
          <w:tcPr>
            <w:tcW w:w="2608" w:type="dxa"/>
          </w:tcPr>
          <w:p>
            <w:pPr>
              <w:pStyle w:val="0"/>
              <w:jc w:val="center"/>
            </w:pPr>
            <w:r>
              <w:rPr>
                <w:sz w:val="24"/>
              </w:rPr>
              <w:t xml:space="preserve">C2, C3</w:t>
            </w:r>
          </w:p>
        </w:tc>
        <w:tc>
          <w:tcPr>
            <w:tcW w:w="1142" w:type="dxa"/>
          </w:tcPr>
          <w:p>
            <w:pPr>
              <w:pStyle w:val="0"/>
              <w:jc w:val="center"/>
            </w:pPr>
            <w:r>
              <w:rPr>
                <w:sz w:val="24"/>
              </w:rPr>
              <w:t xml:space="preserve">20</w:t>
            </w:r>
          </w:p>
        </w:tc>
        <w:tc>
          <w:tcPr>
            <w:tcW w:w="1142" w:type="dxa"/>
          </w:tcPr>
          <w:p>
            <w:pPr>
              <w:pStyle w:val="0"/>
              <w:jc w:val="center"/>
            </w:pPr>
            <w:r>
              <w:rPr>
                <w:sz w:val="24"/>
              </w:rPr>
              <w:t xml:space="preserve">25</w:t>
            </w:r>
          </w:p>
        </w:tc>
        <w:tc>
          <w:tcPr>
            <w:tcW w:w="1142" w:type="dxa"/>
          </w:tcPr>
          <w:p>
            <w:pPr>
              <w:pStyle w:val="0"/>
              <w:jc w:val="center"/>
            </w:pPr>
            <w:r>
              <w:rPr>
                <w:sz w:val="24"/>
              </w:rPr>
              <w:t xml:space="preserve">-</w:t>
            </w:r>
          </w:p>
        </w:tc>
        <w:tc>
          <w:tcPr>
            <w:tcW w:w="1144" w:type="dxa"/>
          </w:tcPr>
          <w:p>
            <w:pPr>
              <w:pStyle w:val="0"/>
              <w:jc w:val="center"/>
            </w:pPr>
            <w:r>
              <w:rPr>
                <w:sz w:val="24"/>
              </w:rPr>
              <w:t xml:space="preserve">-</w:t>
            </w:r>
          </w:p>
        </w:tc>
      </w:tr>
      <w:tr>
        <w:tc>
          <w:tcPr>
            <w:tcW w:w="1871" w:type="dxa"/>
          </w:tcPr>
          <w:p>
            <w:pPr>
              <w:pStyle w:val="0"/>
              <w:jc w:val="center"/>
            </w:pPr>
            <w:r>
              <w:rPr>
                <w:sz w:val="24"/>
              </w:rPr>
              <w:t xml:space="preserve">V</w:t>
            </w:r>
          </w:p>
        </w:tc>
        <w:tc>
          <w:tcPr>
            <w:tcW w:w="2608" w:type="dxa"/>
          </w:tcPr>
          <w:p>
            <w:pPr>
              <w:pStyle w:val="0"/>
              <w:jc w:val="center"/>
            </w:pPr>
            <w:r>
              <w:rPr>
                <w:sz w:val="24"/>
              </w:rPr>
              <w:t xml:space="preserve">Не нормируется</w:t>
            </w:r>
          </w:p>
        </w:tc>
        <w:tc>
          <w:tcPr>
            <w:tcW w:w="1142" w:type="dxa"/>
          </w:tcPr>
          <w:p>
            <w:pPr>
              <w:pStyle w:val="0"/>
              <w:jc w:val="center"/>
            </w:pPr>
            <w:r>
              <w:rPr>
                <w:sz w:val="24"/>
              </w:rPr>
              <w:t xml:space="preserve">20</w:t>
            </w:r>
          </w:p>
        </w:tc>
        <w:tc>
          <w:tcPr>
            <w:tcW w:w="1142" w:type="dxa"/>
          </w:tcPr>
          <w:p>
            <w:pPr>
              <w:pStyle w:val="0"/>
              <w:jc w:val="center"/>
            </w:pPr>
            <w:r>
              <w:rPr>
                <w:sz w:val="24"/>
              </w:rPr>
              <w:t xml:space="preserve">-</w:t>
            </w:r>
          </w:p>
        </w:tc>
        <w:tc>
          <w:tcPr>
            <w:tcW w:w="1142" w:type="dxa"/>
          </w:tcPr>
          <w:p>
            <w:pPr>
              <w:pStyle w:val="0"/>
              <w:jc w:val="center"/>
            </w:pPr>
            <w:r>
              <w:rPr>
                <w:sz w:val="24"/>
              </w:rPr>
              <w:t xml:space="preserve">-</w:t>
            </w:r>
          </w:p>
        </w:tc>
        <w:tc>
          <w:tcPr>
            <w:tcW w:w="1144" w:type="dxa"/>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5.13. Расход воды на наружное пожаротушение открытых площадок хранения автомобилей на территории организаций без обслуживания и открытых площадок хранения автомобилей предприятий по обслуживанию автомобилей следует принимать по таблице 7.</w:t>
      </w:r>
    </w:p>
    <w:p>
      <w:pPr>
        <w:pStyle w:val="0"/>
        <w:jc w:val="both"/>
      </w:pPr>
      <w:r>
        <w:rPr>
          <w:sz w:val="24"/>
        </w:rPr>
        <w:t xml:space="preserve">(в ред. </w:t>
      </w:r>
      <w:hyperlink w:history="0" r:id="rId10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jc w:val="right"/>
      </w:pPr>
      <w:r>
        <w:rPr>
          <w:sz w:val="24"/>
        </w:rPr>
        <w:t xml:space="preserve">Таблица 7</w:t>
      </w:r>
    </w:p>
    <w:p>
      <w:pPr>
        <w:pStyle w:val="0"/>
        <w:jc w:val="both"/>
      </w:pPr>
      <w:r>
        <w:rPr>
          <w:sz w:val="24"/>
        </w:rPr>
      </w:r>
    </w:p>
    <w:bookmarkStart w:id="866" w:name="P866"/>
    <w:bookmarkEnd w:id="866"/>
    <w:p>
      <w:pPr>
        <w:pStyle w:val="2"/>
        <w:outlineLvl w:val="2"/>
        <w:jc w:val="center"/>
      </w:pPr>
      <w:r>
        <w:rPr>
          <w:sz w:val="24"/>
        </w:rPr>
        <w:t xml:space="preserve">Расход воды на наружное пожаротушение открытых площадок</w:t>
      </w:r>
    </w:p>
    <w:p>
      <w:pPr>
        <w:pStyle w:val="2"/>
        <w:jc w:val="center"/>
      </w:pPr>
      <w:r>
        <w:rPr>
          <w:sz w:val="24"/>
        </w:rPr>
        <w:t xml:space="preserve">хранения автомобилей (автостоянок)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3357"/>
        <w:gridCol w:w="3358"/>
      </w:tblGrid>
      <w:tr>
        <w:tc>
          <w:tcPr>
            <w:tcW w:w="2381" w:type="dxa"/>
            <w:vMerge w:val="restart"/>
          </w:tcPr>
          <w:p>
            <w:pPr>
              <w:pStyle w:val="0"/>
              <w:jc w:val="center"/>
            </w:pPr>
            <w:r>
              <w:rPr>
                <w:sz w:val="24"/>
              </w:rPr>
              <w:t xml:space="preserve">Категория автомобилей</w:t>
            </w:r>
          </w:p>
        </w:tc>
        <w:tc>
          <w:tcPr>
            <w:gridSpan w:val="2"/>
            <w:tcW w:w="6715" w:type="dxa"/>
          </w:tcPr>
          <w:p>
            <w:pPr>
              <w:pStyle w:val="0"/>
              <w:jc w:val="center"/>
            </w:pPr>
            <w:r>
              <w:rPr>
                <w:sz w:val="24"/>
              </w:rPr>
              <w:t xml:space="preserve">Расход воды на наружное пожаротушение при количестве автомобилей, л/с</w:t>
            </w:r>
          </w:p>
        </w:tc>
      </w:tr>
      <w:tr>
        <w:tc>
          <w:tcPr>
            <w:vMerge w:val="continue"/>
          </w:tcPr>
          <w:p/>
        </w:tc>
        <w:tc>
          <w:tcPr>
            <w:tcW w:w="3357" w:type="dxa"/>
          </w:tcPr>
          <w:p>
            <w:pPr>
              <w:pStyle w:val="0"/>
              <w:jc w:val="center"/>
            </w:pPr>
            <w:r>
              <w:rPr>
                <w:sz w:val="24"/>
              </w:rPr>
              <w:t xml:space="preserve">до 200 включительно</w:t>
            </w:r>
          </w:p>
        </w:tc>
        <w:tc>
          <w:tcPr>
            <w:tcW w:w="3358" w:type="dxa"/>
          </w:tcPr>
          <w:p>
            <w:pPr>
              <w:pStyle w:val="0"/>
              <w:jc w:val="center"/>
            </w:pPr>
            <w:r>
              <w:rPr>
                <w:sz w:val="24"/>
              </w:rPr>
              <w:t xml:space="preserve">более 200</w:t>
            </w:r>
          </w:p>
        </w:tc>
      </w:tr>
      <w:tr>
        <w:tc>
          <w:tcPr>
            <w:tcW w:w="2381" w:type="dxa"/>
          </w:tcPr>
          <w:p>
            <w:pPr>
              <w:pStyle w:val="0"/>
              <w:jc w:val="center"/>
            </w:pPr>
            <w:r>
              <w:rPr>
                <w:sz w:val="24"/>
              </w:rPr>
              <w:t xml:space="preserve">I</w:t>
            </w:r>
          </w:p>
        </w:tc>
        <w:tc>
          <w:tcPr>
            <w:tcW w:w="3357" w:type="dxa"/>
          </w:tcPr>
          <w:p>
            <w:pPr>
              <w:pStyle w:val="0"/>
              <w:jc w:val="center"/>
            </w:pPr>
            <w:r>
              <w:rPr>
                <w:sz w:val="24"/>
              </w:rPr>
              <w:t xml:space="preserve">5</w:t>
            </w:r>
          </w:p>
        </w:tc>
        <w:tc>
          <w:tcPr>
            <w:tcW w:w="3358" w:type="dxa"/>
            <w:vAlign w:val="bottom"/>
          </w:tcPr>
          <w:p>
            <w:pPr>
              <w:pStyle w:val="0"/>
              <w:jc w:val="center"/>
            </w:pPr>
            <w:r>
              <w:rPr>
                <w:sz w:val="24"/>
              </w:rPr>
              <w:t xml:space="preserve">10</w:t>
            </w:r>
          </w:p>
        </w:tc>
      </w:tr>
      <w:tr>
        <w:tc>
          <w:tcPr>
            <w:tcW w:w="2381" w:type="dxa"/>
          </w:tcPr>
          <w:p>
            <w:pPr>
              <w:pStyle w:val="0"/>
              <w:jc w:val="center"/>
            </w:pPr>
            <w:r>
              <w:rPr>
                <w:sz w:val="24"/>
              </w:rPr>
              <w:t xml:space="preserve">II и III</w:t>
            </w:r>
          </w:p>
        </w:tc>
        <w:tc>
          <w:tcPr>
            <w:tcW w:w="3357" w:type="dxa"/>
            <w:vAlign w:val="bottom"/>
          </w:tcPr>
          <w:p>
            <w:pPr>
              <w:pStyle w:val="0"/>
              <w:jc w:val="center"/>
            </w:pPr>
            <w:r>
              <w:rPr>
                <w:sz w:val="24"/>
              </w:rPr>
              <w:t xml:space="preserve">10</w:t>
            </w:r>
          </w:p>
        </w:tc>
        <w:tc>
          <w:tcPr>
            <w:tcW w:w="3358" w:type="dxa"/>
          </w:tcPr>
          <w:p>
            <w:pPr>
              <w:pStyle w:val="0"/>
              <w:jc w:val="center"/>
            </w:pPr>
            <w:r>
              <w:rPr>
                <w:sz w:val="24"/>
              </w:rPr>
              <w:t xml:space="preserve">15</w:t>
            </w:r>
          </w:p>
        </w:tc>
      </w:tr>
      <w:tr>
        <w:tc>
          <w:tcPr>
            <w:tcW w:w="2381" w:type="dxa"/>
          </w:tcPr>
          <w:p>
            <w:pPr>
              <w:pStyle w:val="0"/>
              <w:jc w:val="center"/>
            </w:pPr>
            <w:r>
              <w:rPr>
                <w:sz w:val="24"/>
              </w:rPr>
              <w:t xml:space="preserve">IV</w:t>
            </w:r>
          </w:p>
        </w:tc>
        <w:tc>
          <w:tcPr>
            <w:tcW w:w="3357" w:type="dxa"/>
          </w:tcPr>
          <w:p>
            <w:pPr>
              <w:pStyle w:val="0"/>
              <w:jc w:val="center"/>
            </w:pPr>
            <w:r>
              <w:rPr>
                <w:sz w:val="24"/>
              </w:rPr>
              <w:t xml:space="preserve">15</w:t>
            </w:r>
          </w:p>
        </w:tc>
        <w:tc>
          <w:tcPr>
            <w:tcW w:w="3358" w:type="dxa"/>
            <w:vAlign w:val="bottom"/>
          </w:tcPr>
          <w:p>
            <w:pPr>
              <w:pStyle w:val="0"/>
              <w:jc w:val="center"/>
            </w:pPr>
            <w:r>
              <w:rPr>
                <w:sz w:val="24"/>
              </w:rPr>
              <w:t xml:space="preserve">20</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При хранении на открытой площадке (автостоянке) смешанного парка автомобилей расход воды на наружное пожаротушение следует определять для общего количества автомобилей по среднеарифметической норме, установленной для автомобилей каждой категории.</w:t>
      </w:r>
    </w:p>
    <w:p>
      <w:pPr>
        <w:pStyle w:val="0"/>
        <w:spacing w:before="240" w:lineRule="auto"/>
        <w:ind w:firstLine="540"/>
        <w:jc w:val="both"/>
      </w:pPr>
      <w:r>
        <w:rPr>
          <w:sz w:val="24"/>
        </w:rPr>
        <w:t xml:space="preserve">2. При размещении производств для технического обслуживания и ремонта автомобилей под навесом расход воды на наружное пожаротушение следует принимать в соответствии с </w:t>
      </w:r>
      <w:hyperlink w:history="0" w:anchor="P866" w:tooltip="Расход воды на наружное пожаротушение открытых площадок">
        <w:r>
          <w:rPr>
            <w:sz w:val="24"/>
            <w:color w:val="0000ff"/>
          </w:rPr>
          <w:t xml:space="preserve">таблицей 7</w:t>
        </w:r>
      </w:hyperlink>
      <w:r>
        <w:rPr>
          <w:sz w:val="24"/>
        </w:rPr>
        <w:t xml:space="preserve"> из расчета общего количества рабочих постов или мест хранения, приравнивая их к количеству мест открытого хранения автомобилей.</w:t>
      </w:r>
    </w:p>
    <w:p>
      <w:pPr>
        <w:pStyle w:val="0"/>
        <w:jc w:val="both"/>
      </w:pPr>
      <w:r>
        <w:rPr>
          <w:sz w:val="24"/>
        </w:rPr>
        <w:t xml:space="preserve">(в ред. </w:t>
      </w:r>
      <w:hyperlink w:history="0" r:id="rId10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 Категории автомобилей в зависимости от их габаритных размеров следует принимать в соответствии с таблицей 8.</w:t>
      </w:r>
    </w:p>
    <w:p>
      <w:pPr>
        <w:pStyle w:val="0"/>
        <w:jc w:val="both"/>
      </w:pPr>
      <w:r>
        <w:rPr>
          <w:sz w:val="24"/>
        </w:rPr>
      </w:r>
    </w:p>
    <w:p>
      <w:pPr>
        <w:pStyle w:val="0"/>
        <w:jc w:val="right"/>
      </w:pPr>
      <w:r>
        <w:rPr>
          <w:sz w:val="24"/>
        </w:rPr>
        <w:t xml:space="preserve">Таблица 8</w:t>
      </w:r>
    </w:p>
    <w:p>
      <w:pPr>
        <w:pStyle w:val="0"/>
        <w:jc w:val="both"/>
      </w:pPr>
      <w:r>
        <w:rPr>
          <w:sz w:val="24"/>
        </w:rPr>
      </w:r>
    </w:p>
    <w:bookmarkStart w:id="891" w:name="P891"/>
    <w:bookmarkEnd w:id="891"/>
    <w:p>
      <w:pPr>
        <w:pStyle w:val="2"/>
        <w:outlineLvl w:val="2"/>
        <w:jc w:val="center"/>
      </w:pPr>
      <w:r>
        <w:rPr>
          <w:sz w:val="24"/>
        </w:rPr>
        <w:t xml:space="preserve">Категории автомобилей в зависимости от габаритных размеров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97"/>
        <w:gridCol w:w="3517"/>
        <w:gridCol w:w="3517"/>
      </w:tblGrid>
      <w:tr>
        <w:tc>
          <w:tcPr>
            <w:tcW w:w="1997" w:type="dxa"/>
            <w:vMerge w:val="restart"/>
          </w:tcPr>
          <w:p>
            <w:pPr>
              <w:pStyle w:val="0"/>
              <w:jc w:val="center"/>
            </w:pPr>
            <w:r>
              <w:rPr>
                <w:sz w:val="24"/>
              </w:rPr>
              <w:t xml:space="preserve">Категория</w:t>
            </w:r>
          </w:p>
        </w:tc>
        <w:tc>
          <w:tcPr>
            <w:gridSpan w:val="2"/>
            <w:tcW w:w="7034" w:type="dxa"/>
          </w:tcPr>
          <w:p>
            <w:pPr>
              <w:pStyle w:val="0"/>
              <w:jc w:val="center"/>
            </w:pPr>
            <w:r>
              <w:rPr>
                <w:sz w:val="24"/>
              </w:rPr>
              <w:t xml:space="preserve">Размеры автомобиля, м</w:t>
            </w:r>
          </w:p>
        </w:tc>
      </w:tr>
      <w:tr>
        <w:tc>
          <w:tcPr>
            <w:vMerge w:val="continue"/>
          </w:tcPr>
          <w:p/>
        </w:tc>
        <w:tc>
          <w:tcPr>
            <w:tcW w:w="3517" w:type="dxa"/>
          </w:tcPr>
          <w:p>
            <w:pPr>
              <w:pStyle w:val="0"/>
              <w:jc w:val="center"/>
            </w:pPr>
            <w:r>
              <w:rPr>
                <w:sz w:val="24"/>
              </w:rPr>
              <w:t xml:space="preserve">длина</w:t>
            </w:r>
          </w:p>
        </w:tc>
        <w:tc>
          <w:tcPr>
            <w:tcW w:w="3517" w:type="dxa"/>
          </w:tcPr>
          <w:p>
            <w:pPr>
              <w:pStyle w:val="0"/>
              <w:jc w:val="center"/>
            </w:pPr>
            <w:r>
              <w:rPr>
                <w:sz w:val="24"/>
              </w:rPr>
              <w:t xml:space="preserve">ширина</w:t>
            </w:r>
          </w:p>
        </w:tc>
      </w:tr>
      <w:tr>
        <w:tc>
          <w:tcPr>
            <w:tcW w:w="1997" w:type="dxa"/>
            <w:vAlign w:val="bottom"/>
          </w:tcPr>
          <w:p>
            <w:pPr>
              <w:pStyle w:val="0"/>
              <w:jc w:val="center"/>
            </w:pPr>
            <w:r>
              <w:rPr>
                <w:sz w:val="24"/>
              </w:rPr>
              <w:t xml:space="preserve">I</w:t>
            </w:r>
          </w:p>
        </w:tc>
        <w:tc>
          <w:tcPr>
            <w:tcW w:w="3517" w:type="dxa"/>
            <w:vAlign w:val="bottom"/>
          </w:tcPr>
          <w:p>
            <w:pPr>
              <w:pStyle w:val="0"/>
              <w:jc w:val="center"/>
            </w:pPr>
            <w:r>
              <w:rPr>
                <w:sz w:val="24"/>
              </w:rPr>
              <w:t xml:space="preserve">до 6 включ.</w:t>
            </w:r>
          </w:p>
        </w:tc>
        <w:tc>
          <w:tcPr>
            <w:tcW w:w="3517" w:type="dxa"/>
            <w:vAlign w:val="bottom"/>
          </w:tcPr>
          <w:p>
            <w:pPr>
              <w:pStyle w:val="0"/>
              <w:jc w:val="center"/>
            </w:pPr>
            <w:r>
              <w:rPr>
                <w:sz w:val="24"/>
              </w:rPr>
              <w:t xml:space="preserve">до 2,1 включ.</w:t>
            </w:r>
          </w:p>
        </w:tc>
      </w:tr>
      <w:tr>
        <w:tc>
          <w:tcPr>
            <w:tcW w:w="1997" w:type="dxa"/>
            <w:vAlign w:val="bottom"/>
          </w:tcPr>
          <w:p>
            <w:pPr>
              <w:pStyle w:val="0"/>
              <w:jc w:val="center"/>
            </w:pPr>
            <w:r>
              <w:rPr>
                <w:sz w:val="24"/>
              </w:rPr>
              <w:t xml:space="preserve">II</w:t>
            </w:r>
          </w:p>
        </w:tc>
        <w:tc>
          <w:tcPr>
            <w:tcW w:w="3517" w:type="dxa"/>
            <w:vAlign w:val="bottom"/>
          </w:tcPr>
          <w:p>
            <w:pPr>
              <w:pStyle w:val="0"/>
              <w:jc w:val="center"/>
            </w:pPr>
            <w:r>
              <w:rPr>
                <w:sz w:val="24"/>
              </w:rPr>
              <w:t xml:space="preserve">от 6 до 8</w:t>
            </w:r>
          </w:p>
        </w:tc>
        <w:tc>
          <w:tcPr>
            <w:tcW w:w="3517" w:type="dxa"/>
            <w:vAlign w:val="bottom"/>
          </w:tcPr>
          <w:p>
            <w:pPr>
              <w:pStyle w:val="0"/>
              <w:jc w:val="center"/>
            </w:pPr>
            <w:r>
              <w:rPr>
                <w:sz w:val="24"/>
              </w:rPr>
              <w:t xml:space="preserve">от 2,1 до 2,5</w:t>
            </w:r>
          </w:p>
        </w:tc>
      </w:tr>
      <w:tr>
        <w:tc>
          <w:tcPr>
            <w:tcW w:w="1997" w:type="dxa"/>
            <w:vAlign w:val="bottom"/>
          </w:tcPr>
          <w:p>
            <w:pPr>
              <w:pStyle w:val="0"/>
              <w:jc w:val="center"/>
            </w:pPr>
            <w:r>
              <w:rPr>
                <w:sz w:val="24"/>
              </w:rPr>
              <w:t xml:space="preserve">III</w:t>
            </w:r>
          </w:p>
        </w:tc>
        <w:tc>
          <w:tcPr>
            <w:tcW w:w="3517" w:type="dxa"/>
            <w:vAlign w:val="bottom"/>
          </w:tcPr>
          <w:p>
            <w:pPr>
              <w:pStyle w:val="0"/>
              <w:jc w:val="center"/>
            </w:pPr>
            <w:r>
              <w:rPr>
                <w:sz w:val="24"/>
              </w:rPr>
              <w:t xml:space="preserve">от 8 до 12</w:t>
            </w:r>
          </w:p>
        </w:tc>
        <w:tc>
          <w:tcPr>
            <w:tcW w:w="3517" w:type="dxa"/>
            <w:vAlign w:val="bottom"/>
          </w:tcPr>
          <w:p>
            <w:pPr>
              <w:pStyle w:val="0"/>
              <w:jc w:val="center"/>
            </w:pPr>
            <w:r>
              <w:rPr>
                <w:sz w:val="24"/>
              </w:rPr>
              <w:t xml:space="preserve">от 2,5 до 2,8</w:t>
            </w:r>
          </w:p>
        </w:tc>
      </w:tr>
      <w:tr>
        <w:tc>
          <w:tcPr>
            <w:tcW w:w="1997" w:type="dxa"/>
            <w:vAlign w:val="bottom"/>
          </w:tcPr>
          <w:p>
            <w:pPr>
              <w:pStyle w:val="0"/>
              <w:jc w:val="center"/>
            </w:pPr>
            <w:r>
              <w:rPr>
                <w:sz w:val="24"/>
              </w:rPr>
              <w:t xml:space="preserve">IV</w:t>
            </w:r>
          </w:p>
        </w:tc>
        <w:tc>
          <w:tcPr>
            <w:tcW w:w="3517" w:type="dxa"/>
            <w:vAlign w:val="bottom"/>
          </w:tcPr>
          <w:p>
            <w:pPr>
              <w:pStyle w:val="0"/>
              <w:jc w:val="center"/>
            </w:pPr>
            <w:r>
              <w:rPr>
                <w:sz w:val="24"/>
              </w:rPr>
              <w:t xml:space="preserve">св. 12</w:t>
            </w:r>
          </w:p>
        </w:tc>
        <w:tc>
          <w:tcPr>
            <w:tcW w:w="3517" w:type="dxa"/>
            <w:vAlign w:val="bottom"/>
          </w:tcPr>
          <w:p>
            <w:pPr>
              <w:pStyle w:val="0"/>
              <w:jc w:val="center"/>
            </w:pPr>
            <w:r>
              <w:rPr>
                <w:sz w:val="24"/>
              </w:rPr>
              <w:t xml:space="preserve">св. 2,8</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Для автомобилей с длиной и шириной, отличающимися от размеров, указанных в </w:t>
      </w:r>
      <w:hyperlink w:history="0" w:anchor="P891" w:tooltip="Категории автомобилей в зависимости от габаритных размеров">
        <w:r>
          <w:rPr>
            <w:sz w:val="24"/>
            <w:color w:val="0000ff"/>
          </w:rPr>
          <w:t xml:space="preserve">таблице 8</w:t>
        </w:r>
      </w:hyperlink>
      <w:r>
        <w:rPr>
          <w:sz w:val="24"/>
        </w:rPr>
        <w:t xml:space="preserve">, категория устанавливается по наибольшему размеру.</w:t>
      </w:r>
    </w:p>
    <w:p>
      <w:pPr>
        <w:pStyle w:val="0"/>
        <w:spacing w:before="240" w:lineRule="auto"/>
        <w:ind w:firstLine="540"/>
        <w:jc w:val="both"/>
      </w:pPr>
      <w:r>
        <w:rPr>
          <w:sz w:val="24"/>
        </w:rPr>
        <w:t xml:space="preserve">2. Категория автопоездов устанавливается по габаритным размерам автомобилей-тягачей.</w:t>
      </w:r>
    </w:p>
    <w:p>
      <w:pPr>
        <w:pStyle w:val="0"/>
        <w:spacing w:before="240" w:lineRule="auto"/>
        <w:ind w:firstLine="540"/>
        <w:jc w:val="both"/>
      </w:pPr>
      <w:r>
        <w:rPr>
          <w:sz w:val="24"/>
        </w:rPr>
        <w:t xml:space="preserve">3. Сочлененные автобусы относятся к III категории.</w:t>
      </w:r>
    </w:p>
    <w:p>
      <w:pPr>
        <w:pStyle w:val="0"/>
        <w:jc w:val="both"/>
      </w:pPr>
      <w:r>
        <w:rPr>
          <w:sz w:val="24"/>
        </w:rPr>
      </w:r>
    </w:p>
    <w:p>
      <w:pPr>
        <w:pStyle w:val="0"/>
        <w:ind w:firstLine="540"/>
        <w:jc w:val="both"/>
      </w:pPr>
      <w:r>
        <w:rPr>
          <w:sz w:val="24"/>
        </w:rPr>
        <w:t xml:space="preserve">5.14. Расход воды на наружное пожаротушение площадок для заправки топливных баков автотранспортных средств и специализированной техники предприятия посредством автотопливозаправщиков по </w:t>
      </w:r>
      <w:hyperlink w:history="0" r:id="rId103"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33666</w:t>
        </w:r>
      </w:hyperlink>
      <w:r>
        <w:rPr>
          <w:sz w:val="24"/>
        </w:rPr>
        <w:t xml:space="preserve"> следует принимать не менее 10 л/с.</w:t>
      </w:r>
    </w:p>
    <w:p>
      <w:pPr>
        <w:pStyle w:val="0"/>
        <w:jc w:val="both"/>
      </w:pPr>
      <w:r>
        <w:rPr>
          <w:sz w:val="24"/>
        </w:rPr>
        <w:t xml:space="preserve">(п. 5.14 в ред. </w:t>
      </w:r>
      <w:hyperlink w:history="0" r:id="rId10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917" w:name="P917"/>
    <w:bookmarkEnd w:id="917"/>
    <w:p>
      <w:pPr>
        <w:pStyle w:val="0"/>
        <w:spacing w:before="240" w:lineRule="auto"/>
        <w:ind w:firstLine="540"/>
        <w:jc w:val="both"/>
      </w:pPr>
      <w:r>
        <w:rPr>
          <w:sz w:val="24"/>
        </w:rPr>
        <w:t xml:space="preserve">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w:t>
      </w:r>
    </w:p>
    <w:bookmarkStart w:id="918" w:name="P918"/>
    <w:bookmarkEnd w:id="918"/>
    <w:p>
      <w:pPr>
        <w:pStyle w:val="0"/>
        <w:spacing w:before="240" w:lineRule="auto"/>
        <w:ind w:firstLine="540"/>
        <w:jc w:val="both"/>
      </w:pPr>
      <w:r>
        <w:rPr>
          <w:sz w:val="24"/>
        </w:rPr>
        <w:t xml:space="preserve">5.16. При объединенном противопожарном водопроводе населенного пункта и промышленного или сельскохозяйственного предприятия, расположенных вне населенного пункта, расчетное количество одновременных пожаров следует принимать:</w:t>
      </w:r>
    </w:p>
    <w:p>
      <w:pPr>
        <w:pStyle w:val="0"/>
        <w:spacing w:before="240" w:lineRule="auto"/>
        <w:ind w:firstLine="540"/>
        <w:jc w:val="both"/>
      </w:pPr>
      <w:r>
        <w:rPr>
          <w:sz w:val="24"/>
        </w:rPr>
        <w:t xml:space="preserve">при площади территории предприятия до 150 га и при числе жителей в населенном пункте до 10 тыс. чел. - один пожар (на территории предприятия или в населенном пункте по наибольшему расходу воды); при площади территории предприятия до 150 га и при числе жителей в населенном пункте свыше 10 тыс. до 25 тыс. чел. - два пожара (один на территории предприятия и один в населенном пункте);</w:t>
      </w:r>
    </w:p>
    <w:p>
      <w:pPr>
        <w:pStyle w:val="0"/>
        <w:spacing w:before="240" w:lineRule="auto"/>
        <w:ind w:firstLine="540"/>
        <w:jc w:val="both"/>
      </w:pPr>
      <w:r>
        <w:rPr>
          <w:sz w:val="24"/>
        </w:rPr>
        <w:t xml:space="preserve">при площади территории предприятия свыше 150 га и при числе жителей в населенном пункте до 25 тыс. чел. - два пожара (два на территории предприятия или два в населенном пункте по наибольшему расходу);</w:t>
      </w:r>
    </w:p>
    <w:p>
      <w:pPr>
        <w:pStyle w:val="0"/>
        <w:spacing w:before="240" w:lineRule="auto"/>
        <w:ind w:firstLine="540"/>
        <w:jc w:val="both"/>
      </w:pPr>
      <w:r>
        <w:rPr>
          <w:sz w:val="24"/>
        </w:rPr>
        <w:t xml:space="preserve">при числе жителей в населенном пункте более 25 тыс. чел. - в соответствии с </w:t>
      </w:r>
      <w:hyperlink w:history="0" w:anchor="P917" w:tooltip="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
        <w:r>
          <w:rPr>
            <w:sz w:val="24"/>
            <w:color w:val="0000ff"/>
          </w:rPr>
          <w:t xml:space="preserve">пунктом 5.15</w:t>
        </w:r>
      </w:hyperlink>
      <w:r>
        <w:rPr>
          <w:sz w:val="24"/>
        </w:rPr>
        <w:t xml:space="preserve"> и </w:t>
      </w:r>
      <w:hyperlink w:history="0" w:anchor="P157" w:tooltip="Расход воды на наружное пожаротушение в населенном пункте">
        <w:r>
          <w:rPr>
            <w:sz w:val="24"/>
            <w:color w:val="0000ff"/>
          </w:rPr>
          <w:t xml:space="preserve">таблицей 1</w:t>
        </w:r>
      </w:hyperlink>
      <w:r>
        <w:rPr>
          <w:sz w:val="24"/>
        </w:rPr>
        <w:t xml:space="preserve"> настоящего свода правил, при этом расход воды следует определять как сумму необходимого большего расхода (на территории предприятия или в населенном пункте) и 50% необходимого меньшего расхода (на территории предприятия или в населенном пункте).</w:t>
      </w:r>
    </w:p>
    <w:bookmarkStart w:id="922" w:name="P922"/>
    <w:bookmarkEnd w:id="922"/>
    <w:p>
      <w:pPr>
        <w:pStyle w:val="0"/>
        <w:spacing w:before="240" w:lineRule="auto"/>
        <w:ind w:firstLine="540"/>
        <w:jc w:val="both"/>
      </w:pPr>
      <w:r>
        <w:rPr>
          <w:sz w:val="24"/>
        </w:rPr>
        <w:t xml:space="preserve">5.17. Продолжительность тушения пожара должна приниматься 3 ч. Для жилых и общественных зданий или сооружений I и II степеней огнестойкости класса конструктивной пожарной опасности C0 - 2 часа.</w:t>
      </w:r>
    </w:p>
    <w:p>
      <w:pPr>
        <w:pStyle w:val="0"/>
        <w:jc w:val="both"/>
      </w:pPr>
      <w:r>
        <w:rPr>
          <w:sz w:val="24"/>
        </w:rPr>
        <w:t xml:space="preserve">(п. 5.17 в ред. </w:t>
      </w:r>
      <w:hyperlink w:history="0" r:id="rId10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924" w:name="P924"/>
    <w:bookmarkEnd w:id="924"/>
    <w:p>
      <w:pPr>
        <w:pStyle w:val="0"/>
        <w:spacing w:before="240" w:lineRule="auto"/>
        <w:ind w:firstLine="540"/>
        <w:jc w:val="both"/>
      </w:pPr>
      <w:r>
        <w:rPr>
          <w:sz w:val="24"/>
        </w:rPr>
        <w:t xml:space="preserve">5.18. Максимальный срок восстановления пожарного объема воды должен быть не более:</w:t>
      </w:r>
    </w:p>
    <w:p>
      <w:pPr>
        <w:pStyle w:val="0"/>
        <w:spacing w:before="240" w:lineRule="auto"/>
        <w:ind w:firstLine="540"/>
        <w:jc w:val="both"/>
      </w:pPr>
      <w:r>
        <w:rPr>
          <w:sz w:val="24"/>
        </w:rPr>
        <w:t xml:space="preserve">24 ч - в населенных пунктах с числом жителей более 5 тыс. чел. и на промышленных предприятиях со зданиями или сооружениями категорий А, Б, В по пожарной и взрывопожарной опасности;</w:t>
      </w:r>
    </w:p>
    <w:p>
      <w:pPr>
        <w:pStyle w:val="0"/>
        <w:jc w:val="both"/>
      </w:pPr>
      <w:r>
        <w:rPr>
          <w:sz w:val="24"/>
        </w:rPr>
        <w:t xml:space="preserve">(в ред. </w:t>
      </w:r>
      <w:hyperlink w:history="0" r:id="rId10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36 ч - на промышленных предприятиях со зданиями или сооружениями категорий Г и Д по пожарной и взрывопожарной опасности;</w:t>
      </w:r>
    </w:p>
    <w:p>
      <w:pPr>
        <w:pStyle w:val="0"/>
        <w:jc w:val="both"/>
      </w:pPr>
      <w:r>
        <w:rPr>
          <w:sz w:val="24"/>
        </w:rPr>
        <w:t xml:space="preserve">(в ред. </w:t>
      </w:r>
      <w:hyperlink w:history="0" r:id="rId10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72 ч - в населенных пунктах с числом жителей не более 5 тыс. чел. и на сельскохозяйственных предприятиях.</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Для промышленных предприятий с расходами воды на наружное пожаротушение 20 л/с и менее допускается увеличивать время восстановления пожарного объема воды:</w:t>
      </w:r>
    </w:p>
    <w:p>
      <w:pPr>
        <w:pStyle w:val="0"/>
        <w:spacing w:before="240" w:lineRule="auto"/>
        <w:ind w:firstLine="540"/>
        <w:jc w:val="both"/>
      </w:pPr>
      <w:r>
        <w:rPr>
          <w:sz w:val="24"/>
        </w:rPr>
        <w:t xml:space="preserve">до 48 ч - для зданий или сооружений категорий Г и Д;</w:t>
      </w:r>
    </w:p>
    <w:p>
      <w:pPr>
        <w:pStyle w:val="0"/>
        <w:jc w:val="both"/>
      </w:pPr>
      <w:r>
        <w:rPr>
          <w:sz w:val="24"/>
        </w:rPr>
        <w:t xml:space="preserve">(в ред. </w:t>
      </w:r>
      <w:hyperlink w:history="0" r:id="rId10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до 36 ч - для зданий или сооружений категории В.</w:t>
      </w:r>
    </w:p>
    <w:p>
      <w:pPr>
        <w:pStyle w:val="0"/>
        <w:jc w:val="both"/>
      </w:pPr>
      <w:r>
        <w:rPr>
          <w:sz w:val="24"/>
        </w:rPr>
        <w:t xml:space="preserve">(в ред. </w:t>
      </w:r>
      <w:hyperlink w:history="0" r:id="rId10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2. При невозможности обеспечения восстановления пожарного объема воды в нормативное время допускается увеличение указанного времени восстановления при условии увеличения пожарного объема воды на величину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W, которую определяют по формуле:</w:t>
      </w:r>
    </w:p>
    <w:p>
      <w:pPr>
        <w:pStyle w:val="0"/>
        <w:jc w:val="both"/>
      </w:pPr>
      <w:r>
        <w:rPr>
          <w:sz w:val="24"/>
        </w:rPr>
      </w:r>
    </w:p>
    <w:p>
      <w:pPr>
        <w:pStyle w:val="0"/>
        <w:jc w:val="center"/>
      </w:pP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W = W x (K - 1) / K, (1)</w:t>
      </w:r>
    </w:p>
    <w:p>
      <w:pPr>
        <w:pStyle w:val="0"/>
        <w:jc w:val="both"/>
      </w:pPr>
      <w:r>
        <w:rPr>
          <w:sz w:val="24"/>
        </w:rPr>
      </w:r>
    </w:p>
    <w:p>
      <w:pPr>
        <w:pStyle w:val="0"/>
        <w:ind w:firstLine="540"/>
        <w:jc w:val="both"/>
      </w:pPr>
      <w:r>
        <w:rPr>
          <w:sz w:val="24"/>
        </w:rPr>
        <w:t xml:space="preserve">где </w:t>
      </w:r>
      <w:r>
        <w:rPr>
          <w:position w:val="-3"/>
        </w:rPr>
        <w:drawing>
          <wp:inline distT="0" distB="0" distL="0" distR="0">
            <wp:extent cx="182880" cy="1943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W - дополнительный объем воды, м</w:t>
      </w:r>
      <w:r>
        <w:rPr>
          <w:sz w:val="24"/>
          <w:vertAlign w:val="superscript"/>
        </w:rPr>
        <w:t xml:space="preserve">3</w:t>
      </w:r>
      <w:r>
        <w:rPr>
          <w:sz w:val="24"/>
        </w:rPr>
        <w:t xml:space="preserve">;</w:t>
      </w:r>
    </w:p>
    <w:p>
      <w:pPr>
        <w:pStyle w:val="0"/>
        <w:spacing w:before="240" w:lineRule="auto"/>
        <w:ind w:firstLine="540"/>
        <w:jc w:val="both"/>
      </w:pPr>
      <w:r>
        <w:rPr>
          <w:sz w:val="24"/>
        </w:rPr>
        <w:t xml:space="preserve">W - пожарный объем воды, м</w:t>
      </w:r>
      <w:r>
        <w:rPr>
          <w:sz w:val="24"/>
          <w:vertAlign w:val="superscript"/>
        </w:rPr>
        <w:t xml:space="preserve">3</w:t>
      </w:r>
      <w:r>
        <w:rPr>
          <w:sz w:val="24"/>
        </w:rPr>
        <w:t xml:space="preserve">;</w:t>
      </w:r>
    </w:p>
    <w:p>
      <w:pPr>
        <w:pStyle w:val="0"/>
        <w:spacing w:before="240" w:lineRule="auto"/>
        <w:ind w:firstLine="540"/>
        <w:jc w:val="both"/>
      </w:pPr>
      <w:r>
        <w:rPr>
          <w:sz w:val="24"/>
        </w:rPr>
        <w:t xml:space="preserve">K - отношение фактического времени восстановления к требуемому в соответствии с </w:t>
      </w:r>
      <w:hyperlink w:history="0" w:anchor="P924" w:tooltip="5.18. Максимальный срок восстановления пожарного объема воды должен быть не более:">
        <w:r>
          <w:rPr>
            <w:sz w:val="24"/>
            <w:color w:val="0000ff"/>
          </w:rPr>
          <w:t xml:space="preserve">пунктом 5.18</w:t>
        </w:r>
      </w:hyperlink>
      <w:r>
        <w:rPr>
          <w:sz w:val="24"/>
        </w:rPr>
        <w:t xml:space="preserve"> настоящего свода правил.</w:t>
      </w:r>
    </w:p>
    <w:p>
      <w:pPr>
        <w:pStyle w:val="0"/>
        <w:jc w:val="both"/>
      </w:pPr>
      <w:r>
        <w:rPr>
          <w:sz w:val="24"/>
        </w:rPr>
      </w:r>
    </w:p>
    <w:p>
      <w:pPr>
        <w:pStyle w:val="2"/>
        <w:outlineLvl w:val="1"/>
        <w:ind w:firstLine="540"/>
        <w:jc w:val="both"/>
      </w:pPr>
      <w:r>
        <w:rPr>
          <w:sz w:val="24"/>
        </w:rPr>
        <w:t xml:space="preserve">6. Свободные напоры</w:t>
      </w:r>
    </w:p>
    <w:p>
      <w:pPr>
        <w:pStyle w:val="0"/>
        <w:jc w:val="both"/>
      </w:pPr>
      <w:r>
        <w:rPr>
          <w:sz w:val="24"/>
        </w:rPr>
      </w:r>
    </w:p>
    <w:p>
      <w:pPr>
        <w:pStyle w:val="0"/>
        <w:ind w:firstLine="540"/>
        <w:jc w:val="both"/>
      </w:pPr>
      <w:r>
        <w:rPr>
          <w:sz w:val="24"/>
        </w:rPr>
        <w:t xml:space="preserve">6.1. Противопожарный водопровод в населенных пунктах следует принимать низкого давления.</w:t>
      </w:r>
    </w:p>
    <w:p>
      <w:pPr>
        <w:pStyle w:val="0"/>
        <w:spacing w:before="240" w:lineRule="auto"/>
        <w:ind w:firstLine="540"/>
        <w:jc w:val="both"/>
      </w:pPr>
      <w:r>
        <w:rPr>
          <w:sz w:val="24"/>
        </w:rPr>
        <w:t xml:space="preserve">Противопожарный водопровод высокого давления, как правило, принимают на производственных объектах согласно нормативным документам для соответствующих отраслей промышленности и сельского хозяйства.</w:t>
      </w:r>
    </w:p>
    <w:p>
      <w:pPr>
        <w:pStyle w:val="0"/>
        <w:spacing w:before="240" w:lineRule="auto"/>
        <w:ind w:firstLine="540"/>
        <w:jc w:val="both"/>
      </w:pPr>
      <w:r>
        <w:rPr>
          <w:sz w:val="24"/>
        </w:rPr>
        <w:t xml:space="preserve">6.2. В водопроводе высокого давления стационарные пожарные насосы должны быть оборудованы устройствами, обеспечивающими пуск насосов не позднее чем через 5 мин. после подачи сигнала о возникновении пожара.</w:t>
      </w:r>
    </w:p>
    <w:p>
      <w:pPr>
        <w:pStyle w:val="0"/>
        <w:spacing w:before="240" w:lineRule="auto"/>
        <w:ind w:firstLine="540"/>
        <w:jc w:val="both"/>
      </w:pPr>
      <w:r>
        <w:rPr>
          <w:sz w:val="24"/>
        </w:rPr>
        <w:t xml:space="preserve">6.3. Свободный напор в сети противопожарного водопровода низкого давления (на уровне поверхности земли) при пожаротушении должен быть не менее 10 метров.</w:t>
      </w:r>
    </w:p>
    <w:p>
      <w:pPr>
        <w:pStyle w:val="0"/>
        <w:spacing w:before="240" w:lineRule="auto"/>
        <w:ind w:firstLine="540"/>
        <w:jc w:val="both"/>
      </w:pPr>
      <w:r>
        <w:rPr>
          <w:sz w:val="24"/>
        </w:rPr>
        <w:t xml:space="preserve">6.4. Свободный напор в сети противопожарного водопровода высокого давления должен обеспечивать высоту компактной струи 10 м при максимальном расходе воды на пожаротушение и расположении пожарного ствола на уровне наивысшей точки самого высокого здания или сооружения.</w:t>
      </w:r>
    </w:p>
    <w:p>
      <w:pPr>
        <w:pStyle w:val="0"/>
        <w:jc w:val="both"/>
      </w:pPr>
      <w:r>
        <w:rPr>
          <w:sz w:val="24"/>
        </w:rPr>
        <w:t xml:space="preserve">(в ред. </w:t>
      </w:r>
      <w:hyperlink w:history="0" r:id="rId11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2"/>
        <w:outlineLvl w:val="1"/>
        <w:ind w:firstLine="540"/>
        <w:jc w:val="both"/>
      </w:pPr>
      <w:r>
        <w:rPr>
          <w:sz w:val="24"/>
        </w:rPr>
        <w:t xml:space="preserve">7. Насосные станции</w:t>
      </w:r>
    </w:p>
    <w:p>
      <w:pPr>
        <w:pStyle w:val="0"/>
        <w:jc w:val="both"/>
      </w:pPr>
      <w:r>
        <w:rPr>
          <w:sz w:val="24"/>
        </w:rPr>
      </w:r>
    </w:p>
    <w:p>
      <w:pPr>
        <w:pStyle w:val="0"/>
        <w:ind w:firstLine="540"/>
        <w:jc w:val="both"/>
      </w:pPr>
      <w:r>
        <w:rPr>
          <w:sz w:val="24"/>
        </w:rPr>
        <w:t xml:space="preserve">7.1. Насосные станции по степени обеспеченности подачи воды подразделяются на три категории по </w:t>
      </w:r>
      <w:hyperlink w:history="0" r:id="rId112"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1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957" w:name="P957"/>
    <w:bookmarkEnd w:id="957"/>
    <w:p>
      <w:pPr>
        <w:pStyle w:val="0"/>
        <w:spacing w:before="240" w:lineRule="auto"/>
        <w:ind w:firstLine="540"/>
        <w:jc w:val="both"/>
      </w:pPr>
      <w:r>
        <w:rPr>
          <w:sz w:val="24"/>
        </w:rPr>
        <w:t xml:space="preserve">7.2. Насосные станции, подающие воду непосредственно в сеть противопожарного водопровода, следует относить к I категории.</w:t>
      </w:r>
    </w:p>
    <w:p>
      <w:pPr>
        <w:pStyle w:val="0"/>
        <w:spacing w:before="240" w:lineRule="auto"/>
        <w:ind w:firstLine="540"/>
        <w:jc w:val="both"/>
      </w:pPr>
      <w:r>
        <w:rPr>
          <w:sz w:val="24"/>
        </w:rPr>
        <w:t xml:space="preserve">Насосные станции противопожарного водопровода допускается относить ко II категории по степени обеспеченности подачи воды при наличии на объекте защиты дополнительных источников противопожарного водоснабжения (водных объектов и (или) пожарных резервуаров) с запасом воды, обеспечивающим установленную продолжительность тушения пожара по </w:t>
      </w:r>
      <w:hyperlink w:history="0" w:anchor="P922" w:tooltip="5.17. Продолжительность тушения пожара должна приниматься 3 ч. Для жилых и общественных зданий или сооружений I и II степеней огнестойкости класса конструктивной пожарной опасности C0 - 2 часа.">
        <w:r>
          <w:rPr>
            <w:sz w:val="24"/>
            <w:color w:val="0000ff"/>
          </w:rPr>
          <w:t xml:space="preserve">п. 5.17</w:t>
        </w:r>
      </w:hyperlink>
      <w:r>
        <w:rPr>
          <w:sz w:val="24"/>
        </w:rPr>
        <w:t xml:space="preserve">, размещенных в соответствии с </w:t>
      </w:r>
      <w:hyperlink w:history="0" w:anchor="P1076" w:tooltip="10.4. Пожарные резервуары и (или) искусственные водоемы надлежит размещать из условия обслуживания ими зданий или сооружений, находящихся в радиусе:">
        <w:r>
          <w:rPr>
            <w:sz w:val="24"/>
            <w:color w:val="0000ff"/>
          </w:rPr>
          <w:t xml:space="preserve">п. 10.4</w:t>
        </w:r>
      </w:hyperlink>
      <w:r>
        <w:rPr>
          <w:sz w:val="24"/>
        </w:rPr>
        <w:t xml:space="preserve"> настоящего свода правил.</w:t>
      </w:r>
    </w:p>
    <w:p>
      <w:pPr>
        <w:pStyle w:val="0"/>
        <w:jc w:val="both"/>
      </w:pPr>
      <w:r>
        <w:rPr>
          <w:sz w:val="24"/>
        </w:rPr>
        <w:t xml:space="preserve">(абзац введен </w:t>
      </w:r>
      <w:hyperlink w:history="0" r:id="rId11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spacing w:before="240" w:lineRule="auto"/>
        <w:ind w:firstLine="540"/>
        <w:jc w:val="both"/>
      </w:pPr>
      <w:r>
        <w:rPr>
          <w:sz w:val="24"/>
        </w:rPr>
        <w:t xml:space="preserve">Примечание:</w:t>
      </w:r>
    </w:p>
    <w:p>
      <w:pPr>
        <w:pStyle w:val="0"/>
        <w:spacing w:before="240" w:lineRule="auto"/>
        <w:ind w:firstLine="540"/>
        <w:jc w:val="both"/>
      </w:pPr>
      <w:r>
        <w:rPr>
          <w:sz w:val="24"/>
        </w:rPr>
        <w:t xml:space="preserve">Допускается относить насосные станции противопожарного водопровода ко II категории по степени обеспеченности подачи воды:</w:t>
      </w:r>
    </w:p>
    <w:p>
      <w:pPr>
        <w:pStyle w:val="0"/>
        <w:spacing w:before="240" w:lineRule="auto"/>
        <w:ind w:firstLine="540"/>
        <w:jc w:val="both"/>
      </w:pPr>
      <w:r>
        <w:rPr>
          <w:sz w:val="24"/>
        </w:rPr>
        <w:t xml:space="preserve">- населенных пунктов с количеством жителей до 5 тыс. чел.;</w:t>
      </w:r>
    </w:p>
    <w:p>
      <w:pPr>
        <w:pStyle w:val="0"/>
        <w:spacing w:before="240" w:lineRule="auto"/>
        <w:ind w:firstLine="540"/>
        <w:jc w:val="both"/>
      </w:pPr>
      <w:r>
        <w:rPr>
          <w:sz w:val="24"/>
        </w:rPr>
        <w:t xml:space="preserve">- отдельно стоящих зданий или сооружений классов функциональной пожарной опасности Ф1.1, Ф1.2, Ф2, Ф3, Ф4 объемом до 1000 м</w:t>
      </w:r>
      <w:r>
        <w:rPr>
          <w:sz w:val="24"/>
          <w:vertAlign w:val="superscript"/>
        </w:rPr>
        <w:t xml:space="preserve">3</w:t>
      </w:r>
      <w:r>
        <w:rPr>
          <w:sz w:val="24"/>
        </w:rPr>
        <w:t xml:space="preserve">, расположенных в населенных пунктах, не имеющих кольцевого противопожарного водопровода;</w:t>
      </w:r>
    </w:p>
    <w:p>
      <w:pPr>
        <w:pStyle w:val="0"/>
        <w:spacing w:before="240" w:lineRule="auto"/>
        <w:ind w:firstLine="540"/>
        <w:jc w:val="both"/>
      </w:pPr>
      <w:r>
        <w:rPr>
          <w:sz w:val="24"/>
        </w:rPr>
        <w:t xml:space="preserve">- зданий или сооружений класса функциональной пожарной опасности Ф5 категорий В, Г и Д по пожарной опасности при расходе воды на наружное пожаротушение 15 л/с;</w:t>
      </w:r>
    </w:p>
    <w:p>
      <w:pPr>
        <w:pStyle w:val="0"/>
        <w:spacing w:before="240" w:lineRule="auto"/>
        <w:ind w:firstLine="540"/>
        <w:jc w:val="both"/>
      </w:pPr>
      <w:r>
        <w:rPr>
          <w:sz w:val="24"/>
        </w:rPr>
        <w:t xml:space="preserve">- складов грубых кормов объемом до 1000 м</w:t>
      </w:r>
      <w:r>
        <w:rPr>
          <w:sz w:val="24"/>
          <w:vertAlign w:val="superscript"/>
        </w:rPr>
        <w:t xml:space="preserve">3</w:t>
      </w:r>
      <w:r>
        <w:rPr>
          <w:sz w:val="24"/>
        </w:rPr>
        <w:t xml:space="preserve">;</w:t>
      </w:r>
    </w:p>
    <w:p>
      <w:pPr>
        <w:pStyle w:val="0"/>
        <w:spacing w:before="240" w:lineRule="auto"/>
        <w:ind w:firstLine="540"/>
        <w:jc w:val="both"/>
      </w:pPr>
      <w:r>
        <w:rPr>
          <w:sz w:val="24"/>
        </w:rPr>
        <w:t xml:space="preserve">- складов минеральных удобрений объемом зданий до 5000 м</w:t>
      </w:r>
      <w:r>
        <w:rPr>
          <w:sz w:val="24"/>
          <w:vertAlign w:val="superscript"/>
        </w:rPr>
        <w:t xml:space="preserve">3</w:t>
      </w:r>
      <w:r>
        <w:rPr>
          <w:sz w:val="24"/>
        </w:rPr>
        <w:t xml:space="preserve">;</w:t>
      </w:r>
    </w:p>
    <w:p>
      <w:pPr>
        <w:pStyle w:val="0"/>
        <w:spacing w:before="240" w:lineRule="auto"/>
        <w:ind w:firstLine="540"/>
        <w:jc w:val="both"/>
      </w:pPr>
      <w:r>
        <w:rPr>
          <w:sz w:val="24"/>
        </w:rPr>
        <w:t xml:space="preserve">- зданий или сооружений радиотелевизионных передающих станций;</w:t>
      </w:r>
    </w:p>
    <w:p>
      <w:pPr>
        <w:pStyle w:val="0"/>
        <w:spacing w:before="240" w:lineRule="auto"/>
        <w:ind w:firstLine="540"/>
        <w:jc w:val="both"/>
      </w:pPr>
      <w:r>
        <w:rPr>
          <w:sz w:val="24"/>
        </w:rPr>
        <w:t xml:space="preserve">- зданий или сооружений холодильников и хранилищ овощей и фруктов.</w:t>
      </w:r>
    </w:p>
    <w:p>
      <w:pPr>
        <w:pStyle w:val="0"/>
        <w:jc w:val="both"/>
      </w:pPr>
      <w:r>
        <w:rPr>
          <w:sz w:val="24"/>
        </w:rPr>
        <w:t xml:space="preserve">(примечание в ред. </w:t>
      </w:r>
      <w:hyperlink w:history="0" r:id="rId11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ind w:firstLine="540"/>
        <w:jc w:val="both"/>
      </w:pPr>
      <w:r>
        <w:rPr>
          <w:sz w:val="24"/>
        </w:rPr>
        <w:t xml:space="preserve">7.3. Выбор типа насосов, количества рабочих и резервных агрегатов следует производить по </w:t>
      </w:r>
      <w:hyperlink w:history="0" r:id="rId116"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1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насосных станциях наружных противопожарных водопроводов населенных пунктов с числом жителей до 5 тыс. чел. при одном источнике электроснабжения следует устанавливать резервный пожарный насос с двигателем внутреннего сгорания и автоматическим запуском (от аккумуляторов).</w:t>
      </w:r>
    </w:p>
    <w:p>
      <w:pPr>
        <w:pStyle w:val="0"/>
        <w:jc w:val="both"/>
      </w:pPr>
      <w:r>
        <w:rPr>
          <w:sz w:val="24"/>
        </w:rPr>
        <w:t xml:space="preserve">(в ред. </w:t>
      </w:r>
      <w:hyperlink w:history="0" r:id="rId11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2. В насосных станциях объединенных противопожарных водопроводов высокого давления или при установке только пожарных насосов следует предусматривать один резервный пожарный агрегат, независимо от количества рабочих агрегатов.</w:t>
      </w:r>
    </w:p>
    <w:p>
      <w:pPr>
        <w:pStyle w:val="0"/>
        <w:jc w:val="both"/>
      </w:pPr>
      <w:r>
        <w:rPr>
          <w:sz w:val="24"/>
        </w:rPr>
      </w:r>
    </w:p>
    <w:p>
      <w:pPr>
        <w:pStyle w:val="0"/>
        <w:ind w:firstLine="540"/>
        <w:jc w:val="both"/>
      </w:pPr>
      <w:r>
        <w:rPr>
          <w:sz w:val="24"/>
        </w:rPr>
        <w:t xml:space="preserve">7.4. Отметку оси насосов следует определять по </w:t>
      </w:r>
      <w:hyperlink w:history="0" r:id="rId119"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2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7.5. Количество всасывающих линий к насосной станции независимо от числа и групп установленных насосов, включая пожарные, должно быть не менее двух.</w:t>
      </w:r>
    </w:p>
    <w:p>
      <w:pPr>
        <w:pStyle w:val="0"/>
        <w:spacing w:before="240" w:lineRule="auto"/>
        <w:ind w:firstLine="540"/>
        <w:jc w:val="both"/>
      </w:pPr>
      <w:r>
        <w:rPr>
          <w:sz w:val="24"/>
        </w:rPr>
        <w:t xml:space="preserve">7.6. Количество напорных линий от насосных станций I и II категорий должно быть не менее двух.</w:t>
      </w:r>
    </w:p>
    <w:p>
      <w:pPr>
        <w:pStyle w:val="0"/>
        <w:spacing w:before="240" w:lineRule="auto"/>
        <w:ind w:firstLine="540"/>
        <w:jc w:val="both"/>
      </w:pPr>
      <w:r>
        <w:rPr>
          <w:sz w:val="24"/>
        </w:rPr>
        <w:t xml:space="preserve">7.7. При выключении одной всасывающей линии насосной станции, остальные следует рассчитывать на пропуск полного расчетного расхода воды на тушение пожара.</w:t>
      </w:r>
    </w:p>
    <w:p>
      <w:pPr>
        <w:pStyle w:val="0"/>
        <w:spacing w:before="240" w:lineRule="auto"/>
        <w:ind w:firstLine="540"/>
        <w:jc w:val="both"/>
      </w:pPr>
      <w:r>
        <w:rPr>
          <w:sz w:val="24"/>
        </w:rPr>
        <w:t xml:space="preserve">7.8. Насосные станции противопожарного водоснабжения допускается размещать на первом, цокольном или первом подземном этажах зданий или сооружений класса функциональной пожарной опасности Ф5, при этом они должны быть отделены противопожарными преградами с пределами огнестойкости REI 120 и иметь отдельный выход непосредственно наружу.</w:t>
      </w:r>
    </w:p>
    <w:p>
      <w:pPr>
        <w:pStyle w:val="0"/>
        <w:jc w:val="both"/>
      </w:pPr>
      <w:r>
        <w:rPr>
          <w:sz w:val="24"/>
        </w:rPr>
        <w:t xml:space="preserve">(в ред. </w:t>
      </w:r>
      <w:hyperlink w:history="0" r:id="rId12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Степень огнестойкости отдельно стоящих зданий насосных станций наружного противопожарного водоснабжения допускается принимать не ниже IV, класс конструктивной пожарной опасности - не ниже C0.</w:t>
      </w:r>
    </w:p>
    <w:p>
      <w:pPr>
        <w:pStyle w:val="0"/>
        <w:jc w:val="both"/>
      </w:pPr>
      <w:r>
        <w:rPr>
          <w:sz w:val="24"/>
        </w:rPr>
        <w:t xml:space="preserve">(абзац введен </w:t>
      </w:r>
      <w:hyperlink w:history="0" r:id="rId12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jc w:val="both"/>
      </w:pPr>
      <w:r>
        <w:rPr>
          <w:sz w:val="24"/>
        </w:rPr>
      </w:r>
    </w:p>
    <w:p>
      <w:pPr>
        <w:pStyle w:val="2"/>
        <w:outlineLvl w:val="1"/>
        <w:ind w:firstLine="540"/>
        <w:jc w:val="both"/>
      </w:pPr>
      <w:r>
        <w:rPr>
          <w:sz w:val="24"/>
        </w:rPr>
        <w:t xml:space="preserve">8. Водопроводные сети и сооружения на них</w:t>
      </w:r>
    </w:p>
    <w:p>
      <w:pPr>
        <w:pStyle w:val="0"/>
        <w:jc w:val="both"/>
      </w:pPr>
      <w:r>
        <w:rPr>
          <w:sz w:val="24"/>
        </w:rPr>
      </w:r>
    </w:p>
    <w:p>
      <w:pPr>
        <w:pStyle w:val="0"/>
        <w:ind w:firstLine="540"/>
        <w:jc w:val="both"/>
      </w:pPr>
      <w:r>
        <w:rPr>
          <w:sz w:val="24"/>
        </w:rPr>
        <w:t xml:space="preserve">8.1. Системы водоснабжения по степени обеспеченности подачи воды подразделяются на категории по </w:t>
      </w:r>
      <w:hyperlink w:history="0" r:id="rId123"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2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Элементы систем водоснабжения II категории, повреждения которых могут нарушить подачу воды на пожаротушение, должны относиться к I категории.</w:t>
      </w:r>
    </w:p>
    <w:p>
      <w:pPr>
        <w:pStyle w:val="0"/>
        <w:spacing w:before="240" w:lineRule="auto"/>
        <w:ind w:firstLine="540"/>
        <w:jc w:val="both"/>
      </w:pPr>
      <w:r>
        <w:rPr>
          <w:sz w:val="24"/>
        </w:rPr>
        <w:t xml:space="preserve">8.2. Расчеты совместной работы водоводов, водопроводных сетей, насосных станций и регулирующих емкостей систем водоснабжения населенных пунктов следует выполнять для характерных режимов подачи воды по </w:t>
      </w:r>
      <w:hyperlink w:history="0" r:id="rId125"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2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8.3. При прокладке водоводов в две или более линии необходимость устройства переключений между водоводами определяется по </w:t>
      </w:r>
      <w:hyperlink w:history="0" r:id="rId127"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2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8.4. При прокладке водовода в одну линию и подаче воды от одного источника водоснабжения должен быть предусмотрен дополнительный пожарный объем воды на время ликвидации аварии на водоводе в соответствии с </w:t>
      </w:r>
      <w:hyperlink w:history="0" w:anchor="P1043"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настоящего свода правил из условия обеспечения:">
        <w:r>
          <w:rPr>
            <w:sz w:val="24"/>
            <w:color w:val="0000ff"/>
          </w:rPr>
          <w:t xml:space="preserve">пунктом 9.2</w:t>
        </w:r>
      </w:hyperlink>
      <w:r>
        <w:rPr>
          <w:sz w:val="24"/>
        </w:rPr>
        <w:t xml:space="preserve"> настоящего свода правил.</w:t>
      </w:r>
    </w:p>
    <w:bookmarkStart w:id="998" w:name="P998"/>
    <w:bookmarkEnd w:id="998"/>
    <w:p>
      <w:pPr>
        <w:pStyle w:val="0"/>
        <w:spacing w:before="240" w:lineRule="auto"/>
        <w:ind w:firstLine="540"/>
        <w:jc w:val="both"/>
      </w:pPr>
      <w:r>
        <w:rPr>
          <w:sz w:val="24"/>
        </w:rPr>
        <w:t xml:space="preserve">8.5. Водопроводные сети должны быть, как правило, кольцевыми. Тупиковые линии водопроводов допускается применять для подачи воды на противопожарные нужды независимо от расхода воды на пожаротушение при длине линии не свыше 200 м.</w:t>
      </w:r>
    </w:p>
    <w:p>
      <w:pPr>
        <w:pStyle w:val="0"/>
        <w:spacing w:before="240" w:lineRule="auto"/>
        <w:ind w:firstLine="540"/>
        <w:jc w:val="both"/>
      </w:pPr>
      <w:r>
        <w:rPr>
          <w:sz w:val="24"/>
        </w:rPr>
        <w:t xml:space="preserve">Кольцевание наружных водопроводных сетей внутренними водопроводными сетями зданий или сооружений не допускается.</w:t>
      </w:r>
    </w:p>
    <w:p>
      <w:pPr>
        <w:pStyle w:val="0"/>
        <w:jc w:val="both"/>
      </w:pPr>
      <w:r>
        <w:rPr>
          <w:sz w:val="24"/>
        </w:rPr>
        <w:t xml:space="preserve">(в ред. </w:t>
      </w:r>
      <w:hyperlink w:history="0" r:id="rId12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Примечание: в населенных пунктах с числом жителей до 5 тыс. чел. и расходом воды на наружное пожаротушение до 10 л/с или при количестве пожарных кранов в здании или сооружении до 12 допускаются тупиковые линии длиной более 200 м при условии устройства противопожарных резервуаров или водоемов, водонапорной башни или контррезервуара в конце тупика, содержащих расчетный пожарный объем воды.</w:t>
      </w:r>
    </w:p>
    <w:p>
      <w:pPr>
        <w:pStyle w:val="0"/>
        <w:jc w:val="both"/>
      </w:pPr>
      <w:r>
        <w:rPr>
          <w:sz w:val="24"/>
        </w:rPr>
        <w:t xml:space="preserve">(в ред. </w:t>
      </w:r>
      <w:hyperlink w:history="0" r:id="rId13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ind w:firstLine="540"/>
        <w:jc w:val="both"/>
      </w:pPr>
      <w:r>
        <w:rPr>
          <w:sz w:val="24"/>
        </w:rPr>
        <w:t xml:space="preserve">8.6. Разделение водопроводной сети на ремонтные участки по </w:t>
      </w:r>
      <w:hyperlink w:history="0" r:id="rId131"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 должно обеспечивать при выключении одного из участков отключение не более пяти пожарных гидрантов.</w:t>
      </w:r>
    </w:p>
    <w:p>
      <w:pPr>
        <w:pStyle w:val="0"/>
        <w:jc w:val="both"/>
      </w:pPr>
      <w:r>
        <w:rPr>
          <w:sz w:val="24"/>
        </w:rPr>
        <w:t xml:space="preserve">(в ред. </w:t>
      </w:r>
      <w:hyperlink w:history="0" r:id="rId13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8.7. При устройстве сопроводительных или дублирующих линий по </w:t>
      </w:r>
      <w:hyperlink w:history="0" r:id="rId133"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 пожарные гидранты следует устанавливать на сопроводительных или дублирующих линиях.</w:t>
      </w:r>
    </w:p>
    <w:p>
      <w:pPr>
        <w:pStyle w:val="0"/>
        <w:jc w:val="both"/>
      </w:pPr>
      <w:r>
        <w:rPr>
          <w:sz w:val="24"/>
        </w:rPr>
        <w:t xml:space="preserve">(в ред. </w:t>
      </w:r>
      <w:hyperlink w:history="0" r:id="rId13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8.8. Пожарные гидранты необходимо предусматривать вдоль автомобильных дорог, проездов и подъездов для пожарной техники на расстоянии не более 2,5 м от края проезжей части, но не ближе 5 м от стен зданий или сооружений; допускается располагать пожарные гидранты на проезжей части.</w:t>
      </w:r>
    </w:p>
    <w:p>
      <w:pPr>
        <w:pStyle w:val="0"/>
        <w:jc w:val="both"/>
      </w:pPr>
      <w:r>
        <w:rPr>
          <w:sz w:val="24"/>
        </w:rPr>
        <w:t xml:space="preserve">(в ред. </w:t>
      </w:r>
      <w:hyperlink w:history="0" r:id="rId13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Пожарные гидранты следует устанавливать на кольцевых участках водопроводных линий. Допускается установка пожарных гидрантов на тупиковых линиях водопровода (не более двух) с учетом требований </w:t>
      </w:r>
      <w:hyperlink w:history="0" w:anchor="P998" w:tooltip="8.5. Водопроводные сети должны быть, как правило, кольцевыми. Тупиковые линии водопроводов допускается применять для подачи воды на противопожарные нужды независимо от расхода воды на пожаротушение при длине линии не свыше 200 м.">
        <w:r>
          <w:rPr>
            <w:sz w:val="24"/>
            <w:color w:val="0000ff"/>
          </w:rPr>
          <w:t xml:space="preserve">пункта 8.5</w:t>
        </w:r>
      </w:hyperlink>
      <w:r>
        <w:rPr>
          <w:sz w:val="24"/>
        </w:rPr>
        <w:t xml:space="preserve"> настоящего свода правил и принятия мер против замерзания воды в них.</w:t>
      </w:r>
    </w:p>
    <w:p>
      <w:pPr>
        <w:pStyle w:val="0"/>
        <w:jc w:val="both"/>
      </w:pPr>
      <w:r>
        <w:rPr>
          <w:sz w:val="24"/>
        </w:rPr>
        <w:t xml:space="preserve">(в ред. </w:t>
      </w:r>
      <w:hyperlink w:history="0" r:id="rId13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Установка пожарных гидрантов на ответвлении от тупиковой линии водопровода или на водопроводном вводе в здание или сооружение не допускается.</w:t>
      </w:r>
    </w:p>
    <w:p>
      <w:pPr>
        <w:pStyle w:val="0"/>
        <w:jc w:val="both"/>
      </w:pPr>
      <w:r>
        <w:rPr>
          <w:sz w:val="24"/>
        </w:rPr>
        <w:t xml:space="preserve">(в ред. </w:t>
      </w:r>
      <w:hyperlink w:history="0" r:id="rId13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1014" w:name="P1014"/>
    <w:bookmarkEnd w:id="1014"/>
    <w:p>
      <w:pPr>
        <w:pStyle w:val="0"/>
        <w:spacing w:before="240" w:lineRule="auto"/>
        <w:ind w:firstLine="540"/>
        <w:jc w:val="both"/>
      </w:pPr>
      <w:r>
        <w:rPr>
          <w:sz w:val="24"/>
        </w:rPr>
        <w:t xml:space="preserve">8.9. Расстановка пожарных гидрантов на водопроводной сети должна обеспечивать подачу воды с расчетным расходом на пожаротушение любой точки обслуживаемого данной сетью здания или сооружения на уровне планировочных отметок земли снаружи здания или сооружения не менее чем от двух гидрантов при расходе воды на наружное пожаротушение 15 л/с и более или от одного гидранта - при расходе воды менее 15 л/с с учетом прокладки рукавных линий длиной не более 200 м по дорогам с твердым покрытием. Допускается предусматривать прокладку рукавных линий по проездам и подъездам для пожарной техники.</w:t>
      </w:r>
    </w:p>
    <w:p>
      <w:pPr>
        <w:pStyle w:val="0"/>
        <w:jc w:val="both"/>
      </w:pPr>
      <w:r>
        <w:rPr>
          <w:sz w:val="24"/>
        </w:rPr>
        <w:t xml:space="preserve">(в ред. </w:t>
      </w:r>
      <w:hyperlink w:history="0" r:id="rId13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Примечание: дороги с твердым покрытием - дороги с облегченным или переходным типом дорожной одежды по </w:t>
      </w:r>
      <w:hyperlink w:history="0" r:id="rId139" w:tooltip="&quot;СП 37.13330.2012. Свод правил. Промышленный транспорт. Актуализированная редакция СНиП 2.05.07-91*&quot; (утв. Приказом Минрегиона России от 29.12.2011 N 635/7) (ред. от 01.11.2025) {КонсультантПлюс}">
        <w:r>
          <w:rPr>
            <w:sz w:val="24"/>
            <w:color w:val="0000ff"/>
          </w:rPr>
          <w:t xml:space="preserve">СП 37.13330</w:t>
        </w:r>
      </w:hyperlink>
      <w:r>
        <w:rPr>
          <w:sz w:val="24"/>
        </w:rPr>
        <w:t xml:space="preserve">.</w:t>
      </w:r>
    </w:p>
    <w:p>
      <w:pPr>
        <w:pStyle w:val="0"/>
        <w:jc w:val="both"/>
      </w:pPr>
      <w:r>
        <w:rPr>
          <w:sz w:val="24"/>
        </w:rPr>
        <w:t xml:space="preserve">(в ред. </w:t>
      </w:r>
      <w:hyperlink w:history="0" r:id="rId14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ind w:firstLine="540"/>
        <w:jc w:val="both"/>
      </w:pPr>
      <w:r>
        <w:rPr>
          <w:sz w:val="24"/>
        </w:rPr>
        <w:t xml:space="preserve">8.10. Количество пожарных гидрантов и расстояние между ними определяют расчетом, исходя из суммарного расхода воды на пожаротушение и пропускной способности устанавливаемого типа гидрантов, с учетом требований </w:t>
      </w:r>
      <w:hyperlink w:history="0" w:anchor="P1014" w:tooltip="8.9. Расстановка пожарных гидрантов на водопроводной сети должна обеспечивать подачу воды с расчетным расходом на пожаротушение любой точки обслуживаемого данной сетью здания или сооружения на уровне планировочных отметок земли снаружи здания или сооружения не менее чем от двух гидрантов при расходе воды на наружное пожаротушение 15 л/с и более или от одного гидранта - при расходе воды менее 15 л/с с учетом прокладки рукавных линий длиной не более 200 м по дорогам с твердым покрытием. Допускается предусм...">
        <w:r>
          <w:rPr>
            <w:sz w:val="24"/>
            <w:color w:val="0000ff"/>
          </w:rPr>
          <w:t xml:space="preserve">пункта 8.9</w:t>
        </w:r>
      </w:hyperlink>
      <w:r>
        <w:rPr>
          <w:sz w:val="24"/>
        </w:rPr>
        <w:t xml:space="preserve"> настоящего свода правил.</w:t>
      </w:r>
    </w:p>
    <w:p>
      <w:pPr>
        <w:pStyle w:val="0"/>
        <w:spacing w:before="240" w:lineRule="auto"/>
        <w:ind w:firstLine="540"/>
        <w:jc w:val="both"/>
      </w:pPr>
      <w:r>
        <w:rPr>
          <w:sz w:val="24"/>
        </w:rPr>
        <w:t xml:space="preserve">Примечание: на сети водопровода населенных пунктов с числом жителей до 500 чел. вместо гидрантов допускается устанавливать стояки диаметром 80 мм с пожарными кранами.</w:t>
      </w:r>
    </w:p>
    <w:p>
      <w:pPr>
        <w:pStyle w:val="0"/>
        <w:jc w:val="both"/>
      </w:pPr>
      <w:r>
        <w:rPr>
          <w:sz w:val="24"/>
        </w:rPr>
      </w:r>
    </w:p>
    <w:p>
      <w:pPr>
        <w:pStyle w:val="0"/>
        <w:ind w:firstLine="540"/>
        <w:jc w:val="both"/>
      </w:pPr>
      <w:r>
        <w:rPr>
          <w:sz w:val="24"/>
        </w:rPr>
        <w:t xml:space="preserve">8.11. Для размещения гидрантов на сети противопожарного водопровода высокого давления потери напора в рукавной линии определяют по формуле:</w:t>
      </w:r>
    </w:p>
    <w:p>
      <w:pPr>
        <w:pStyle w:val="0"/>
        <w:jc w:val="both"/>
      </w:pPr>
      <w:r>
        <w:rPr>
          <w:sz w:val="24"/>
        </w:rPr>
      </w:r>
    </w:p>
    <w:p>
      <w:pPr>
        <w:pStyle w:val="0"/>
        <w:jc w:val="center"/>
      </w:pPr>
      <w:r>
        <w:rPr>
          <w:sz w:val="24"/>
        </w:rPr>
        <w:t xml:space="preserve">h = Sp x n x q</w:t>
      </w:r>
      <w:r>
        <w:rPr>
          <w:sz w:val="24"/>
          <w:vertAlign w:val="superscript"/>
        </w:rPr>
        <w:t xml:space="preserve">2</w:t>
      </w:r>
      <w:r>
        <w:rPr>
          <w:sz w:val="24"/>
        </w:rPr>
        <w:t xml:space="preserve">, (2)</w:t>
      </w:r>
    </w:p>
    <w:p>
      <w:pPr>
        <w:pStyle w:val="0"/>
        <w:jc w:val="both"/>
      </w:pPr>
      <w:r>
        <w:rPr>
          <w:sz w:val="24"/>
        </w:rPr>
      </w:r>
    </w:p>
    <w:p>
      <w:pPr>
        <w:pStyle w:val="0"/>
        <w:ind w:firstLine="540"/>
        <w:jc w:val="both"/>
      </w:pPr>
      <w:r>
        <w:rPr>
          <w:sz w:val="24"/>
        </w:rPr>
        <w:t xml:space="preserve">где h - потери напора в рукавной линии, м вод. ст.;</w:t>
      </w:r>
    </w:p>
    <w:p>
      <w:pPr>
        <w:pStyle w:val="0"/>
        <w:spacing w:before="240" w:lineRule="auto"/>
        <w:ind w:firstLine="540"/>
        <w:jc w:val="both"/>
      </w:pPr>
      <w:r>
        <w:rPr>
          <w:sz w:val="24"/>
        </w:rPr>
        <w:t xml:space="preserve">Sp - сопротивление одного рукава, (с/л) </w:t>
      </w:r>
      <w:r>
        <w:rPr>
          <w:sz w:val="24"/>
          <w:vertAlign w:val="superscript"/>
        </w:rPr>
        <w:t xml:space="preserve">2</w:t>
      </w:r>
      <w:r>
        <w:rPr>
          <w:sz w:val="24"/>
        </w:rPr>
        <w:t xml:space="preserve">м (определяется заводом-изготовителем);</w:t>
      </w:r>
    </w:p>
    <w:p>
      <w:pPr>
        <w:pStyle w:val="0"/>
        <w:spacing w:before="240" w:lineRule="auto"/>
        <w:ind w:firstLine="540"/>
        <w:jc w:val="both"/>
      </w:pPr>
      <w:r>
        <w:rPr>
          <w:sz w:val="24"/>
        </w:rPr>
        <w:t xml:space="preserve">n - количество рукавов в линии, ед.</w:t>
      </w:r>
    </w:p>
    <w:p>
      <w:pPr>
        <w:pStyle w:val="0"/>
        <w:spacing w:before="240" w:lineRule="auto"/>
        <w:ind w:firstLine="540"/>
        <w:jc w:val="both"/>
      </w:pPr>
      <w:r>
        <w:rPr>
          <w:sz w:val="24"/>
        </w:rPr>
        <w:t xml:space="preserve">q - расчетный расход воды, л/с.</w:t>
      </w:r>
    </w:p>
    <w:p>
      <w:pPr>
        <w:pStyle w:val="0"/>
        <w:spacing w:before="240" w:lineRule="auto"/>
        <w:ind w:firstLine="540"/>
        <w:jc w:val="both"/>
      </w:pPr>
      <w:r>
        <w:rPr>
          <w:sz w:val="24"/>
        </w:rPr>
        <w:t xml:space="preserve">8.12. Водопроводные линии, как правило, следует прокладывать под землей. Прокладка водопроводных линий в тоннелях совместно с трубопроводами, транспортирующими легковоспламеняющиеся и горючие жидкости и горючие газы, не допускается.</w:t>
      </w:r>
    </w:p>
    <w:p>
      <w:pPr>
        <w:pStyle w:val="0"/>
        <w:spacing w:before="240" w:lineRule="auto"/>
        <w:ind w:firstLine="540"/>
        <w:jc w:val="both"/>
      </w:pPr>
      <w:r>
        <w:rPr>
          <w:sz w:val="24"/>
        </w:rPr>
        <w:t xml:space="preserve">При прокладке линий противопожарных водопроводов под землей или в тоннелях пожарные гидранты должны устанавливаться в колодцах.</w:t>
      </w:r>
    </w:p>
    <w:p>
      <w:pPr>
        <w:pStyle w:val="0"/>
        <w:spacing w:before="240" w:lineRule="auto"/>
        <w:ind w:firstLine="540"/>
        <w:jc w:val="both"/>
      </w:pPr>
      <w:r>
        <w:rPr>
          <w:sz w:val="24"/>
        </w:rPr>
        <w:t xml:space="preserve">При наземной и надземной прокладке водопровода пожарные гидранты устанавливаются непосредственно на сети. При этом конструктивное исполнение пожарных гидрантов и отключающей арматуры, а также условия их размещения должны исключать замерзание воды при отрицательных температурах наружного воздуха.</w:t>
      </w:r>
    </w:p>
    <w:p>
      <w:pPr>
        <w:pStyle w:val="0"/>
        <w:spacing w:before="240" w:lineRule="auto"/>
        <w:ind w:firstLine="540"/>
        <w:jc w:val="both"/>
      </w:pPr>
      <w:r>
        <w:rPr>
          <w:sz w:val="24"/>
        </w:rPr>
        <w:t xml:space="preserve">8.13. Диаметр труб противопожарного водопровода в населенных пунктах и на промышленных предприятиях должен быть не менее 100 мм, в населенных пунктах с числом жителей не более 5 тыс. чел - не менее 75 мм.</w:t>
      </w:r>
    </w:p>
    <w:p>
      <w:pPr>
        <w:pStyle w:val="0"/>
        <w:spacing w:before="240" w:lineRule="auto"/>
        <w:ind w:firstLine="540"/>
        <w:jc w:val="both"/>
      </w:pPr>
      <w:r>
        <w:rPr>
          <w:sz w:val="24"/>
        </w:rPr>
        <w:t xml:space="preserve">8.14. При определении размеров колодцев по </w:t>
      </w:r>
      <w:hyperlink w:history="0" r:id="rId141"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 следует обеспечить возможность установки в колодце пожарной колонки.</w:t>
      </w:r>
    </w:p>
    <w:p>
      <w:pPr>
        <w:pStyle w:val="0"/>
        <w:jc w:val="both"/>
      </w:pPr>
      <w:r>
        <w:rPr>
          <w:sz w:val="24"/>
        </w:rPr>
        <w:t xml:space="preserve">(в ред. </w:t>
      </w:r>
      <w:hyperlink w:history="0" r:id="rId14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Установка пожарных гидрантов в общем колодце с запорной арматурой, имеющей электропривод, не допускается.</w:t>
      </w:r>
    </w:p>
    <w:bookmarkStart w:id="1037" w:name="P1037"/>
    <w:bookmarkEnd w:id="1037"/>
    <w:p>
      <w:pPr>
        <w:pStyle w:val="0"/>
        <w:spacing w:before="240" w:lineRule="auto"/>
        <w:ind w:firstLine="540"/>
        <w:jc w:val="both"/>
      </w:pPr>
      <w:r>
        <w:rPr>
          <w:sz w:val="24"/>
        </w:rPr>
        <w:t xml:space="preserve">8.15. Устройства для отбора воды пожарными автомобилями (мотопомпами) из пожарных гидрантов, установленных непосредственно на наземной или надземной водопроводной сети, и резервуаров с пожарным объемом воды следует размещать на высоте не более 1,5 м от отметки поверхности проезда для пожарной техники.</w:t>
      </w:r>
    </w:p>
    <w:p>
      <w:pPr>
        <w:pStyle w:val="0"/>
        <w:jc w:val="both"/>
      </w:pPr>
      <w:r>
        <w:rPr>
          <w:sz w:val="24"/>
        </w:rPr>
        <w:t xml:space="preserve">(п. 8.15 введен </w:t>
      </w:r>
      <w:hyperlink w:history="0" r:id="rId14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Приказом</w:t>
        </w:r>
      </w:hyperlink>
      <w:r>
        <w:rPr>
          <w:sz w:val="24"/>
        </w:rPr>
        <w:t xml:space="preserve"> МЧС России от 25.12.2023 N 1329)</w:t>
      </w:r>
    </w:p>
    <w:p>
      <w:pPr>
        <w:pStyle w:val="0"/>
        <w:jc w:val="both"/>
      </w:pPr>
      <w:r>
        <w:rPr>
          <w:sz w:val="24"/>
        </w:rPr>
      </w:r>
    </w:p>
    <w:p>
      <w:pPr>
        <w:pStyle w:val="2"/>
        <w:outlineLvl w:val="1"/>
        <w:ind w:firstLine="540"/>
        <w:jc w:val="both"/>
      </w:pPr>
      <w:r>
        <w:rPr>
          <w:sz w:val="24"/>
        </w:rPr>
        <w:t xml:space="preserve">9. Емкости для хранения воды</w:t>
      </w:r>
    </w:p>
    <w:p>
      <w:pPr>
        <w:pStyle w:val="0"/>
        <w:jc w:val="both"/>
      </w:pPr>
      <w:r>
        <w:rPr>
          <w:sz w:val="24"/>
        </w:rPr>
      </w:r>
    </w:p>
    <w:p>
      <w:pPr>
        <w:pStyle w:val="0"/>
        <w:ind w:firstLine="540"/>
        <w:jc w:val="both"/>
      </w:pPr>
      <w:r>
        <w:rPr>
          <w:sz w:val="24"/>
        </w:rPr>
        <w:t xml:space="preserve">9.1. В случаях, когда получение необходимого количества воды для тушения пожара непосредственно из источника водоснабжения технически невозможно или экономически нецелесообразно, в емкостях (резервуарах) систем водоснабжения следует предусматривать пожарный объем воды.</w:t>
      </w:r>
    </w:p>
    <w:bookmarkStart w:id="1043" w:name="P1043"/>
    <w:bookmarkEnd w:id="1043"/>
    <w:p>
      <w:pPr>
        <w:pStyle w:val="0"/>
        <w:spacing w:before="240" w:lineRule="auto"/>
        <w:ind w:firstLine="540"/>
        <w:jc w:val="both"/>
      </w:pPr>
      <w:r>
        <w:rPr>
          <w:sz w:val="24"/>
        </w:rPr>
        <w:t xml:space="preserve">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w:t>
      </w:r>
      <w:hyperlink w:history="0" w:anchor="P151" w:tooltip="5. Расходы воды на наружное пожаротушение">
        <w:r>
          <w:rPr>
            <w:sz w:val="24"/>
            <w:color w:val="0000ff"/>
          </w:rPr>
          <w:t xml:space="preserve">раздела 5</w:t>
        </w:r>
      </w:hyperlink>
      <w:r>
        <w:rPr>
          <w:sz w:val="24"/>
        </w:rPr>
        <w:t xml:space="preserve"> настоящего свода правил из условия обеспечения:</w:t>
      </w:r>
    </w:p>
    <w:p>
      <w:pPr>
        <w:pStyle w:val="0"/>
        <w:jc w:val="both"/>
      </w:pPr>
      <w:r>
        <w:rPr>
          <w:sz w:val="24"/>
        </w:rPr>
        <w:t xml:space="preserve">(в ред. </w:t>
      </w:r>
      <w:hyperlink w:history="0" r:id="rId14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пожаротушения из пожарных гидрантов и пожарных кранов внутреннего противопожарного водопровода;</w:t>
      </w:r>
    </w:p>
    <w:p>
      <w:pPr>
        <w:pStyle w:val="0"/>
        <w:jc w:val="both"/>
      </w:pPr>
      <w:r>
        <w:rPr>
          <w:sz w:val="24"/>
        </w:rPr>
        <w:t xml:space="preserve">(в ред. </w:t>
      </w:r>
      <w:hyperlink w:history="0" r:id="rId14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специальных средств пожаротушения (спринклеров, дренчеров и др.), не имеющих собственных резервуаров.</w:t>
      </w:r>
    </w:p>
    <w:p>
      <w:pPr>
        <w:pStyle w:val="0"/>
        <w:spacing w:before="240" w:lineRule="auto"/>
        <w:ind w:firstLine="540"/>
        <w:jc w:val="both"/>
      </w:pPr>
      <w:r>
        <w:rPr>
          <w:sz w:val="24"/>
        </w:rPr>
        <w:t xml:space="preserve">Примечание: при определении пожарного объема воды в резервуарах допускается учитывать пополнение его во время тушения пожара, если подача воды в них осуществляется системами водоснабжения I и II категорий.</w:t>
      </w:r>
    </w:p>
    <w:p>
      <w:pPr>
        <w:pStyle w:val="0"/>
        <w:jc w:val="both"/>
      </w:pPr>
      <w:r>
        <w:rPr>
          <w:sz w:val="24"/>
        </w:rPr>
      </w:r>
    </w:p>
    <w:p>
      <w:pPr>
        <w:pStyle w:val="0"/>
        <w:ind w:firstLine="540"/>
        <w:jc w:val="both"/>
      </w:pPr>
      <w:r>
        <w:rPr>
          <w:sz w:val="24"/>
        </w:rPr>
        <w:t xml:space="preserve">9.3. Пожарный объем воды в баках водонапорных башен должен рассчитываться на тушение одного пожара в здании или сооружении с использованием пожарных гидрантов и пожарных кранов внутреннего противопожарного водопровода в течение десяти минут при одновременном наибольшем расходе воды на другие нужды.</w:t>
      </w:r>
    </w:p>
    <w:p>
      <w:pPr>
        <w:pStyle w:val="0"/>
        <w:jc w:val="both"/>
      </w:pPr>
      <w:r>
        <w:rPr>
          <w:sz w:val="24"/>
        </w:rPr>
        <w:t xml:space="preserve">(в ред. </w:t>
      </w:r>
      <w:hyperlink w:history="0" r:id="rId14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Примечание: допускается хранение в баках водонапорных башен полного пожарного объема воды, определенного в соответствии с </w:t>
      </w:r>
      <w:hyperlink w:history="0" w:anchor="P1043"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настоящего свода правил из условия обеспечения:">
        <w:r>
          <w:rPr>
            <w:sz w:val="24"/>
            <w:color w:val="0000ff"/>
          </w:rPr>
          <w:t xml:space="preserve">пунктом 9.2</w:t>
        </w:r>
      </w:hyperlink>
      <w:r>
        <w:rPr>
          <w:sz w:val="24"/>
        </w:rPr>
        <w:t xml:space="preserve"> настоящего свода правил.</w:t>
      </w:r>
    </w:p>
    <w:p>
      <w:pPr>
        <w:pStyle w:val="0"/>
        <w:jc w:val="both"/>
      </w:pPr>
      <w:r>
        <w:rPr>
          <w:sz w:val="24"/>
        </w:rPr>
      </w:r>
    </w:p>
    <w:p>
      <w:pPr>
        <w:pStyle w:val="0"/>
        <w:ind w:firstLine="540"/>
        <w:jc w:val="both"/>
      </w:pPr>
      <w:r>
        <w:rPr>
          <w:sz w:val="24"/>
        </w:rPr>
        <w:t xml:space="preserve">9.4. При подаче воды по одному водоводу в емкостях следует предусматривать дополнительный пожарный объем воды в размере, определенном согласно </w:t>
      </w:r>
      <w:hyperlink w:history="0" w:anchor="P1043"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настоящего свода правил из условия обеспечения:">
        <w:r>
          <w:rPr>
            <w:sz w:val="24"/>
            <w:color w:val="0000ff"/>
          </w:rPr>
          <w:t xml:space="preserve">пункту 9.2</w:t>
        </w:r>
      </w:hyperlink>
      <w:r>
        <w:rPr>
          <w:sz w:val="24"/>
        </w:rPr>
        <w:t xml:space="preserve"> настоящего свода правил.</w:t>
      </w:r>
    </w:p>
    <w:p>
      <w:pPr>
        <w:pStyle w:val="0"/>
        <w:spacing w:before="240" w:lineRule="auto"/>
        <w:ind w:firstLine="540"/>
        <w:jc w:val="both"/>
      </w:pPr>
      <w:r>
        <w:rPr>
          <w:sz w:val="24"/>
        </w:rPr>
        <w:t xml:space="preserve">Примечание: дополнительный объем воды на пожаротушение допускается не предусматривать при длине одной линии водовода не более 500 м до населенных пунктов с числом жителей до 5 тыс. чел., а также до промышленных и сельскохозяйственных предприятий при расходе воды на наружное пожаротушение не более 40 л/с.</w:t>
      </w:r>
    </w:p>
    <w:p>
      <w:pPr>
        <w:pStyle w:val="0"/>
        <w:jc w:val="both"/>
      </w:pPr>
      <w:r>
        <w:rPr>
          <w:sz w:val="24"/>
        </w:rPr>
        <w:t xml:space="preserve">(в ред. </w:t>
      </w:r>
      <w:hyperlink w:history="0" r:id="rId14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0"/>
        <w:ind w:firstLine="540"/>
        <w:jc w:val="both"/>
      </w:pPr>
      <w:r>
        <w:rPr>
          <w:sz w:val="24"/>
        </w:rPr>
        <w:t xml:space="preserve">9.5. Количество резервуаров для хранения пожарного объема воды в одном водопроводном узле должно быть не менее двух.</w:t>
      </w:r>
    </w:p>
    <w:p>
      <w:pPr>
        <w:pStyle w:val="0"/>
        <w:spacing w:before="240" w:lineRule="auto"/>
        <w:ind w:firstLine="540"/>
        <w:jc w:val="both"/>
      </w:pPr>
      <w:r>
        <w:rPr>
          <w:sz w:val="24"/>
        </w:rPr>
        <w:t xml:space="preserve">При выключении одного резервуара в остальных должно храниться не менее 50% пожарного объема воды.</w:t>
      </w:r>
    </w:p>
    <w:p>
      <w:pPr>
        <w:pStyle w:val="0"/>
        <w:spacing w:before="240" w:lineRule="auto"/>
        <w:ind w:firstLine="540"/>
        <w:jc w:val="both"/>
      </w:pPr>
      <w:r>
        <w:rPr>
          <w:sz w:val="24"/>
        </w:rPr>
        <w:t xml:space="preserve">Оборудование резервуаров должно обеспечивать сохранность пожарного объема воды, а также возможность независимого включения и опорожнения каждого резервуара.</w:t>
      </w:r>
    </w:p>
    <w:p>
      <w:pPr>
        <w:pStyle w:val="0"/>
        <w:spacing w:before="240" w:lineRule="auto"/>
        <w:ind w:firstLine="540"/>
        <w:jc w:val="both"/>
      </w:pPr>
      <w:r>
        <w:rPr>
          <w:sz w:val="24"/>
        </w:rPr>
        <w:t xml:space="preserve">9.6. Вне резервуара или водонапорной башни следует предусматривать устройство для отбора воды пожарными автомобилями (мотопомпами) с учетом </w:t>
      </w:r>
      <w:hyperlink w:history="0" w:anchor="P1037" w:tooltip="8.15. Устройства для отбора воды пожарными автомобилями (мотопомпами) из пожарных гидрантов, установленных непосредственно на наземной или надземной водопроводной сети, и резервуаров с пожарным объемом воды следует размещать на высоте не более 1,5 м от отметки поверхности проезда для пожарной техники.">
        <w:r>
          <w:rPr>
            <w:sz w:val="24"/>
            <w:color w:val="0000ff"/>
          </w:rPr>
          <w:t xml:space="preserve">пункта 8.15</w:t>
        </w:r>
      </w:hyperlink>
      <w:r>
        <w:rPr>
          <w:sz w:val="24"/>
        </w:rPr>
        <w:t xml:space="preserve"> настоящего свода правил.</w:t>
      </w:r>
    </w:p>
    <w:p>
      <w:pPr>
        <w:pStyle w:val="0"/>
        <w:jc w:val="both"/>
      </w:pPr>
      <w:r>
        <w:rPr>
          <w:sz w:val="24"/>
        </w:rPr>
        <w:t xml:space="preserve">(в ред. </w:t>
      </w:r>
      <w:hyperlink w:history="0" r:id="rId14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9.7. Напорные резервуары и водонапорные башни противопожарных водопроводов высокого давления должны быть оборудованы автоматическими устройствами, обеспечивающими их отключение при пуске пожарных насосов.</w:t>
      </w:r>
    </w:p>
    <w:p>
      <w:pPr>
        <w:pStyle w:val="0"/>
        <w:jc w:val="both"/>
      </w:pPr>
      <w:r>
        <w:rPr>
          <w:sz w:val="24"/>
        </w:rPr>
      </w:r>
    </w:p>
    <w:p>
      <w:pPr>
        <w:pStyle w:val="2"/>
        <w:outlineLvl w:val="1"/>
        <w:ind w:firstLine="540"/>
        <w:jc w:val="both"/>
      </w:pPr>
      <w:r>
        <w:rPr>
          <w:sz w:val="24"/>
        </w:rPr>
        <w:t xml:space="preserve">10. Пожарные резервуары и водоемы</w:t>
      </w:r>
    </w:p>
    <w:p>
      <w:pPr>
        <w:pStyle w:val="0"/>
        <w:jc w:val="both"/>
      </w:pPr>
      <w:r>
        <w:rPr>
          <w:sz w:val="24"/>
        </w:rPr>
      </w:r>
    </w:p>
    <w:p>
      <w:pPr>
        <w:pStyle w:val="0"/>
        <w:ind w:firstLine="540"/>
        <w:jc w:val="both"/>
      </w:pPr>
      <w:r>
        <w:rPr>
          <w:sz w:val="24"/>
        </w:rPr>
        <w:t xml:space="preserve">10.1. Перечень объектов защиты, для которых наружное противопожарное водоснабжение допускается предусматривать из пожарных резервуаров и водоемов, установлен </w:t>
      </w:r>
      <w:hyperlink w:history="0" w:anchor="P1136" w:tooltip="[1] Федеральный закон от 22 июля 2008 г. N 123-ФЗ &quot;Технический регламент о требованиях пожарной безопасности&quot;.">
        <w:r>
          <w:rPr>
            <w:sz w:val="24"/>
            <w:color w:val="0000ff"/>
          </w:rPr>
          <w:t xml:space="preserve">[1]</w:t>
        </w:r>
      </w:hyperlink>
      <w:r>
        <w:rPr>
          <w:sz w:val="24"/>
        </w:rPr>
        <w:t xml:space="preserve">. При этом отбор воды на тушение пожара предусматривается непосредственно из указанных водоисточников насосами пожарных автомобилей (мотопомпами), устройство противопожарного водопровода не требуется.</w:t>
      </w:r>
    </w:p>
    <w:p>
      <w:pPr>
        <w:pStyle w:val="0"/>
        <w:jc w:val="both"/>
      </w:pPr>
      <w:r>
        <w:rPr>
          <w:sz w:val="24"/>
        </w:rPr>
        <w:t xml:space="preserve">(в ред. </w:t>
      </w:r>
      <w:hyperlink w:history="0" r:id="rId149"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10.2. Объем пожарных резервуаров и пожарных водоемов надлежит определять исходя из расчетного расхода воды на наружное пожаротушение и продолжительности тушения пожара.</w:t>
      </w:r>
    </w:p>
    <w:p>
      <w:pPr>
        <w:pStyle w:val="0"/>
        <w:jc w:val="both"/>
      </w:pPr>
      <w:r>
        <w:rPr>
          <w:sz w:val="24"/>
        </w:rPr>
        <w:t xml:space="preserve">(в ред. </w:t>
      </w:r>
      <w:hyperlink w:history="0" r:id="rId15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Примечание: объем открытых водоемов необходимо рассчитывать с учетом возможного испарения воды и образования льда. Превышение кромки открытого водоема над наивысшим уровнем воды в нем должно быть не менее 0,5 м.</w:t>
      </w:r>
    </w:p>
    <w:p>
      <w:pPr>
        <w:pStyle w:val="0"/>
        <w:jc w:val="both"/>
      </w:pPr>
      <w:r>
        <w:rPr>
          <w:sz w:val="24"/>
        </w:rPr>
      </w:r>
    </w:p>
    <w:p>
      <w:pPr>
        <w:pStyle w:val="0"/>
        <w:ind w:firstLine="540"/>
        <w:jc w:val="both"/>
      </w:pPr>
      <w:r>
        <w:rPr>
          <w:sz w:val="24"/>
        </w:rPr>
        <w:t xml:space="preserve">10.3. Количество пожарных резервуаров или пожарных водоемов должно быть не менее двух, при этом в каждом из них должно храниться не менее 50% объема воды на пожаротушение.</w:t>
      </w:r>
    </w:p>
    <w:p>
      <w:pPr>
        <w:pStyle w:val="0"/>
        <w:spacing w:before="240" w:lineRule="auto"/>
        <w:ind w:firstLine="540"/>
        <w:jc w:val="both"/>
      </w:pPr>
      <w:r>
        <w:rPr>
          <w:sz w:val="24"/>
        </w:rPr>
        <w:t xml:space="preserve">Расстояние между пожарными резервуарами (в том числе между двумя, с хранением в каждом из них не менее 50% объема воды) или пожарными водоемами следует принимать в соответствии с </w:t>
      </w:r>
      <w:hyperlink w:history="0" w:anchor="P1076" w:tooltip="10.4. Пожарные резервуары и (или) искусственные водоемы надлежит размещать из условия обслуживания ими зданий или сооружений, находящихся в радиусе:">
        <w:r>
          <w:rPr>
            <w:sz w:val="24"/>
            <w:color w:val="0000ff"/>
          </w:rPr>
          <w:t xml:space="preserve">пунктом 10.4</w:t>
        </w:r>
      </w:hyperlink>
      <w:r>
        <w:rPr>
          <w:sz w:val="24"/>
        </w:rPr>
        <w:t xml:space="preserve"> настоящего свода правил, при этом подача воды в любую точку пожара должна обеспечиваться из двух соседних пожарных резервуаров или пожарных водоемов.</w:t>
      </w:r>
    </w:p>
    <w:p>
      <w:pPr>
        <w:pStyle w:val="0"/>
        <w:jc w:val="both"/>
      </w:pPr>
      <w:r>
        <w:rPr>
          <w:sz w:val="24"/>
        </w:rPr>
        <w:t xml:space="preserve">(п. 10.3 в ред. </w:t>
      </w:r>
      <w:hyperlink w:history="0" r:id="rId151"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1076" w:name="P1076"/>
    <w:bookmarkEnd w:id="1076"/>
    <w:p>
      <w:pPr>
        <w:pStyle w:val="0"/>
        <w:spacing w:before="240" w:lineRule="auto"/>
        <w:ind w:firstLine="540"/>
        <w:jc w:val="both"/>
      </w:pPr>
      <w:r>
        <w:rPr>
          <w:sz w:val="24"/>
        </w:rPr>
        <w:t xml:space="preserve">10.4. Пожарные резервуары и (или) искусственные водоемы надлежит размещать из условия обслуживания ими зданий или сооружений, находящихся в радиусе:</w:t>
      </w:r>
    </w:p>
    <w:p>
      <w:pPr>
        <w:pStyle w:val="0"/>
        <w:jc w:val="both"/>
      </w:pPr>
      <w:r>
        <w:rPr>
          <w:sz w:val="24"/>
        </w:rPr>
        <w:t xml:space="preserve">(в ред. </w:t>
      </w:r>
      <w:hyperlink w:history="0" r:id="rId152"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 заборе воды насосами пожарных автомобилей - не более 200 м;</w:t>
      </w:r>
    </w:p>
    <w:p>
      <w:pPr>
        <w:pStyle w:val="0"/>
        <w:jc w:val="both"/>
      </w:pPr>
      <w:r>
        <w:rPr>
          <w:sz w:val="24"/>
        </w:rPr>
        <w:t xml:space="preserve">(в ред. </w:t>
      </w:r>
      <w:hyperlink w:history="0" r:id="rId15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при заборе воды мотопомпами - не более 150 м (с учетом технических характеристик мотопомп).</w:t>
      </w:r>
    </w:p>
    <w:p>
      <w:pPr>
        <w:pStyle w:val="0"/>
        <w:jc w:val="both"/>
      </w:pPr>
      <w:r>
        <w:rPr>
          <w:sz w:val="24"/>
        </w:rPr>
        <w:t xml:space="preserve">(в ред. </w:t>
      </w:r>
      <w:hyperlink w:history="0" r:id="rId154"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Для увеличения радиуса обслуживания допускается прокладка от резервуаров или водоемов тупиковых трубопроводов длиной не более 200 м с устройством приемных колодцев в соответствии с </w:t>
      </w:r>
      <w:hyperlink w:history="0" w:anchor="P1087" w:tooltip="10.7. Если непосредственный забор воды из пожарного резервуара или водоема автонасосами или мотопомпами затруднен, надлежит предусматривать приемные колодцы объемом 3 - 5 м3. Диаметр трубопровода, соединяющего резервуар или водоем с приемным колодцем, следует принимать из условия пропуска расчетного расхода воды на наружное пожаротушение, но не менее 200 мм. Перед приемным колодцем на соединительном трубопроводе следует устанавливать колодец с задвижкой, штурвал которой должен быть выведен под крышку люка.">
        <w:r>
          <w:rPr>
            <w:sz w:val="24"/>
            <w:color w:val="0000ff"/>
          </w:rPr>
          <w:t xml:space="preserve">пунктом 10.7</w:t>
        </w:r>
      </w:hyperlink>
      <w:r>
        <w:rPr>
          <w:sz w:val="24"/>
        </w:rPr>
        <w:t xml:space="preserve"> настоящего свода правил.</w:t>
      </w:r>
    </w:p>
    <w:bookmarkStart w:id="1083" w:name="P1083"/>
    <w:bookmarkEnd w:id="1083"/>
    <w:p>
      <w:pPr>
        <w:pStyle w:val="0"/>
        <w:spacing w:before="240" w:lineRule="auto"/>
        <w:ind w:firstLine="540"/>
        <w:jc w:val="both"/>
      </w:pPr>
      <w:r>
        <w:rPr>
          <w:sz w:val="24"/>
        </w:rPr>
        <w:t xml:space="preserve">10.5. Расстояние от точки забора воды из пожарных резервуаров или пожарных водоемов до зданий или сооружений III, IV и V степеней огнестойкости, до открытых складов горючих материалов и оборудования, содержащего легковоспламеняющиеся и горючие жидкости или горючие газы, должно быть не менее 30 м, до зданий или сооружений I и II степеней огнестойкости - не менее 10 м. Расстояние от точки забора воды до здания насосной станции водоснабжения не нормируется.</w:t>
      </w:r>
    </w:p>
    <w:p>
      <w:pPr>
        <w:pStyle w:val="0"/>
        <w:jc w:val="both"/>
      </w:pPr>
      <w:r>
        <w:rPr>
          <w:sz w:val="24"/>
        </w:rPr>
        <w:t xml:space="preserve">(п. 10.5 в ред. </w:t>
      </w:r>
      <w:hyperlink w:history="0" r:id="rId15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10.6. Пожарные резервуары должны быть оборудованы устройствами для отбора воды пожарными автомобилями (мотопомпами). Пожарные резервуары и пожарные водоемы оборудовать переливными и спускными трубопроводами не требуется.</w:t>
      </w:r>
    </w:p>
    <w:p>
      <w:pPr>
        <w:pStyle w:val="0"/>
        <w:jc w:val="both"/>
      </w:pPr>
      <w:r>
        <w:rPr>
          <w:sz w:val="24"/>
        </w:rPr>
        <w:t xml:space="preserve">(в ред. </w:t>
      </w:r>
      <w:hyperlink w:history="0" r:id="rId156"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bookmarkStart w:id="1087" w:name="P1087"/>
    <w:bookmarkEnd w:id="1087"/>
    <w:p>
      <w:pPr>
        <w:pStyle w:val="0"/>
        <w:spacing w:before="240" w:lineRule="auto"/>
        <w:ind w:firstLine="540"/>
        <w:jc w:val="both"/>
      </w:pPr>
      <w:r>
        <w:rPr>
          <w:sz w:val="24"/>
        </w:rPr>
        <w:t xml:space="preserve">10.7. Если непосредственный забор воды из пожарного резервуара или водоема автонасосами или мотопомпами затруднен, надлежит предусматривать приемные колодцы объемом 3 - 5 м</w:t>
      </w:r>
      <w:r>
        <w:rPr>
          <w:sz w:val="24"/>
          <w:vertAlign w:val="superscript"/>
        </w:rPr>
        <w:t xml:space="preserve">3</w:t>
      </w:r>
      <w:r>
        <w:rPr>
          <w:sz w:val="24"/>
        </w:rPr>
        <w:t xml:space="preserve">. Диаметр трубопровода, соединяющего резервуар или водоем с приемным колодцем, следует принимать из условия пропуска расчетного расхода воды на наружное пожаротушение, но не менее 200 мм. Перед приемным колодцем на соединительном трубопроводе следует устанавливать колодец с задвижкой, штурвал которой должен быть выведен под крышку люка.</w:t>
      </w:r>
    </w:p>
    <w:p>
      <w:pPr>
        <w:pStyle w:val="0"/>
        <w:spacing w:before="240" w:lineRule="auto"/>
        <w:ind w:firstLine="540"/>
        <w:jc w:val="both"/>
      </w:pPr>
      <w:r>
        <w:rPr>
          <w:sz w:val="24"/>
        </w:rPr>
        <w:t xml:space="preserve">На соединительном трубопроводе со стороны водоема следует предусматривать решетку.</w:t>
      </w:r>
    </w:p>
    <w:bookmarkStart w:id="1089" w:name="P1089"/>
    <w:bookmarkEnd w:id="1089"/>
    <w:p>
      <w:pPr>
        <w:pStyle w:val="0"/>
        <w:spacing w:before="240" w:lineRule="auto"/>
        <w:ind w:firstLine="540"/>
        <w:jc w:val="both"/>
      </w:pPr>
      <w:r>
        <w:rPr>
          <w:sz w:val="24"/>
        </w:rPr>
        <w:t xml:space="preserve">10.8. Водные ресурсы естественных водоемов (водотоков), используемых в качестве пожарных, должны обеспечивать расчетные расходы воды согласно требованиям </w:t>
      </w:r>
      <w:hyperlink w:history="0" w:anchor="P153" w:tooltip="5.1. Для расчета магистральных (расчетных кольцевых) линий водопроводной сети населенного пункта расход воды на наружное пожаротушение (на один пожар) и количество одновременных пожаров следует принимать по таблице 1. При этом принятое значение расхода воды на наружное пожаротушение должно быть не менее расхода воды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в соответствии с пунктом 5.2 настоящего ...">
        <w:r>
          <w:rPr>
            <w:sz w:val="24"/>
            <w:color w:val="0000ff"/>
          </w:rPr>
          <w:t xml:space="preserve">пунктов 5.1</w:t>
        </w:r>
      </w:hyperlink>
      <w:r>
        <w:rPr>
          <w:sz w:val="24"/>
        </w:rPr>
        <w:t xml:space="preserve"> - </w:t>
      </w:r>
      <w:hyperlink w:history="0" w:anchor="P370" w:tooltip="5.3. Расход воды на наружное пожаротушение производственных объектов (за исключением случаев, для которых настоящим сводом правил установлены иные требования) на один пожар должен приниматься для здания или сооружения, требующего наибольшего расхода воды, по таблицам 3 и 4.">
        <w:r>
          <w:rPr>
            <w:sz w:val="24"/>
            <w:color w:val="0000ff"/>
          </w:rPr>
          <w:t xml:space="preserve">5.3</w:t>
        </w:r>
      </w:hyperlink>
      <w:r>
        <w:rPr>
          <w:sz w:val="24"/>
        </w:rPr>
        <w:t xml:space="preserve"> настоящего свода правил в течение времени тушения пожара, установленного </w:t>
      </w:r>
      <w:hyperlink w:history="0" w:anchor="P922" w:tooltip="5.17. Продолжительность тушения пожара должна приниматься 3 ч. Для жилых и общественных зданий или сооружений I и II степеней огнестойкости класса конструктивной пожарной опасности C0 - 2 часа.">
        <w:r>
          <w:rPr>
            <w:sz w:val="24"/>
            <w:color w:val="0000ff"/>
          </w:rPr>
          <w:t xml:space="preserve">пунктом 5.17</w:t>
        </w:r>
      </w:hyperlink>
      <w:r>
        <w:rPr>
          <w:sz w:val="24"/>
        </w:rPr>
        <w:t xml:space="preserve"> настоящего свода правил.</w:t>
      </w:r>
    </w:p>
    <w:p>
      <w:pPr>
        <w:pStyle w:val="0"/>
        <w:spacing w:before="240" w:lineRule="auto"/>
        <w:ind w:firstLine="540"/>
        <w:jc w:val="both"/>
      </w:pPr>
      <w:r>
        <w:rPr>
          <w:sz w:val="24"/>
        </w:rPr>
        <w:t xml:space="preserve">Размещение мест забора воды из указанных водоисточников должно отвечать требованиям </w:t>
      </w:r>
      <w:hyperlink w:history="0" w:anchor="P1076" w:tooltip="10.4. Пожарные резервуары и (или) искусственные водоемы надлежит размещать из условия обслуживания ими зданий или сооружений, находящихся в радиусе:">
        <w:r>
          <w:rPr>
            <w:sz w:val="24"/>
            <w:color w:val="0000ff"/>
          </w:rPr>
          <w:t xml:space="preserve">пунктов 10.4</w:t>
        </w:r>
      </w:hyperlink>
      <w:r>
        <w:rPr>
          <w:sz w:val="24"/>
        </w:rPr>
        <w:t xml:space="preserve">, </w:t>
      </w:r>
      <w:hyperlink w:history="0" w:anchor="P1083" w:tooltip="10.5. Расстояние от точки забора воды из пожарных резервуаров или пожарных водоемов до зданий или сооружений III, IV и V степеней огнестойкости, до открытых складов горючих материалов и оборудования, содержащего легковоспламеняющиеся и горючие жидкости или горючие газы, должно быть не менее 30 м, до зданий или сооружений I и II степеней огнестойкости - не менее 10 м. Расстояние от точки забора воды до здания насосной станции водоснабжения не нормируется.">
        <w:r>
          <w:rPr>
            <w:sz w:val="24"/>
            <w:color w:val="0000ff"/>
          </w:rPr>
          <w:t xml:space="preserve">10.5</w:t>
        </w:r>
      </w:hyperlink>
      <w:r>
        <w:rPr>
          <w:sz w:val="24"/>
        </w:rPr>
        <w:t xml:space="preserve"> настоящего свода правил.</w:t>
      </w:r>
    </w:p>
    <w:p>
      <w:pPr>
        <w:pStyle w:val="0"/>
        <w:spacing w:before="240" w:lineRule="auto"/>
        <w:ind w:firstLine="540"/>
        <w:jc w:val="both"/>
      </w:pPr>
      <w:r>
        <w:rPr>
          <w:sz w:val="24"/>
        </w:rPr>
        <w:t xml:space="preserve">Для увеличения радиуса обслуживания допускается прокладка тупиковых трубопроводов длиной не более 200 м с устройством приемных колодцев согласно </w:t>
      </w:r>
      <w:hyperlink w:history="0" w:anchor="P1076" w:tooltip="10.4. Пожарные резервуары и (или) искусственные водоемы надлежит размещать из условия обслуживания ими зданий или сооружений, находящихся в радиусе:">
        <w:r>
          <w:rPr>
            <w:sz w:val="24"/>
            <w:color w:val="0000ff"/>
          </w:rPr>
          <w:t xml:space="preserve">пунктам 10.4</w:t>
        </w:r>
      </w:hyperlink>
      <w:r>
        <w:rPr>
          <w:sz w:val="24"/>
        </w:rPr>
        <w:t xml:space="preserve">, </w:t>
      </w:r>
      <w:hyperlink w:history="0" w:anchor="P1087" w:tooltip="10.7. Если непосредственный забор воды из пожарного резервуара или водоема автонасосами или мотопомпами затруднен, надлежит предусматривать приемные колодцы объемом 3 - 5 м3. Диаметр трубопровода, соединяющего резервуар или водоем с приемным колодцем, следует принимать из условия пропуска расчетного расхода воды на наружное пожаротушение, но не менее 200 мм. Перед приемным колодцем на соединительном трубопроводе следует устанавливать колодец с задвижкой, штурвал которой должен быть выведен под крышку люка.">
        <w:r>
          <w:rPr>
            <w:sz w:val="24"/>
            <w:color w:val="0000ff"/>
          </w:rPr>
          <w:t xml:space="preserve">10.7</w:t>
        </w:r>
      </w:hyperlink>
      <w:r>
        <w:rPr>
          <w:sz w:val="24"/>
        </w:rPr>
        <w:t xml:space="preserve"> настоящего свода правил.</w:t>
      </w:r>
    </w:p>
    <w:p>
      <w:pPr>
        <w:pStyle w:val="0"/>
        <w:spacing w:before="240" w:lineRule="auto"/>
        <w:ind w:firstLine="540"/>
        <w:jc w:val="both"/>
      </w:pPr>
      <w:r>
        <w:rPr>
          <w:sz w:val="24"/>
        </w:rPr>
        <w:t xml:space="preserve">10.9. Если требования </w:t>
      </w:r>
      <w:hyperlink w:history="0" w:anchor="P1089" w:tooltip="10.8. Водные ресурсы естественных водоемов (водотоков), используемых в качестве пожарных, должны обеспечивать расчетные расходы воды согласно требованиям пунктов 5.1 - 5.3 настоящего свода правил в течение времени тушения пожара, установленного пунктом 5.17 настоящего свода правил.">
        <w:r>
          <w:rPr>
            <w:sz w:val="24"/>
            <w:color w:val="0000ff"/>
          </w:rPr>
          <w:t xml:space="preserve">пункта 10.8</w:t>
        </w:r>
      </w:hyperlink>
      <w:r>
        <w:rPr>
          <w:sz w:val="24"/>
        </w:rPr>
        <w:t xml:space="preserve"> настоящего свода правил к естественным водоемам (водотокам) не могут быть обеспечены следует предусматривать дополнительный резервуар (водоем) с 50% запасом воды на пожаротушение.</w:t>
      </w:r>
    </w:p>
    <w:p>
      <w:pPr>
        <w:pStyle w:val="0"/>
        <w:spacing w:before="240" w:lineRule="auto"/>
        <w:ind w:firstLine="540"/>
        <w:jc w:val="both"/>
      </w:pPr>
      <w:r>
        <w:rPr>
          <w:sz w:val="24"/>
        </w:rPr>
        <w:t xml:space="preserve">10.10. К пожарным резервуарам, водоемам, приемным колодцам, а также к градирням, брызгальным бассейнам и другим сооружениям, вода из которых может быть использована для тушения пожара, надлежит предусматривать подъезды с площадками (пирсами) с твердым покрытием для установки пожарных автомобилей (мотопомп) и забора воды. Размер таких площадок должен быть не менее 12 x 12 метров.</w:t>
      </w:r>
    </w:p>
    <w:p>
      <w:pPr>
        <w:pStyle w:val="0"/>
        <w:jc w:val="both"/>
      </w:pPr>
      <w:r>
        <w:rPr>
          <w:sz w:val="24"/>
        </w:rPr>
        <w:t xml:space="preserve">(в ред. </w:t>
      </w:r>
      <w:hyperlink w:history="0" r:id="rId15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Превышение площадок (пирсов) над низшей отметкой уровня воды в пожарном водоеме следует принимать с учетом вакуумметрической высоты всасывания насосов имеющихся пожарных автомобилей (мотопомп).</w:t>
      </w:r>
    </w:p>
    <w:p>
      <w:pPr>
        <w:pStyle w:val="0"/>
        <w:spacing w:before="240" w:lineRule="auto"/>
        <w:ind w:firstLine="540"/>
        <w:jc w:val="both"/>
      </w:pPr>
      <w:r>
        <w:rPr>
          <w:sz w:val="24"/>
        </w:rPr>
        <w:t xml:space="preserve">10.11. Пожарные резервуары и их оборудование должны быть защищены от замерзания воды. Допускается предусматривать подогрев воды в пожарных резервуарах с помощью водяных или паровых нагревательных приборов, подключенных к системам центрального отопления зданий или сооружений, а также с помощью электрических водонагревателей и греющих кабелей.</w:t>
      </w:r>
    </w:p>
    <w:p>
      <w:pPr>
        <w:pStyle w:val="0"/>
        <w:jc w:val="both"/>
      </w:pPr>
      <w:r>
        <w:rPr>
          <w:sz w:val="24"/>
        </w:rPr>
        <w:t xml:space="preserve">(в ред. </w:t>
      </w:r>
      <w:hyperlink w:history="0" r:id="rId158"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jc w:val="both"/>
      </w:pPr>
      <w:r>
        <w:rPr>
          <w:sz w:val="24"/>
        </w:rPr>
      </w:r>
    </w:p>
    <w:p>
      <w:pPr>
        <w:pStyle w:val="2"/>
        <w:outlineLvl w:val="1"/>
        <w:ind w:firstLine="540"/>
        <w:jc w:val="both"/>
      </w:pPr>
      <w:r>
        <w:rPr>
          <w:sz w:val="24"/>
        </w:rPr>
        <w:t xml:space="preserve">11. Электрооборудование, технологический контроль, автоматизация и системы управления</w:t>
      </w:r>
    </w:p>
    <w:p>
      <w:pPr>
        <w:pStyle w:val="0"/>
        <w:jc w:val="both"/>
      </w:pPr>
      <w:r>
        <w:rPr>
          <w:sz w:val="24"/>
        </w:rPr>
      </w:r>
    </w:p>
    <w:p>
      <w:pPr>
        <w:pStyle w:val="0"/>
        <w:ind w:firstLine="540"/>
        <w:jc w:val="both"/>
      </w:pPr>
      <w:r>
        <w:rPr>
          <w:sz w:val="24"/>
        </w:rPr>
        <w:t xml:space="preserve">11.1. Электрооборудование, системы автоматизации, управления и технологического контроля систем противопожарного водоснабжения следует проектировать в соответствии с указаниями </w:t>
      </w:r>
      <w:hyperlink w:history="0" r:id="rId159"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60"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11.2. Категории надежности электроснабжения электроприемников сооружений систем водоснабжения следует определять по требованиям </w:t>
      </w:r>
      <w:hyperlink w:history="0" r:id="rId161"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Правил</w:t>
        </w:r>
      </w:hyperlink>
      <w:r>
        <w:rPr>
          <w:sz w:val="24"/>
        </w:rPr>
        <w:t xml:space="preserve"> устройства электроустановок </w:t>
      </w:r>
      <w:hyperlink w:history="0" w:anchor="P1138" w:tooltip="[3] Правила устройства электроустановок. Издание седьмое.">
        <w:r>
          <w:rPr>
            <w:sz w:val="24"/>
            <w:color w:val="0000ff"/>
          </w:rPr>
          <w:t xml:space="preserve">[3]</w:t>
        </w:r>
      </w:hyperlink>
      <w:r>
        <w:rPr>
          <w:sz w:val="24"/>
        </w:rPr>
        <w:t xml:space="preserve">.</w:t>
      </w:r>
    </w:p>
    <w:p>
      <w:pPr>
        <w:pStyle w:val="0"/>
        <w:spacing w:before="240" w:lineRule="auto"/>
        <w:ind w:firstLine="540"/>
        <w:jc w:val="both"/>
      </w:pPr>
      <w:r>
        <w:rPr>
          <w:sz w:val="24"/>
        </w:rPr>
        <w:t xml:space="preserve">Категория надежности электроснабжения насосной станции должна быть такой же, как категория насосной станции, принятая в соответствии с </w:t>
      </w:r>
      <w:hyperlink w:history="0" w:anchor="P957" w:tooltip="7.2. Насосные станции, подающие воду непосредственно в сеть противопожарного водопровода, следует относить к I категории.">
        <w:r>
          <w:rPr>
            <w:sz w:val="24"/>
            <w:color w:val="0000ff"/>
          </w:rPr>
          <w:t xml:space="preserve">пунктом 7.2</w:t>
        </w:r>
      </w:hyperlink>
      <w:r>
        <w:rPr>
          <w:sz w:val="24"/>
        </w:rPr>
        <w:t xml:space="preserve"> настоящего свода правил.</w:t>
      </w:r>
    </w:p>
    <w:bookmarkStart w:id="1105" w:name="P1105"/>
    <w:bookmarkEnd w:id="1105"/>
    <w:p>
      <w:pPr>
        <w:pStyle w:val="0"/>
        <w:spacing w:before="240" w:lineRule="auto"/>
        <w:ind w:firstLine="540"/>
        <w:jc w:val="both"/>
      </w:pPr>
      <w:r>
        <w:rPr>
          <w:sz w:val="24"/>
        </w:rPr>
        <w:t xml:space="preserve">11.3. Насосные станции должны проектироваться, как правило, без постоянного обслуживающего персонала с управлением:</w:t>
      </w:r>
    </w:p>
    <w:p>
      <w:pPr>
        <w:pStyle w:val="0"/>
        <w:spacing w:before="240" w:lineRule="auto"/>
        <w:ind w:firstLine="540"/>
        <w:jc w:val="both"/>
      </w:pPr>
      <w:r>
        <w:rPr>
          <w:sz w:val="24"/>
        </w:rPr>
        <w:t xml:space="preserve">автоматическим - в зависимости от технологических параметров (уровня воды в емкостях, давления или расхода воды в сети);</w:t>
      </w:r>
    </w:p>
    <w:p>
      <w:pPr>
        <w:pStyle w:val="0"/>
        <w:spacing w:before="240" w:lineRule="auto"/>
        <w:ind w:firstLine="540"/>
        <w:jc w:val="both"/>
      </w:pPr>
      <w:r>
        <w:rPr>
          <w:sz w:val="24"/>
        </w:rPr>
        <w:t xml:space="preserve">дистанционным (телемеханическим) - из пункта управления;</w:t>
      </w:r>
    </w:p>
    <w:p>
      <w:pPr>
        <w:pStyle w:val="0"/>
        <w:spacing w:before="240" w:lineRule="auto"/>
        <w:ind w:firstLine="540"/>
        <w:jc w:val="both"/>
      </w:pPr>
      <w:r>
        <w:rPr>
          <w:sz w:val="24"/>
        </w:rPr>
        <w:t xml:space="preserve">местным - периодически приходящим персоналом с передачей необходимых сигналов на пункт управления или пункт с постоянным присутствием обслуживающего персонала.</w:t>
      </w:r>
    </w:p>
    <w:p>
      <w:pPr>
        <w:pStyle w:val="0"/>
        <w:spacing w:before="240" w:lineRule="auto"/>
        <w:ind w:firstLine="540"/>
        <w:jc w:val="both"/>
      </w:pPr>
      <w:r>
        <w:rPr>
          <w:sz w:val="24"/>
        </w:rPr>
        <w:t xml:space="preserve">11.4. Управление пожарными насосами должно соответствовать требованиям </w:t>
      </w:r>
      <w:hyperlink w:history="0" w:anchor="P1105" w:tooltip="11.3. Насосные станции должны проектироваться, как правило, без постоянного обслуживающего персонала с управлением:">
        <w:r>
          <w:rPr>
            <w:sz w:val="24"/>
            <w:color w:val="0000ff"/>
          </w:rPr>
          <w:t xml:space="preserve">пункта 11.3</w:t>
        </w:r>
      </w:hyperlink>
      <w:r>
        <w:rPr>
          <w:sz w:val="24"/>
        </w:rPr>
        <w:t xml:space="preserve"> настоящего свода правил, при этом одновременно с включением пожарного насоса должна автоматически сниматься блокировка, исключающая возможность подачи неприкосновенного пожарного объема воды, а также должны выключаться промывные насосы (при их наличии). В противопожарных водопроводах высокого давления одновременно с включением пожарных насосов должны автоматически выключаться все насосы другого назначения и закрываться задвижки на подающем трубопроводе в водонапорную башню или напорные резервуары.</w:t>
      </w:r>
    </w:p>
    <w:p>
      <w:pPr>
        <w:pStyle w:val="0"/>
        <w:spacing w:before="240" w:lineRule="auto"/>
        <w:ind w:firstLine="540"/>
        <w:jc w:val="both"/>
      </w:pPr>
      <w:r>
        <w:rPr>
          <w:sz w:val="24"/>
        </w:rPr>
        <w:t xml:space="preserve">11.5. В резервуарах и баках с запасами воды на цели пожаротушения следует предусматривать измерение уровней воды и их контроль (при необходимости) для использования в системах автоматики или передачи сигналов в насосную станцию или пункт управления.</w:t>
      </w:r>
    </w:p>
    <w:p>
      <w:pPr>
        <w:pStyle w:val="0"/>
        <w:spacing w:before="240" w:lineRule="auto"/>
        <w:ind w:firstLine="540"/>
        <w:jc w:val="both"/>
      </w:pPr>
      <w:r>
        <w:rPr>
          <w:sz w:val="24"/>
        </w:rPr>
        <w:t xml:space="preserve">11.6. Оборудование насосных станций должно обеспечивать автоматическое информирование дежурного персонала о возникновении неисправности линий связи (контроль напряжения в цепях управления и сигнализации пожарных насосов) между техническими средствами, входящими в состав установки, посредством звуковой и (или) световой сигнализации.</w:t>
      </w:r>
    </w:p>
    <w:p>
      <w:pPr>
        <w:pStyle w:val="0"/>
        <w:spacing w:before="240" w:lineRule="auto"/>
        <w:ind w:firstLine="540"/>
        <w:jc w:val="both"/>
      </w:pPr>
      <w:r>
        <w:rPr>
          <w:sz w:val="24"/>
        </w:rPr>
        <w:t xml:space="preserve">11.7. Диспетчерское управление системой противопожарного водоснабжения должно обеспечиваться телефонной связью пункта управления с контролируемыми сооружениями, службами эксплуатации сооружений, диспетчером энергосистемы, организацией, эксплуатирующей водопровод и пожарной охраной.</w:t>
      </w:r>
    </w:p>
    <w:p>
      <w:pPr>
        <w:pStyle w:val="0"/>
        <w:jc w:val="both"/>
      </w:pPr>
      <w:r>
        <w:rPr>
          <w:sz w:val="24"/>
        </w:rPr>
      </w:r>
    </w:p>
    <w:p>
      <w:pPr>
        <w:pStyle w:val="2"/>
        <w:outlineLvl w:val="1"/>
        <w:ind w:firstLine="540"/>
        <w:jc w:val="both"/>
      </w:pPr>
      <w:r>
        <w:rPr>
          <w:sz w:val="24"/>
        </w:rPr>
        <w:t xml:space="preserve">12. Дополнительные требования к системам противопожарного водоснабжения в особых природных и климатических условиях</w:t>
      </w:r>
    </w:p>
    <w:p>
      <w:pPr>
        <w:pStyle w:val="0"/>
        <w:jc w:val="both"/>
      </w:pPr>
      <w:r>
        <w:rPr>
          <w:sz w:val="24"/>
        </w:rPr>
      </w:r>
    </w:p>
    <w:p>
      <w:pPr>
        <w:pStyle w:val="0"/>
        <w:ind w:firstLine="540"/>
        <w:jc w:val="both"/>
      </w:pPr>
      <w:r>
        <w:rPr>
          <w:sz w:val="24"/>
        </w:rPr>
        <w:t xml:space="preserve">12.1. Системы противопожарного водоснабжения в особых природных и климатических условиях следует проектировать в соответствии с указаниями </w:t>
      </w:r>
      <w:hyperlink w:history="0" r:id="rId162"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63"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12.2. В районах с сейсмичностью 8 баллов и более при проектировании систем противопожарного водоснабжения I категории и, как правило, II категории надлежит предусматривать использование не менее двух источников водоснабжения, допускается использование одного поверхностного источника с устройством водозаборов в двух створах, исключающих возможность одновременного перерыва подачи воды.</w:t>
      </w:r>
    </w:p>
    <w:p>
      <w:pPr>
        <w:pStyle w:val="0"/>
        <w:spacing w:before="240" w:lineRule="auto"/>
        <w:ind w:firstLine="540"/>
        <w:jc w:val="both"/>
      </w:pPr>
      <w:r>
        <w:rPr>
          <w:sz w:val="24"/>
        </w:rPr>
        <w:t xml:space="preserve">12.3. В системах противопожарного водоснабжения в районах с сейсмичностью 8 баллов и более при использовании одного источника водоснабжения (в том числе поверхностного при заборе воды в одном створе) в емкостях надлежит предусматривать пожарный объем воды в два раза больше определяемого в соответствии с </w:t>
      </w:r>
      <w:hyperlink w:history="0" w:anchor="P1043" w:tooltip="9.2. Пожарный объем воды в резервуарах определяется исходя из расчетного расхода воды на наружное пожаротушение и продолжительности тушения пожара согласно требованиям раздела 5 настоящего свода правил из условия обеспечения:">
        <w:r>
          <w:rPr>
            <w:sz w:val="24"/>
            <w:color w:val="0000ff"/>
          </w:rPr>
          <w:t xml:space="preserve">пунктом 9.2</w:t>
        </w:r>
      </w:hyperlink>
      <w:r>
        <w:rPr>
          <w:sz w:val="24"/>
        </w:rPr>
        <w:t xml:space="preserve"> настоящего свода правил.</w:t>
      </w:r>
    </w:p>
    <w:p>
      <w:pPr>
        <w:pStyle w:val="0"/>
        <w:spacing w:before="240" w:lineRule="auto"/>
        <w:ind w:firstLine="540"/>
        <w:jc w:val="both"/>
      </w:pPr>
      <w:r>
        <w:rPr>
          <w:sz w:val="24"/>
        </w:rPr>
        <w:t xml:space="preserve">12.4. Расчетное число одновременных пожаров в районах с сейсмичностью 9 баллов и более необходимо принимать на один больше, чем указано в </w:t>
      </w:r>
      <w:hyperlink w:history="0" w:anchor="P153" w:tooltip="5.1. Для расчета магистральных (расчетных кольцевых) линий водопроводной сети населенного пункта расход воды на наружное пожаротушение (на один пожар) и количество одновременных пожаров следует принимать по таблице 1. При этом принятое значение расхода воды на наружное пожаротушение должно быть не менее расхода воды для расчета соединительных и распределительных линий водопроводной сети населенного пункта, а также водопроводной сети внутри микрорайона или квартала в соответствии с пунктом 5.2 настоящего ...">
        <w:r>
          <w:rPr>
            <w:sz w:val="24"/>
            <w:color w:val="0000ff"/>
          </w:rPr>
          <w:t xml:space="preserve">пунктах 5.1</w:t>
        </w:r>
      </w:hyperlink>
      <w:r>
        <w:rPr>
          <w:sz w:val="24"/>
        </w:rPr>
        <w:t xml:space="preserve">, </w:t>
      </w:r>
      <w:hyperlink w:history="0" w:anchor="P917" w:tooltip="5.15. Расчетное количество одновременных пожаров на промышленном или сельскохозяйственном предприятии следует принимать в зависимости от занимаемой ими площади: один пожар - при площади до 150 га, два пожара - при площади более 150 га.">
        <w:r>
          <w:rPr>
            <w:sz w:val="24"/>
            <w:color w:val="0000ff"/>
          </w:rPr>
          <w:t xml:space="preserve">5.15</w:t>
        </w:r>
      </w:hyperlink>
      <w:r>
        <w:rPr>
          <w:sz w:val="24"/>
        </w:rPr>
        <w:t xml:space="preserve"> и </w:t>
      </w:r>
      <w:hyperlink w:history="0" w:anchor="P918" w:tooltip="5.16. При объединенном противопожарном водопроводе населенного пункта и промышленного или сельскохозяйственного предприятия, расположенных вне населенного пункта, расчетное количество одновременных пожаров следует принимать:">
        <w:r>
          <w:rPr>
            <w:sz w:val="24"/>
            <w:color w:val="0000ff"/>
          </w:rPr>
          <w:t xml:space="preserve">5.16</w:t>
        </w:r>
      </w:hyperlink>
      <w:r>
        <w:rPr>
          <w:sz w:val="24"/>
        </w:rPr>
        <w:t xml:space="preserve"> настоящего свода правил (за исключением населенных пунктов, предприятий и отдельно стоящих зданий при расходе воды на наружное пожаротушение не более 15 л/с).</w:t>
      </w:r>
    </w:p>
    <w:p>
      <w:pPr>
        <w:pStyle w:val="0"/>
        <w:spacing w:before="240" w:lineRule="auto"/>
        <w:ind w:firstLine="540"/>
        <w:jc w:val="both"/>
      </w:pPr>
      <w:r>
        <w:rPr>
          <w:sz w:val="24"/>
        </w:rPr>
        <w:t xml:space="preserve">12.5. В районах с сейсмичностью 7 баллов и более для повышения надежности работы систем противопожарного водоснабжения следует рассматривать возможность: рассредоточения напорных резервуаров; замены водонапорных башен напорными резервуарами; устройства перемычек между сетями хозяйственно-питьевого, производственного и противопожарного водопровода, а также подачи необработанной обеззараженной воды в сеть противопожарного водопровода в порядке, установленном </w:t>
      </w:r>
      <w:hyperlink w:history="0" r:id="rId164" w:tooltip="&quot;СП 31.13330.2012. Свод правил. Водоснабжение. Наружные сети и сооружения. Актуализированная редакция СНиП 2.04.02-84*&quot; (утв. Приказом Минрегиона России от 29.12.2011 N 635/14) (ред. от 23.12.2019) ------------ Утратил силу или отменен {КонсультантПлюс}">
        <w:r>
          <w:rPr>
            <w:sz w:val="24"/>
            <w:color w:val="0000ff"/>
          </w:rPr>
          <w:t xml:space="preserve">СП 31.13330</w:t>
        </w:r>
      </w:hyperlink>
      <w:r>
        <w:rPr>
          <w:sz w:val="24"/>
        </w:rPr>
        <w:t xml:space="preserve">.</w:t>
      </w:r>
    </w:p>
    <w:p>
      <w:pPr>
        <w:pStyle w:val="0"/>
        <w:jc w:val="both"/>
      </w:pPr>
      <w:r>
        <w:rPr>
          <w:sz w:val="24"/>
        </w:rPr>
        <w:t xml:space="preserve">(в ред. </w:t>
      </w:r>
      <w:hyperlink w:history="0" r:id="rId165"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Приказа</w:t>
        </w:r>
      </w:hyperlink>
      <w:r>
        <w:rPr>
          <w:sz w:val="24"/>
        </w:rPr>
        <w:t xml:space="preserve"> МЧС России от 25.12.2023 N 1329)</w:t>
      </w:r>
    </w:p>
    <w:p>
      <w:pPr>
        <w:pStyle w:val="0"/>
        <w:spacing w:before="240" w:lineRule="auto"/>
        <w:ind w:firstLine="540"/>
        <w:jc w:val="both"/>
      </w:pPr>
      <w:r>
        <w:rPr>
          <w:sz w:val="24"/>
        </w:rPr>
        <w:t xml:space="preserve">12.6. В районах с сейсмичностью 7 баллов и более насосные станции противопожарного водопровода не допускается блокировать с производственными зданиями и сооружениями.</w:t>
      </w:r>
    </w:p>
    <w:p>
      <w:pPr>
        <w:pStyle w:val="0"/>
        <w:spacing w:before="240" w:lineRule="auto"/>
        <w:ind w:firstLine="540"/>
        <w:jc w:val="both"/>
      </w:pPr>
      <w:r>
        <w:rPr>
          <w:sz w:val="24"/>
        </w:rPr>
        <w:t xml:space="preserve">При блокировке насосных станций со зданиями и сооружениями необходимо предусматривать мероприятия, исключающие возможность затопления машинных залов и помещений электроустройств при нарушении герметичности емкостных сооружений.</w:t>
      </w:r>
    </w:p>
    <w:p>
      <w:pPr>
        <w:pStyle w:val="0"/>
        <w:spacing w:before="240" w:lineRule="auto"/>
        <w:ind w:firstLine="540"/>
        <w:jc w:val="both"/>
      </w:pPr>
      <w:r>
        <w:rPr>
          <w:sz w:val="24"/>
        </w:rPr>
        <w:t xml:space="preserve">12.7. В районах с сейсмичностью 7 баллов и более количество резервуаров с пожарным объемом воды в одном узле должно быть не менее двух, при этом соединение каждого резервуара с подающими и отводящими трубопроводами должно быть самостоятельным без устройства между соседними резервуарами общей камеры переключения.</w:t>
      </w:r>
    </w:p>
    <w:p>
      <w:pPr>
        <w:pStyle w:val="0"/>
        <w:spacing w:before="240" w:lineRule="auto"/>
        <w:ind w:firstLine="540"/>
        <w:jc w:val="both"/>
      </w:pPr>
      <w:r>
        <w:rPr>
          <w:sz w:val="24"/>
        </w:rPr>
        <w:t xml:space="preserve">12.8. При проектировании наружного противопожарного водоснабжения в районах с многолетнемерзлыми грунтами предохранение транспортируемой воды от замерзания предусматривается одним или несколькими способами: тепловая изоляция трубопроводов; подогрев воды; подогрев трубопроводов; непрерывное движение воды в трубопроводах; повышение гидродинамического трения в трубопроводах; применение стальной арматуры в исполнении, устойчивом от замерзания; установка автоматических выпусков воды.</w:t>
      </w:r>
    </w:p>
    <w:p>
      <w:pPr>
        <w:pStyle w:val="0"/>
        <w:spacing w:before="240" w:lineRule="auto"/>
        <w:ind w:firstLine="540"/>
        <w:jc w:val="both"/>
      </w:pPr>
      <w:r>
        <w:rPr>
          <w:sz w:val="24"/>
        </w:rPr>
        <w:t xml:space="preserve">Резервуары вместимостью до 100 м</w:t>
      </w:r>
      <w:r>
        <w:rPr>
          <w:sz w:val="24"/>
          <w:vertAlign w:val="superscript"/>
        </w:rPr>
        <w:t xml:space="preserve">3</w:t>
      </w:r>
      <w:r>
        <w:rPr>
          <w:sz w:val="24"/>
        </w:rPr>
        <w:t xml:space="preserve"> допускается размещать в отапливаемых помещениях с устройством вентилируемого подполья.</w:t>
      </w:r>
    </w:p>
    <w:p>
      <w:pPr>
        <w:pStyle w:val="0"/>
        <w:spacing w:before="240" w:lineRule="auto"/>
        <w:ind w:firstLine="540"/>
        <w:jc w:val="both"/>
      </w:pPr>
      <w:r>
        <w:rPr>
          <w:sz w:val="24"/>
        </w:rPr>
        <w:t xml:space="preserve">12.9. В районах с многолетнемерзлыми грунтами минимальная температура воды в водоводах и сетях должна определяться теплотехническими расчетами, при этом допускается принимать колебание температуры в интервале от нескольких долей градуса до нескольких градусов (3 - 5 °C).</w:t>
      </w:r>
    </w:p>
    <w:p>
      <w:pPr>
        <w:pStyle w:val="0"/>
        <w:spacing w:before="240" w:lineRule="auto"/>
        <w:ind w:firstLine="540"/>
        <w:jc w:val="both"/>
      </w:pPr>
      <w:r>
        <w:rPr>
          <w:sz w:val="24"/>
        </w:rPr>
        <w:t xml:space="preserve">При отсутствии теплотехнических расчетов температуру воды в концевых участках сети и водоводов допускается принимать для труб диаметром:</w:t>
      </w:r>
    </w:p>
    <w:p>
      <w:pPr>
        <w:pStyle w:val="0"/>
        <w:spacing w:before="240" w:lineRule="auto"/>
        <w:ind w:firstLine="540"/>
        <w:jc w:val="both"/>
      </w:pPr>
      <w:r>
        <w:rPr>
          <w:sz w:val="24"/>
        </w:rPr>
        <w:t xml:space="preserve">до 300 мм - не менее 5 °C;</w:t>
      </w:r>
    </w:p>
    <w:p>
      <w:pPr>
        <w:pStyle w:val="0"/>
        <w:spacing w:before="240" w:lineRule="auto"/>
        <w:ind w:firstLine="540"/>
        <w:jc w:val="both"/>
      </w:pPr>
      <w:r>
        <w:rPr>
          <w:sz w:val="24"/>
        </w:rPr>
        <w:t xml:space="preserve">свыше 300 мм - не менее 3 °C.</w:t>
      </w:r>
    </w:p>
    <w:p>
      <w:pPr>
        <w:pStyle w:val="0"/>
        <w:spacing w:before="240" w:lineRule="auto"/>
        <w:ind w:firstLine="540"/>
        <w:jc w:val="both"/>
      </w:pPr>
      <w:r>
        <w:rPr>
          <w:sz w:val="24"/>
        </w:rPr>
        <w:t xml:space="preserve">12.10. Пожарные гидранты специальной конструкции для районов с многолетнемерзлыми грунтами надлежит располагать на магистральных участках сети.</w:t>
      </w:r>
    </w:p>
    <w:p>
      <w:pPr>
        <w:pStyle w:val="0"/>
        <w:jc w:val="both"/>
      </w:pPr>
      <w:r>
        <w:rPr>
          <w:sz w:val="24"/>
        </w:rPr>
      </w:r>
    </w:p>
    <w:p>
      <w:pPr>
        <w:pStyle w:val="2"/>
        <w:outlineLvl w:val="1"/>
        <w:ind w:firstLine="540"/>
        <w:jc w:val="both"/>
      </w:pPr>
      <w:r>
        <w:rPr>
          <w:sz w:val="24"/>
        </w:rPr>
        <w:t xml:space="preserve">Библиография</w:t>
      </w:r>
    </w:p>
    <w:p>
      <w:pPr>
        <w:pStyle w:val="0"/>
        <w:jc w:val="both"/>
      </w:pPr>
      <w:r>
        <w:rPr>
          <w:sz w:val="24"/>
        </w:rPr>
      </w:r>
    </w:p>
    <w:bookmarkStart w:id="1136" w:name="P1136"/>
    <w:bookmarkEnd w:id="1136"/>
    <w:p>
      <w:pPr>
        <w:pStyle w:val="0"/>
        <w:ind w:firstLine="540"/>
        <w:jc w:val="both"/>
      </w:pPr>
      <w:r>
        <w:rPr>
          <w:sz w:val="24"/>
        </w:rPr>
        <w:t xml:space="preserve">[1] Федеральный </w:t>
      </w:r>
      <w:hyperlink w:history="0" r:id="rId166"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spacing w:before="240" w:lineRule="auto"/>
        <w:ind w:firstLine="540"/>
        <w:jc w:val="both"/>
      </w:pPr>
      <w:r>
        <w:rPr>
          <w:sz w:val="24"/>
        </w:rPr>
        <w:t xml:space="preserve">Абзац исключен с 1 марта 2024 года. - </w:t>
      </w:r>
      <w:hyperlink w:history="0" r:id="rId167" w:tooltip="Приказ МЧС России от 25.12.2023 N 1329 &quot;Об утверждении изменения N 1 к своду правил СП 8.13130.202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Приказ</w:t>
        </w:r>
      </w:hyperlink>
      <w:r>
        <w:rPr>
          <w:sz w:val="24"/>
        </w:rPr>
        <w:t xml:space="preserve"> МЧС России от 25.12.2023 N 1329.</w:t>
      </w:r>
    </w:p>
    <w:bookmarkStart w:id="1138" w:name="P1138"/>
    <w:bookmarkEnd w:id="1138"/>
    <w:p>
      <w:pPr>
        <w:pStyle w:val="0"/>
        <w:spacing w:before="240" w:lineRule="auto"/>
        <w:ind w:firstLine="540"/>
        <w:jc w:val="both"/>
      </w:pPr>
      <w:r>
        <w:rPr>
          <w:sz w:val="24"/>
        </w:rPr>
        <w:t xml:space="preserve">[3] </w:t>
      </w:r>
      <w:hyperlink w:history="0" r:id="rId168"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Правила</w:t>
        </w:r>
      </w:hyperlink>
      <w:r>
        <w:rPr>
          <w:sz w:val="24"/>
        </w:rPr>
        <w:t xml:space="preserve"> устройства электроустановок. Издание седьмое.</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30.03.2020 N 225</w:t>
            <w:br/>
            <w:t>(ред. от 25.12.2023)</w:t>
            <w:br/>
            <w:t>"Об утверждении свода правил СП 8.13130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30.03.2020 N 225</w:t>
            <w:br/>
            <w:t>(ред. от 25.12.2023)</w:t>
            <w:br/>
            <w:t>"Об утверждении свода правил СП 8.13130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71707&amp;date=03.04.2026&amp;dst=100005&amp;field=134" TargetMode = "External"/><Relationship Id="rId9" Type="http://schemas.openxmlformats.org/officeDocument/2006/relationships/hyperlink" Target="https://login.consultant.ru/link/?req=doc&amp;base=LAW&amp;n=511695&amp;date=03.04.2026&amp;dst=100991&amp;field=134" TargetMode = "External"/><Relationship Id="rId10" Type="http://schemas.openxmlformats.org/officeDocument/2006/relationships/hyperlink" Target="https://login.consultant.ru/link/?req=doc&amp;base=LAW&amp;n=528553&amp;date=03.04.2026&amp;dst=100156&amp;field=134" TargetMode = "External"/><Relationship Id="rId11" Type="http://schemas.openxmlformats.org/officeDocument/2006/relationships/hyperlink" Target="https://login.consultant.ru/link/?req=doc&amp;base=LAW&amp;n=501774&amp;date=03.04.2026&amp;dst=100010&amp;field=134" TargetMode = "External"/><Relationship Id="rId12" Type="http://schemas.openxmlformats.org/officeDocument/2006/relationships/hyperlink" Target="https://login.consultant.ru/link/?req=doc&amp;base=LAW&amp;n=109993&amp;date=03.04.2026" TargetMode = "External"/><Relationship Id="rId13" Type="http://schemas.openxmlformats.org/officeDocument/2006/relationships/hyperlink" Target="https://login.consultant.ru/link/?req=doc&amp;base=LAW&amp;n=109980&amp;date=03.04.2026" TargetMode = "External"/><Relationship Id="rId14" Type="http://schemas.openxmlformats.org/officeDocument/2006/relationships/hyperlink" Target="https://login.consultant.ru/link/?req=doc&amp;base=LAW&amp;n=471707&amp;date=03.04.2026&amp;dst=100005&amp;field=134" TargetMode = "External"/><Relationship Id="rId15" Type="http://schemas.openxmlformats.org/officeDocument/2006/relationships/hyperlink" Target="https://login.consultant.ru/link/?req=doc&amp;base=LAW&amp;n=372899&amp;date=03.04.2026" TargetMode = "External"/><Relationship Id="rId16" Type="http://schemas.openxmlformats.org/officeDocument/2006/relationships/hyperlink" Target="https://login.consultant.ru/link/?req=doc&amp;base=LAW&amp;n=501774&amp;date=03.04.2026&amp;dst=100010&amp;field=134" TargetMode = "External"/><Relationship Id="rId17" Type="http://schemas.openxmlformats.org/officeDocument/2006/relationships/hyperlink" Target="https://login.consultant.ru/link/?req=doc&amp;base=LAW&amp;n=109993&amp;date=03.04.2026" TargetMode = "External"/><Relationship Id="rId18" Type="http://schemas.openxmlformats.org/officeDocument/2006/relationships/hyperlink" Target="www.gost.ru" TargetMode = "External"/><Relationship Id="rId19" Type="http://schemas.openxmlformats.org/officeDocument/2006/relationships/hyperlink" Target="https://login.consultant.ru/link/?req=doc&amp;base=LAW&amp;n=511695&amp;date=03.04.2026&amp;dst=100586&amp;field=134" TargetMode = "External"/><Relationship Id="rId20" Type="http://schemas.openxmlformats.org/officeDocument/2006/relationships/hyperlink" Target="https://login.consultant.ru/link/?req=doc&amp;base=LAW&amp;n=511695&amp;date=03.04.2026&amp;dst=100650&amp;field=134" TargetMode = "External"/><Relationship Id="rId21" Type="http://schemas.openxmlformats.org/officeDocument/2006/relationships/hyperlink" Target="https://login.consultant.ru/link/?req=doc&amp;base=LAW&amp;n=511695&amp;date=03.04.2026&amp;dst=100991&amp;field=134" TargetMode = "External"/><Relationship Id="rId22" Type="http://schemas.openxmlformats.org/officeDocument/2006/relationships/hyperlink" Target="https://login.consultant.ru/link/?req=doc&amp;base=LAW&amp;n=471707&amp;date=03.04.2026&amp;dst=100014&amp;field=134" TargetMode = "External"/><Relationship Id="rId23" Type="http://schemas.openxmlformats.org/officeDocument/2006/relationships/hyperlink" Target="https://login.consultant.ru/link/?req=doc&amp;base=LAW&amp;n=471707&amp;date=03.04.2026&amp;dst=100015&amp;field=134" TargetMode = "External"/><Relationship Id="rId24" Type="http://schemas.openxmlformats.org/officeDocument/2006/relationships/hyperlink" Target="https://login.consultant.ru/link/?req=doc&amp;base=LAW&amp;n=471707&amp;date=03.04.2026&amp;dst=100017&amp;field=134" TargetMode = "External"/><Relationship Id="rId25" Type="http://schemas.openxmlformats.org/officeDocument/2006/relationships/hyperlink" Target="https://login.consultant.ru/link/?req=doc&amp;base=LAW&amp;n=471707&amp;date=03.04.2026&amp;dst=100018&amp;field=134" TargetMode = "External"/><Relationship Id="rId26" Type="http://schemas.openxmlformats.org/officeDocument/2006/relationships/hyperlink" Target="https://login.consultant.ru/link/?req=doc&amp;base=LAW&amp;n=365651&amp;date=03.04.2026&amp;dst=100015&amp;field=134" TargetMode = "External"/><Relationship Id="rId27" Type="http://schemas.openxmlformats.org/officeDocument/2006/relationships/hyperlink" Target="https://login.consultant.ru/link/?req=doc&amp;base=LAW&amp;n=524773&amp;date=03.04.2026&amp;dst=100014&amp;field=134" TargetMode = "External"/><Relationship Id="rId28" Type="http://schemas.openxmlformats.org/officeDocument/2006/relationships/hyperlink" Target="https://login.consultant.ru/link/?req=doc&amp;base=LAW&amp;n=507905&amp;date=03.04.2026&amp;dst=100013&amp;field=134" TargetMode = "External"/><Relationship Id="rId29" Type="http://schemas.openxmlformats.org/officeDocument/2006/relationships/hyperlink" Target="https://login.consultant.ru/link/?req=doc&amp;base=LAW&amp;n=471707&amp;date=03.04.2026&amp;dst=100019&amp;field=134" TargetMode = "External"/><Relationship Id="rId30" Type="http://schemas.openxmlformats.org/officeDocument/2006/relationships/hyperlink" Target="https://login.consultant.ru/link/?req=doc&amp;base=LAW&amp;n=471707&amp;date=03.04.2026&amp;dst=100021&amp;field=134" TargetMode = "External"/><Relationship Id="rId31" Type="http://schemas.openxmlformats.org/officeDocument/2006/relationships/hyperlink" Target="https://login.consultant.ru/link/?req=doc&amp;base=OTN&amp;n=2357&amp;date=03.04.2026" TargetMode = "External"/><Relationship Id="rId32" Type="http://schemas.openxmlformats.org/officeDocument/2006/relationships/hyperlink" Target="https://login.consultant.ru/link/?req=doc&amp;base=STR&amp;n=7036&amp;date=03.04.2026" TargetMode = "External"/><Relationship Id="rId33" Type="http://schemas.openxmlformats.org/officeDocument/2006/relationships/hyperlink" Target="https://login.consultant.ru/link/?req=doc&amp;base=STR&amp;n=8128&amp;date=03.04.2026" TargetMode = "External"/><Relationship Id="rId34" Type="http://schemas.openxmlformats.org/officeDocument/2006/relationships/hyperlink" Target="https://login.consultant.ru/link/?req=doc&amp;base=OTN&amp;n=44208&amp;date=03.04.2026" TargetMode = "External"/><Relationship Id="rId35" Type="http://schemas.openxmlformats.org/officeDocument/2006/relationships/hyperlink" Target="https://login.consultant.ru/link/?req=doc&amp;base=LAW&amp;n=471707&amp;date=03.04.2026&amp;dst=100023&amp;field=134" TargetMode = "External"/><Relationship Id="rId36" Type="http://schemas.openxmlformats.org/officeDocument/2006/relationships/hyperlink" Target="https://login.consultant.ru/link/?req=doc&amp;base=LAW&amp;n=365651&amp;date=03.04.2026&amp;dst=100015&amp;field=134" TargetMode = "External"/><Relationship Id="rId37" Type="http://schemas.openxmlformats.org/officeDocument/2006/relationships/hyperlink" Target="https://login.consultant.ru/link/?req=doc&amp;base=LAW&amp;n=471707&amp;date=03.04.2026&amp;dst=100024&amp;field=134" TargetMode = "External"/><Relationship Id="rId38" Type="http://schemas.openxmlformats.org/officeDocument/2006/relationships/hyperlink" Target="https://login.consultant.ru/link/?req=doc&amp;base=STR&amp;n=36788&amp;date=03.04.2026" TargetMode = "External"/><Relationship Id="rId39" Type="http://schemas.openxmlformats.org/officeDocument/2006/relationships/hyperlink" Target="https://login.consultant.ru/link/?req=doc&amp;base=LAW&amp;n=471707&amp;date=03.04.2026&amp;dst=100026&amp;field=134" TargetMode = "External"/><Relationship Id="rId40" Type="http://schemas.openxmlformats.org/officeDocument/2006/relationships/hyperlink" Target="https://login.consultant.ru/link/?req=doc&amp;base=STR&amp;n=36480&amp;date=03.04.2026" TargetMode = "External"/><Relationship Id="rId41" Type="http://schemas.openxmlformats.org/officeDocument/2006/relationships/hyperlink" Target="https://login.consultant.ru/link/?req=doc&amp;base=STR&amp;n=24868&amp;date=03.04.2026" TargetMode = "External"/><Relationship Id="rId42" Type="http://schemas.openxmlformats.org/officeDocument/2006/relationships/hyperlink" Target="https://login.consultant.ru/link/?req=doc&amp;base=STR&amp;n=20633&amp;date=03.04.2026" TargetMode = "External"/><Relationship Id="rId43" Type="http://schemas.openxmlformats.org/officeDocument/2006/relationships/hyperlink" Target="https://login.consultant.ru/link/?req=doc&amp;base=STR&amp;n=34858&amp;date=03.04.2026" TargetMode = "External"/><Relationship Id="rId44" Type="http://schemas.openxmlformats.org/officeDocument/2006/relationships/hyperlink" Target="https://login.consultant.ru/link/?req=doc&amp;base=LAW&amp;n=471707&amp;date=03.04.2026&amp;dst=100028&amp;field=134" TargetMode = "External"/><Relationship Id="rId45" Type="http://schemas.openxmlformats.org/officeDocument/2006/relationships/hyperlink" Target="https://login.consultant.ru/link/?req=doc&amp;base=STR&amp;n=25094&amp;date=03.04.2026" TargetMode = "External"/><Relationship Id="rId46" Type="http://schemas.openxmlformats.org/officeDocument/2006/relationships/hyperlink" Target="https://login.consultant.ru/link/?req=doc&amp;base=LAW&amp;n=471707&amp;date=03.04.2026&amp;dst=100030&amp;field=134" TargetMode = "External"/><Relationship Id="rId47" Type="http://schemas.openxmlformats.org/officeDocument/2006/relationships/hyperlink" Target="https://login.consultant.ru/link/?req=doc&amp;base=LAW&amp;n=524773&amp;date=03.04.2026&amp;dst=100014&amp;field=134" TargetMode = "External"/><Relationship Id="rId48" Type="http://schemas.openxmlformats.org/officeDocument/2006/relationships/hyperlink" Target="https://login.consultant.ru/link/?req=doc&amp;base=LAW&amp;n=471707&amp;date=03.04.2026&amp;dst=100032&amp;field=134" TargetMode = "External"/><Relationship Id="rId49" Type="http://schemas.openxmlformats.org/officeDocument/2006/relationships/hyperlink" Target="https://login.consultant.ru/link/?req=doc&amp;base=LAW&amp;n=507905&amp;date=03.04.2026&amp;dst=100013&amp;field=134" TargetMode = "External"/><Relationship Id="rId50" Type="http://schemas.openxmlformats.org/officeDocument/2006/relationships/hyperlink" Target="https://login.consultant.ru/link/?req=doc&amp;base=LAW&amp;n=471707&amp;date=03.04.2026&amp;dst=100033&amp;field=134" TargetMode = "External"/><Relationship Id="rId51" Type="http://schemas.openxmlformats.org/officeDocument/2006/relationships/hyperlink" Target="https://login.consultant.ru/link/?req=doc&amp;base=STR&amp;n=7036&amp;date=03.04.2026" TargetMode = "External"/><Relationship Id="rId52" Type="http://schemas.openxmlformats.org/officeDocument/2006/relationships/hyperlink" Target="https://login.consultant.ru/link/?req=doc&amp;base=LAW&amp;n=471707&amp;date=03.04.2026&amp;dst=100035&amp;field=134" TargetMode = "External"/><Relationship Id="rId53" Type="http://schemas.openxmlformats.org/officeDocument/2006/relationships/hyperlink" Target="https://login.consultant.ru/link/?req=doc&amp;base=STR&amp;n=7036&amp;date=03.04.2026" TargetMode = "External"/><Relationship Id="rId54" Type="http://schemas.openxmlformats.org/officeDocument/2006/relationships/hyperlink" Target="https://login.consultant.ru/link/?req=doc&amp;base=LAW&amp;n=471707&amp;date=03.04.2026&amp;dst=100036&amp;field=134" TargetMode = "External"/><Relationship Id="rId55" Type="http://schemas.openxmlformats.org/officeDocument/2006/relationships/hyperlink" Target="https://login.consultant.ru/link/?req=doc&amp;base=STR&amp;n=7036&amp;date=03.04.2026" TargetMode = "External"/><Relationship Id="rId56" Type="http://schemas.openxmlformats.org/officeDocument/2006/relationships/hyperlink" Target="https://login.consultant.ru/link/?req=doc&amp;base=LAW&amp;n=471707&amp;date=03.04.2026&amp;dst=100038&amp;field=134" TargetMode = "External"/><Relationship Id="rId57" Type="http://schemas.openxmlformats.org/officeDocument/2006/relationships/hyperlink" Target="https://login.consultant.ru/link/?req=doc&amp;base=STR&amp;n=7036&amp;date=03.04.2026" TargetMode = "External"/><Relationship Id="rId58" Type="http://schemas.openxmlformats.org/officeDocument/2006/relationships/hyperlink" Target="https://login.consultant.ru/link/?req=doc&amp;base=LAW&amp;n=471707&amp;date=03.04.2026&amp;dst=100040&amp;field=134" TargetMode = "External"/><Relationship Id="rId59" Type="http://schemas.openxmlformats.org/officeDocument/2006/relationships/hyperlink" Target="https://login.consultant.ru/link/?req=doc&amp;base=LAW&amp;n=471707&amp;date=03.04.2026&amp;dst=100043&amp;field=134" TargetMode = "External"/><Relationship Id="rId60" Type="http://schemas.openxmlformats.org/officeDocument/2006/relationships/hyperlink" Target="https://login.consultant.ru/link/?req=doc&amp;base=LAW&amp;n=471707&amp;date=03.04.2026&amp;dst=100045&amp;field=134" TargetMode = "External"/><Relationship Id="rId61" Type="http://schemas.openxmlformats.org/officeDocument/2006/relationships/hyperlink" Target="https://login.consultant.ru/link/?req=doc&amp;base=LAW&amp;n=471707&amp;date=03.04.2026&amp;dst=100047&amp;field=134" TargetMode = "External"/><Relationship Id="rId62" Type="http://schemas.openxmlformats.org/officeDocument/2006/relationships/hyperlink" Target="https://login.consultant.ru/link/?req=doc&amp;base=LAW&amp;n=471707&amp;date=03.04.2026&amp;dst=100049&amp;field=134" TargetMode = "External"/><Relationship Id="rId63" Type="http://schemas.openxmlformats.org/officeDocument/2006/relationships/hyperlink" Target="https://login.consultant.ru/link/?req=doc&amp;base=LAW&amp;n=471707&amp;date=03.04.2026&amp;dst=100051&amp;field=134" TargetMode = "External"/><Relationship Id="rId64" Type="http://schemas.openxmlformats.org/officeDocument/2006/relationships/hyperlink" Target="https://login.consultant.ru/link/?req=doc&amp;base=STR&amp;n=25403&amp;date=03.04.2026" TargetMode = "External"/><Relationship Id="rId65" Type="http://schemas.openxmlformats.org/officeDocument/2006/relationships/hyperlink" Target="https://login.consultant.ru/link/?req=doc&amp;base=LAW&amp;n=471707&amp;date=03.04.2026&amp;dst=100053&amp;field=134" TargetMode = "External"/><Relationship Id="rId66" Type="http://schemas.openxmlformats.org/officeDocument/2006/relationships/hyperlink" Target="https://login.consultant.ru/link/?req=doc&amp;base=LAW&amp;n=471707&amp;date=03.04.2026&amp;dst=100055&amp;field=134" TargetMode = "External"/><Relationship Id="rId67" Type="http://schemas.openxmlformats.org/officeDocument/2006/relationships/header" Target="header2.xml"/><Relationship Id="rId68" Type="http://schemas.openxmlformats.org/officeDocument/2006/relationships/footer" Target="footer2.xml"/><Relationship Id="rId69" Type="http://schemas.openxmlformats.org/officeDocument/2006/relationships/hyperlink" Target="https://login.consultant.ru/link/?req=doc&amp;base=LAW&amp;n=471707&amp;date=03.04.2026&amp;dst=100056&amp;field=134" TargetMode = "External"/><Relationship Id="rId70" Type="http://schemas.openxmlformats.org/officeDocument/2006/relationships/hyperlink" Target="https://login.consultant.ru/link/?req=doc&amp;base=LAW&amp;n=471707&amp;date=03.04.2026&amp;dst=100057&amp;field=134" TargetMode = "External"/><Relationship Id="rId71" Type="http://schemas.openxmlformats.org/officeDocument/2006/relationships/hyperlink" Target="https://login.consultant.ru/link/?req=doc&amp;base=LAW&amp;n=471707&amp;date=03.04.2026&amp;dst=100173&amp;field=134" TargetMode = "External"/><Relationship Id="rId72" Type="http://schemas.openxmlformats.org/officeDocument/2006/relationships/hyperlink" Target="https://login.consultant.ru/link/?req=doc&amp;base=LAW&amp;n=471707&amp;date=03.04.2026&amp;dst=100182&amp;field=134" TargetMode = "External"/><Relationship Id="rId73" Type="http://schemas.openxmlformats.org/officeDocument/2006/relationships/hyperlink" Target="https://login.consultant.ru/link/?req=doc&amp;base=LAW&amp;n=471707&amp;date=03.04.2026&amp;dst=100184&amp;field=134" TargetMode = "External"/><Relationship Id="rId74" Type="http://schemas.openxmlformats.org/officeDocument/2006/relationships/hyperlink" Target="https://login.consultant.ru/link/?req=doc&amp;base=LAW&amp;n=471707&amp;date=03.04.2026&amp;dst=100358&amp;field=134" TargetMode = "External"/><Relationship Id="rId75" Type="http://schemas.openxmlformats.org/officeDocument/2006/relationships/hyperlink" Target="https://login.consultant.ru/link/?req=doc&amp;base=LAW&amp;n=471707&amp;date=03.04.2026&amp;dst=100520&amp;field=134" TargetMode = "External"/><Relationship Id="rId76" Type="http://schemas.openxmlformats.org/officeDocument/2006/relationships/hyperlink" Target="https://login.consultant.ru/link/?req=doc&amp;base=LAW&amp;n=471707&amp;date=03.04.2026&amp;dst=100522&amp;field=134" TargetMode = "External"/><Relationship Id="rId77" Type="http://schemas.openxmlformats.org/officeDocument/2006/relationships/hyperlink" Target="https://login.consultant.ru/link/?req=doc&amp;base=LAW&amp;n=471707&amp;date=03.04.2026&amp;dst=100523&amp;field=134" TargetMode = "External"/><Relationship Id="rId78" Type="http://schemas.openxmlformats.org/officeDocument/2006/relationships/hyperlink" Target="https://login.consultant.ru/link/?req=doc&amp;base=LAW&amp;n=471707&amp;date=03.04.2026&amp;dst=100523&amp;field=134" TargetMode = "External"/><Relationship Id="rId79" Type="http://schemas.openxmlformats.org/officeDocument/2006/relationships/hyperlink" Target="https://login.consultant.ru/link/?req=doc&amp;base=LAW&amp;n=471707&amp;date=03.04.2026&amp;dst=100524&amp;field=134" TargetMode = "External"/><Relationship Id="rId80" Type="http://schemas.openxmlformats.org/officeDocument/2006/relationships/hyperlink" Target="https://login.consultant.ru/link/?req=doc&amp;base=LAW&amp;n=471707&amp;date=03.04.2026&amp;dst=100526&amp;field=134" TargetMode = "External"/><Relationship Id="rId81" Type="http://schemas.openxmlformats.org/officeDocument/2006/relationships/hyperlink" Target="https://login.consultant.ru/link/?req=doc&amp;base=LAW&amp;n=471707&amp;date=03.04.2026&amp;dst=100527&amp;field=134" TargetMode = "External"/><Relationship Id="rId82" Type="http://schemas.openxmlformats.org/officeDocument/2006/relationships/hyperlink" Target="https://login.consultant.ru/link/?req=doc&amp;base=LAW&amp;n=465997&amp;date=03.04.2026&amp;dst=100181&amp;field=134" TargetMode = "External"/><Relationship Id="rId83" Type="http://schemas.openxmlformats.org/officeDocument/2006/relationships/hyperlink" Target="https://login.consultant.ru/link/?req=doc&amp;base=LAW&amp;n=471707&amp;date=03.04.2026&amp;dst=100528&amp;field=134" TargetMode = "External"/><Relationship Id="rId84" Type="http://schemas.openxmlformats.org/officeDocument/2006/relationships/hyperlink" Target="https://login.consultant.ru/link/?req=doc&amp;base=LAW&amp;n=471707&amp;date=03.04.2026&amp;dst=100530&amp;field=134" TargetMode = "External"/><Relationship Id="rId85" Type="http://schemas.openxmlformats.org/officeDocument/2006/relationships/hyperlink" Target="https://login.consultant.ru/link/?req=doc&amp;base=STR&amp;n=20633&amp;date=03.04.2026" TargetMode = "External"/><Relationship Id="rId86" Type="http://schemas.openxmlformats.org/officeDocument/2006/relationships/hyperlink" Target="https://login.consultant.ru/link/?req=doc&amp;base=STR&amp;n=25094&amp;date=03.04.2026" TargetMode = "External"/><Relationship Id="rId87" Type="http://schemas.openxmlformats.org/officeDocument/2006/relationships/hyperlink" Target="https://login.consultant.ru/link/?req=doc&amp;base=LAW&amp;n=471707&amp;date=03.04.2026&amp;dst=100531&amp;field=134" TargetMode = "External"/><Relationship Id="rId88" Type="http://schemas.openxmlformats.org/officeDocument/2006/relationships/hyperlink" Target="https://login.consultant.ru/link/?req=doc&amp;base=LAW&amp;n=471707&amp;date=03.04.2026&amp;dst=100532&amp;field=134" TargetMode = "External"/><Relationship Id="rId89" Type="http://schemas.openxmlformats.org/officeDocument/2006/relationships/hyperlink" Target="https://login.consultant.ru/link/?req=doc&amp;base=STR&amp;n=36480&amp;date=03.04.2026" TargetMode = "External"/><Relationship Id="rId90" Type="http://schemas.openxmlformats.org/officeDocument/2006/relationships/hyperlink" Target="https://login.consultant.ru/link/?req=doc&amp;base=STR&amp;n=25094&amp;date=03.04.2026" TargetMode = "External"/><Relationship Id="rId91" Type="http://schemas.openxmlformats.org/officeDocument/2006/relationships/hyperlink" Target="https://login.consultant.ru/link/?req=doc&amp;base=LAW&amp;n=471707&amp;date=03.04.2026&amp;dst=100579&amp;field=134" TargetMode = "External"/><Relationship Id="rId92" Type="http://schemas.openxmlformats.org/officeDocument/2006/relationships/hyperlink" Target="https://login.consultant.ru/link/?req=doc&amp;base=LAW&amp;n=471707&amp;date=03.04.2026&amp;dst=100581&amp;field=134" TargetMode = "External"/><Relationship Id="rId93" Type="http://schemas.openxmlformats.org/officeDocument/2006/relationships/hyperlink" Target="https://login.consultant.ru/link/?req=doc&amp;base=LAW&amp;n=471707&amp;date=03.04.2026&amp;dst=100583&amp;field=134" TargetMode = "External"/><Relationship Id="rId94" Type="http://schemas.openxmlformats.org/officeDocument/2006/relationships/hyperlink" Target="https://login.consultant.ru/link/?req=doc&amp;base=LAW&amp;n=365651&amp;date=03.04.2026&amp;dst=100015&amp;field=134" TargetMode = "External"/><Relationship Id="rId95" Type="http://schemas.openxmlformats.org/officeDocument/2006/relationships/hyperlink" Target="https://login.consultant.ru/link/?req=doc&amp;base=LAW&amp;n=471707&amp;date=03.04.2026&amp;dst=100584&amp;field=134" TargetMode = "External"/><Relationship Id="rId96" Type="http://schemas.openxmlformats.org/officeDocument/2006/relationships/hyperlink" Target="https://login.consultant.ru/link/?req=doc&amp;base=STR&amp;n=25403&amp;date=03.04.2026" TargetMode = "External"/><Relationship Id="rId97" Type="http://schemas.openxmlformats.org/officeDocument/2006/relationships/hyperlink" Target="https://login.consultant.ru/link/?req=doc&amp;base=LAW&amp;n=471707&amp;date=03.04.2026&amp;dst=100586&amp;field=134" TargetMode = "External"/><Relationship Id="rId98" Type="http://schemas.openxmlformats.org/officeDocument/2006/relationships/hyperlink" Target="https://login.consultant.ru/link/?req=doc&amp;base=LAW&amp;n=525499&amp;date=03.04.2026&amp;dst=100013&amp;field=134" TargetMode = "External"/><Relationship Id="rId99" Type="http://schemas.openxmlformats.org/officeDocument/2006/relationships/hyperlink" Target="https://login.consultant.ru/link/?req=doc&amp;base=LAW&amp;n=471707&amp;date=03.04.2026&amp;dst=100587&amp;field=134" TargetMode = "External"/><Relationship Id="rId100" Type="http://schemas.openxmlformats.org/officeDocument/2006/relationships/hyperlink" Target="https://login.consultant.ru/link/?req=doc&amp;base=LAW&amp;n=471707&amp;date=03.04.2026&amp;dst=100595&amp;field=134" TargetMode = "External"/><Relationship Id="rId101" Type="http://schemas.openxmlformats.org/officeDocument/2006/relationships/hyperlink" Target="https://login.consultant.ru/link/?req=doc&amp;base=LAW&amp;n=471707&amp;date=03.04.2026&amp;dst=100630&amp;field=134" TargetMode = "External"/><Relationship Id="rId102" Type="http://schemas.openxmlformats.org/officeDocument/2006/relationships/hyperlink" Target="https://login.consultant.ru/link/?req=doc&amp;base=LAW&amp;n=471707&amp;date=03.04.2026&amp;dst=100631&amp;field=134" TargetMode = "External"/><Relationship Id="rId103" Type="http://schemas.openxmlformats.org/officeDocument/2006/relationships/hyperlink" Target="https://login.consultant.ru/link/?req=doc&amp;base=OTN&amp;n=44208&amp;date=03.04.2026" TargetMode = "External"/><Relationship Id="rId104" Type="http://schemas.openxmlformats.org/officeDocument/2006/relationships/hyperlink" Target="https://login.consultant.ru/link/?req=doc&amp;base=LAW&amp;n=471707&amp;date=03.04.2026&amp;dst=100632&amp;field=134" TargetMode = "External"/><Relationship Id="rId105" Type="http://schemas.openxmlformats.org/officeDocument/2006/relationships/hyperlink" Target="https://login.consultant.ru/link/?req=doc&amp;base=LAW&amp;n=471707&amp;date=03.04.2026&amp;dst=100634&amp;field=134" TargetMode = "External"/><Relationship Id="rId106" Type="http://schemas.openxmlformats.org/officeDocument/2006/relationships/hyperlink" Target="https://login.consultant.ru/link/?req=doc&amp;base=LAW&amp;n=471707&amp;date=03.04.2026&amp;dst=100637&amp;field=134" TargetMode = "External"/><Relationship Id="rId107" Type="http://schemas.openxmlformats.org/officeDocument/2006/relationships/hyperlink" Target="https://login.consultant.ru/link/?req=doc&amp;base=LAW&amp;n=471707&amp;date=03.04.2026&amp;dst=100637&amp;field=134" TargetMode = "External"/><Relationship Id="rId108" Type="http://schemas.openxmlformats.org/officeDocument/2006/relationships/hyperlink" Target="https://login.consultant.ru/link/?req=doc&amp;base=LAW&amp;n=471707&amp;date=03.04.2026&amp;dst=100638&amp;field=134" TargetMode = "External"/><Relationship Id="rId109" Type="http://schemas.openxmlformats.org/officeDocument/2006/relationships/hyperlink" Target="https://login.consultant.ru/link/?req=doc&amp;base=LAW&amp;n=471707&amp;date=03.04.2026&amp;dst=100638&amp;field=134" TargetMode = "External"/><Relationship Id="rId110" Type="http://schemas.openxmlformats.org/officeDocument/2006/relationships/image" Target="media/image2.wmf"/><Relationship Id="rId111" Type="http://schemas.openxmlformats.org/officeDocument/2006/relationships/hyperlink" Target="https://login.consultant.ru/link/?req=doc&amp;base=LAW&amp;n=471707&amp;date=03.04.2026&amp;dst=100640&amp;field=134" TargetMode = "External"/><Relationship Id="rId112" Type="http://schemas.openxmlformats.org/officeDocument/2006/relationships/hyperlink" Target="https://login.consultant.ru/link/?req=doc&amp;base=STR&amp;n=25403&amp;date=03.04.2026" TargetMode = "External"/><Relationship Id="rId113" Type="http://schemas.openxmlformats.org/officeDocument/2006/relationships/hyperlink" Target="https://login.consultant.ru/link/?req=doc&amp;base=LAW&amp;n=471707&amp;date=03.04.2026&amp;dst=100642&amp;field=134" TargetMode = "External"/><Relationship Id="rId114" Type="http://schemas.openxmlformats.org/officeDocument/2006/relationships/hyperlink" Target="https://login.consultant.ru/link/?req=doc&amp;base=LAW&amp;n=471707&amp;date=03.04.2026&amp;dst=100643&amp;field=134" TargetMode = "External"/><Relationship Id="rId115" Type="http://schemas.openxmlformats.org/officeDocument/2006/relationships/hyperlink" Target="https://login.consultant.ru/link/?req=doc&amp;base=LAW&amp;n=471707&amp;date=03.04.2026&amp;dst=100645&amp;field=134" TargetMode = "External"/><Relationship Id="rId116" Type="http://schemas.openxmlformats.org/officeDocument/2006/relationships/hyperlink" Target="https://login.consultant.ru/link/?req=doc&amp;base=STR&amp;n=25403&amp;date=03.04.2026" TargetMode = "External"/><Relationship Id="rId117" Type="http://schemas.openxmlformats.org/officeDocument/2006/relationships/hyperlink" Target="https://login.consultant.ru/link/?req=doc&amp;base=LAW&amp;n=471707&amp;date=03.04.2026&amp;dst=100655&amp;field=134" TargetMode = "External"/><Relationship Id="rId118" Type="http://schemas.openxmlformats.org/officeDocument/2006/relationships/hyperlink" Target="https://login.consultant.ru/link/?req=doc&amp;base=LAW&amp;n=471707&amp;date=03.04.2026&amp;dst=100656&amp;field=134" TargetMode = "External"/><Relationship Id="rId119" Type="http://schemas.openxmlformats.org/officeDocument/2006/relationships/hyperlink" Target="https://login.consultant.ru/link/?req=doc&amp;base=STR&amp;n=25403&amp;date=03.04.2026" TargetMode = "External"/><Relationship Id="rId120" Type="http://schemas.openxmlformats.org/officeDocument/2006/relationships/hyperlink" Target="https://login.consultant.ru/link/?req=doc&amp;base=LAW&amp;n=471707&amp;date=03.04.2026&amp;dst=100657&amp;field=134" TargetMode = "External"/><Relationship Id="rId121" Type="http://schemas.openxmlformats.org/officeDocument/2006/relationships/hyperlink" Target="https://login.consultant.ru/link/?req=doc&amp;base=LAW&amp;n=471707&amp;date=03.04.2026&amp;dst=100658&amp;field=134" TargetMode = "External"/><Relationship Id="rId122" Type="http://schemas.openxmlformats.org/officeDocument/2006/relationships/hyperlink" Target="https://login.consultant.ru/link/?req=doc&amp;base=LAW&amp;n=471707&amp;date=03.04.2026&amp;dst=100660&amp;field=134" TargetMode = "External"/><Relationship Id="rId123" Type="http://schemas.openxmlformats.org/officeDocument/2006/relationships/hyperlink" Target="https://login.consultant.ru/link/?req=doc&amp;base=STR&amp;n=25403&amp;date=03.04.2026" TargetMode = "External"/><Relationship Id="rId124" Type="http://schemas.openxmlformats.org/officeDocument/2006/relationships/hyperlink" Target="https://login.consultant.ru/link/?req=doc&amp;base=LAW&amp;n=471707&amp;date=03.04.2026&amp;dst=100663&amp;field=134" TargetMode = "External"/><Relationship Id="rId125" Type="http://schemas.openxmlformats.org/officeDocument/2006/relationships/hyperlink" Target="https://login.consultant.ru/link/?req=doc&amp;base=STR&amp;n=25403&amp;date=03.04.2026" TargetMode = "External"/><Relationship Id="rId126" Type="http://schemas.openxmlformats.org/officeDocument/2006/relationships/hyperlink" Target="https://login.consultant.ru/link/?req=doc&amp;base=LAW&amp;n=471707&amp;date=03.04.2026&amp;dst=100663&amp;field=134" TargetMode = "External"/><Relationship Id="rId127" Type="http://schemas.openxmlformats.org/officeDocument/2006/relationships/hyperlink" Target="https://login.consultant.ru/link/?req=doc&amp;base=STR&amp;n=25403&amp;date=03.04.2026" TargetMode = "External"/><Relationship Id="rId128" Type="http://schemas.openxmlformats.org/officeDocument/2006/relationships/hyperlink" Target="https://login.consultant.ru/link/?req=doc&amp;base=LAW&amp;n=471707&amp;date=03.04.2026&amp;dst=100663&amp;field=134" TargetMode = "External"/><Relationship Id="rId129" Type="http://schemas.openxmlformats.org/officeDocument/2006/relationships/hyperlink" Target="https://login.consultant.ru/link/?req=doc&amp;base=LAW&amp;n=471707&amp;date=03.04.2026&amp;dst=100664&amp;field=134" TargetMode = "External"/><Relationship Id="rId130" Type="http://schemas.openxmlformats.org/officeDocument/2006/relationships/hyperlink" Target="https://login.consultant.ru/link/?req=doc&amp;base=LAW&amp;n=471707&amp;date=03.04.2026&amp;dst=100665&amp;field=134" TargetMode = "External"/><Relationship Id="rId131" Type="http://schemas.openxmlformats.org/officeDocument/2006/relationships/hyperlink" Target="https://login.consultant.ru/link/?req=doc&amp;base=STR&amp;n=25403&amp;date=03.04.2026" TargetMode = "External"/><Relationship Id="rId132" Type="http://schemas.openxmlformats.org/officeDocument/2006/relationships/hyperlink" Target="https://login.consultant.ru/link/?req=doc&amp;base=LAW&amp;n=471707&amp;date=03.04.2026&amp;dst=100666&amp;field=134" TargetMode = "External"/><Relationship Id="rId133" Type="http://schemas.openxmlformats.org/officeDocument/2006/relationships/hyperlink" Target="https://login.consultant.ru/link/?req=doc&amp;base=STR&amp;n=25403&amp;date=03.04.2026" TargetMode = "External"/><Relationship Id="rId134" Type="http://schemas.openxmlformats.org/officeDocument/2006/relationships/hyperlink" Target="https://login.consultant.ru/link/?req=doc&amp;base=LAW&amp;n=471707&amp;date=03.04.2026&amp;dst=100666&amp;field=134" TargetMode = "External"/><Relationship Id="rId135" Type="http://schemas.openxmlformats.org/officeDocument/2006/relationships/hyperlink" Target="https://login.consultant.ru/link/?req=doc&amp;base=LAW&amp;n=471707&amp;date=03.04.2026&amp;dst=100668&amp;field=134" TargetMode = "External"/><Relationship Id="rId136" Type="http://schemas.openxmlformats.org/officeDocument/2006/relationships/hyperlink" Target="https://login.consultant.ru/link/?req=doc&amp;base=LAW&amp;n=471707&amp;date=03.04.2026&amp;dst=100669&amp;field=134" TargetMode = "External"/><Relationship Id="rId137" Type="http://schemas.openxmlformats.org/officeDocument/2006/relationships/hyperlink" Target="https://login.consultant.ru/link/?req=doc&amp;base=LAW&amp;n=471707&amp;date=03.04.2026&amp;dst=100670&amp;field=134" TargetMode = "External"/><Relationship Id="rId138" Type="http://schemas.openxmlformats.org/officeDocument/2006/relationships/hyperlink" Target="https://login.consultant.ru/link/?req=doc&amp;base=LAW&amp;n=471707&amp;date=03.04.2026&amp;dst=100671&amp;field=134" TargetMode = "External"/><Relationship Id="rId139" Type="http://schemas.openxmlformats.org/officeDocument/2006/relationships/hyperlink" Target="https://login.consultant.ru/link/?req=doc&amp;base=STR&amp;n=36480&amp;date=03.04.2026" TargetMode = "External"/><Relationship Id="rId140" Type="http://schemas.openxmlformats.org/officeDocument/2006/relationships/hyperlink" Target="https://login.consultant.ru/link/?req=doc&amp;base=LAW&amp;n=471707&amp;date=03.04.2026&amp;dst=100673&amp;field=134" TargetMode = "External"/><Relationship Id="rId141" Type="http://schemas.openxmlformats.org/officeDocument/2006/relationships/hyperlink" Target="https://login.consultant.ru/link/?req=doc&amp;base=STR&amp;n=25403&amp;date=03.04.2026" TargetMode = "External"/><Relationship Id="rId142" Type="http://schemas.openxmlformats.org/officeDocument/2006/relationships/hyperlink" Target="https://login.consultant.ru/link/?req=doc&amp;base=LAW&amp;n=471707&amp;date=03.04.2026&amp;dst=100674&amp;field=134" TargetMode = "External"/><Relationship Id="rId143" Type="http://schemas.openxmlformats.org/officeDocument/2006/relationships/hyperlink" Target="https://login.consultant.ru/link/?req=doc&amp;base=LAW&amp;n=471707&amp;date=03.04.2026&amp;dst=100675&amp;field=134" TargetMode = "External"/><Relationship Id="rId144" Type="http://schemas.openxmlformats.org/officeDocument/2006/relationships/hyperlink" Target="https://login.consultant.ru/link/?req=doc&amp;base=LAW&amp;n=471707&amp;date=03.04.2026&amp;dst=100678&amp;field=134" TargetMode = "External"/><Relationship Id="rId145" Type="http://schemas.openxmlformats.org/officeDocument/2006/relationships/hyperlink" Target="https://login.consultant.ru/link/?req=doc&amp;base=LAW&amp;n=471707&amp;date=03.04.2026&amp;dst=100678&amp;field=134" TargetMode = "External"/><Relationship Id="rId146" Type="http://schemas.openxmlformats.org/officeDocument/2006/relationships/hyperlink" Target="https://login.consultant.ru/link/?req=doc&amp;base=LAW&amp;n=471707&amp;date=03.04.2026&amp;dst=100679&amp;field=134" TargetMode = "External"/><Relationship Id="rId147" Type="http://schemas.openxmlformats.org/officeDocument/2006/relationships/hyperlink" Target="https://login.consultant.ru/link/?req=doc&amp;base=LAW&amp;n=471707&amp;date=03.04.2026&amp;dst=100680&amp;field=134" TargetMode = "External"/><Relationship Id="rId148" Type="http://schemas.openxmlformats.org/officeDocument/2006/relationships/hyperlink" Target="https://login.consultant.ru/link/?req=doc&amp;base=LAW&amp;n=471707&amp;date=03.04.2026&amp;dst=100681&amp;field=134" TargetMode = "External"/><Relationship Id="rId149" Type="http://schemas.openxmlformats.org/officeDocument/2006/relationships/hyperlink" Target="https://login.consultant.ru/link/?req=doc&amp;base=LAW&amp;n=471707&amp;date=03.04.2026&amp;dst=100683&amp;field=134" TargetMode = "External"/><Relationship Id="rId150" Type="http://schemas.openxmlformats.org/officeDocument/2006/relationships/hyperlink" Target="https://login.consultant.ru/link/?req=doc&amp;base=LAW&amp;n=471707&amp;date=03.04.2026&amp;dst=100684&amp;field=134" TargetMode = "External"/><Relationship Id="rId151" Type="http://schemas.openxmlformats.org/officeDocument/2006/relationships/hyperlink" Target="https://login.consultant.ru/link/?req=doc&amp;base=LAW&amp;n=471707&amp;date=03.04.2026&amp;dst=100685&amp;field=134" TargetMode = "External"/><Relationship Id="rId152" Type="http://schemas.openxmlformats.org/officeDocument/2006/relationships/hyperlink" Target="https://login.consultant.ru/link/?req=doc&amp;base=LAW&amp;n=471707&amp;date=03.04.2026&amp;dst=100689&amp;field=134" TargetMode = "External"/><Relationship Id="rId153" Type="http://schemas.openxmlformats.org/officeDocument/2006/relationships/hyperlink" Target="https://login.consultant.ru/link/?req=doc&amp;base=LAW&amp;n=471707&amp;date=03.04.2026&amp;dst=100690&amp;field=134" TargetMode = "External"/><Relationship Id="rId154" Type="http://schemas.openxmlformats.org/officeDocument/2006/relationships/hyperlink" Target="https://login.consultant.ru/link/?req=doc&amp;base=LAW&amp;n=471707&amp;date=03.04.2026&amp;dst=100691&amp;field=134" TargetMode = "External"/><Relationship Id="rId155" Type="http://schemas.openxmlformats.org/officeDocument/2006/relationships/hyperlink" Target="https://login.consultant.ru/link/?req=doc&amp;base=LAW&amp;n=471707&amp;date=03.04.2026&amp;dst=100692&amp;field=134" TargetMode = "External"/><Relationship Id="rId156" Type="http://schemas.openxmlformats.org/officeDocument/2006/relationships/hyperlink" Target="https://login.consultant.ru/link/?req=doc&amp;base=LAW&amp;n=471707&amp;date=03.04.2026&amp;dst=100694&amp;field=134" TargetMode = "External"/><Relationship Id="rId157" Type="http://schemas.openxmlformats.org/officeDocument/2006/relationships/hyperlink" Target="https://login.consultant.ru/link/?req=doc&amp;base=LAW&amp;n=471707&amp;date=03.04.2026&amp;dst=100695&amp;field=134" TargetMode = "External"/><Relationship Id="rId158" Type="http://schemas.openxmlformats.org/officeDocument/2006/relationships/hyperlink" Target="https://login.consultant.ru/link/?req=doc&amp;base=LAW&amp;n=471707&amp;date=03.04.2026&amp;dst=100696&amp;field=134" TargetMode = "External"/><Relationship Id="rId159" Type="http://schemas.openxmlformats.org/officeDocument/2006/relationships/hyperlink" Target="https://login.consultant.ru/link/?req=doc&amp;base=STR&amp;n=25403&amp;date=03.04.2026" TargetMode = "External"/><Relationship Id="rId160" Type="http://schemas.openxmlformats.org/officeDocument/2006/relationships/hyperlink" Target="https://login.consultant.ru/link/?req=doc&amp;base=LAW&amp;n=471707&amp;date=03.04.2026&amp;dst=100698&amp;field=134" TargetMode = "External"/><Relationship Id="rId161" Type="http://schemas.openxmlformats.org/officeDocument/2006/relationships/hyperlink" Target="https://login.consultant.ru/link/?req=doc&amp;base=LAW&amp;n=91542&amp;date=03.04.2026&amp;dst=100009&amp;field=134" TargetMode = "External"/><Relationship Id="rId162" Type="http://schemas.openxmlformats.org/officeDocument/2006/relationships/hyperlink" Target="https://login.consultant.ru/link/?req=doc&amp;base=STR&amp;n=25403&amp;date=03.04.2026" TargetMode = "External"/><Relationship Id="rId163" Type="http://schemas.openxmlformats.org/officeDocument/2006/relationships/hyperlink" Target="https://login.consultant.ru/link/?req=doc&amp;base=LAW&amp;n=471707&amp;date=03.04.2026&amp;dst=100700&amp;field=134" TargetMode = "External"/><Relationship Id="rId164" Type="http://schemas.openxmlformats.org/officeDocument/2006/relationships/hyperlink" Target="https://login.consultant.ru/link/?req=doc&amp;base=STR&amp;n=25403&amp;date=03.04.2026" TargetMode = "External"/><Relationship Id="rId165" Type="http://schemas.openxmlformats.org/officeDocument/2006/relationships/hyperlink" Target="https://login.consultant.ru/link/?req=doc&amp;base=LAW&amp;n=471707&amp;date=03.04.2026&amp;dst=100700&amp;field=134" TargetMode = "External"/><Relationship Id="rId166" Type="http://schemas.openxmlformats.org/officeDocument/2006/relationships/hyperlink" Target="https://login.consultant.ru/link/?req=doc&amp;base=LAW&amp;n=511695&amp;date=03.04.2026" TargetMode = "External"/><Relationship Id="rId167" Type="http://schemas.openxmlformats.org/officeDocument/2006/relationships/hyperlink" Target="https://login.consultant.ru/link/?req=doc&amp;base=LAW&amp;n=471707&amp;date=03.04.2026&amp;dst=100702&amp;field=134" TargetMode = "External"/><Relationship Id="rId168" Type="http://schemas.openxmlformats.org/officeDocument/2006/relationships/hyperlink" Target="https://login.consultant.ru/link/?req=doc&amp;base=LAW&amp;n=91542&amp;date=03.04.2026&amp;dst=10000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30.03.2020 N 225
(ред. от 25.12.2023)
"Об утверждении свода правил СП 8.13130 "Системы противопожарной защиты. Наружное противопожарное водоснабжение. Требования пожарной безопасности"</dc:title>
  <dcterms:created xsi:type="dcterms:W3CDTF">2026-04-03T13:11:04Z</dcterms:created>
</cp:coreProperties>
</file>