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FF" w:rsidRDefault="002C470B">
      <w:pPr>
        <w:spacing w:after="0" w:line="276" w:lineRule="auto"/>
        <w:ind w:left="595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Утверждено</w:t>
      </w:r>
    </w:p>
    <w:p w:rsidR="00DB25FF" w:rsidRDefault="002C470B">
      <w:pPr>
        <w:spacing w:after="0" w:line="276" w:lineRule="auto"/>
        <w:ind w:left="595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Приказом ООО «Гудфокаст»</w:t>
      </w:r>
    </w:p>
    <w:p w:rsidR="00DB25FF" w:rsidRDefault="002C470B">
      <w:pPr>
        <w:spacing w:after="0" w:line="276" w:lineRule="auto"/>
        <w:ind w:left="595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 «___»____________2024г.</w:t>
      </w:r>
    </w:p>
    <w:p w:rsidR="00DB25FF" w:rsidRDefault="00DB25FF">
      <w:pPr>
        <w:spacing w:after="0" w:line="276" w:lineRule="auto"/>
        <w:jc w:val="center"/>
        <w:rPr>
          <w:rFonts w:eastAsia="Calibri"/>
          <w:sz w:val="28"/>
          <w:szCs w:val="28"/>
        </w:rPr>
      </w:pP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highlight w:val="green"/>
        </w:rPr>
        <w:t>План аварийного восстановления</w:t>
      </w:r>
    </w:p>
    <w:p w:rsidR="00DB25FF" w:rsidRPr="00192BE8" w:rsidRDefault="002C470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2BE8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Disaster</w:t>
      </w:r>
      <w:r w:rsidRPr="00192BE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Recovery</w:t>
      </w:r>
      <w:r w:rsidRPr="00192BE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Plan</w:t>
      </w:r>
      <w:r w:rsidRPr="00192BE8">
        <w:rPr>
          <w:rFonts w:ascii="Times New Roman" w:hAnsi="Times New Roman" w:cs="Times New Roman"/>
          <w:b/>
          <w:sz w:val="32"/>
          <w:szCs w:val="32"/>
        </w:rPr>
        <w:t>)</w:t>
      </w:r>
    </w:p>
    <w:p w:rsidR="00DB25FF" w:rsidRPr="00192BE8" w:rsidRDefault="002C470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ООО</w:t>
      </w:r>
      <w:r w:rsidRPr="00192BE8"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Гудфокаст</w:t>
      </w:r>
      <w:r w:rsidRPr="00192BE8">
        <w:rPr>
          <w:rFonts w:ascii="Times New Roman" w:hAnsi="Times New Roman" w:cs="Times New Roman"/>
          <w:b/>
          <w:sz w:val="32"/>
          <w:szCs w:val="32"/>
        </w:rPr>
        <w:t>»</w:t>
      </w:r>
    </w:p>
    <w:p w:rsidR="00DB25FF" w:rsidRPr="00192BE8" w:rsidRDefault="002C470B">
      <w:pPr>
        <w:spacing w:line="276" w:lineRule="auto"/>
        <w:rPr>
          <w:rFonts w:ascii="Times New Roman" w:hAnsi="Times New Roman" w:cs="Times New Roman"/>
        </w:rPr>
      </w:pPr>
      <w:r w:rsidRPr="00192BE8">
        <w:rPr>
          <w:rFonts w:ascii="Times New Roman" w:hAnsi="Times New Roman" w:cs="Times New Roman"/>
        </w:rPr>
        <w:br w:type="page" w:clear="all"/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 Цель:</w:t>
      </w:r>
    </w:p>
    <w:p w:rsidR="00DB25FF" w:rsidRDefault="002C470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плана восстановления после катастроф (DRP) - обеспечить непрерывность бизнес-процессов и минимизировать время простоя в случае чрезвычайных ситуаций. DRP направлен на быстрое восстановление критичных бизнес-функций, данных и ИТ-инфраструктуры.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Область применения:</w:t>
      </w:r>
    </w:p>
    <w:p w:rsidR="00DB25FF" w:rsidRDefault="002C470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план применим ко всем сотрудникам и ресурсам компании Гудфокаст, включая офисные помещения, серверы, сети, базы данных, облачные сервисы и клиентские данные.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 Ответственные лица:</w:t>
      </w:r>
    </w:p>
    <w:p w:rsidR="00DB25FF" w:rsidRDefault="002C470B">
      <w:pPr>
        <w:pStyle w:val="af8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ИТ-отдела.</w:t>
      </w:r>
    </w:p>
    <w:p w:rsidR="00DB25FF" w:rsidRDefault="002C470B">
      <w:pPr>
        <w:pStyle w:val="af8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Специалисты по информационной безопасности.</w:t>
      </w:r>
    </w:p>
    <w:p w:rsidR="00DB25FF" w:rsidRDefault="002C470B">
      <w:pPr>
        <w:pStyle w:val="af8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подразделений.</w:t>
      </w:r>
    </w:p>
    <w:p w:rsidR="00DB25FF" w:rsidRDefault="002C470B">
      <w:pPr>
        <w:pStyle w:val="af8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Сотрудники, назначенные для реагирования на инциденты.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 Связанные документы:</w:t>
      </w:r>
    </w:p>
    <w:p w:rsidR="00DB25FF" w:rsidRDefault="002C470B" w:rsidP="009648CA">
      <w:pPr>
        <w:pStyle w:val="af8"/>
        <w:numPr>
          <w:ilvl w:val="0"/>
          <w:numId w:val="3"/>
        </w:numPr>
        <w:spacing w:line="276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Положение о расследовании инцидентов информационной безопасности.</w:t>
      </w:r>
      <w:r w:rsidR="009648CA">
        <w:rPr>
          <w:rFonts w:ascii="Times New Roman" w:hAnsi="Times New Roman" w:cs="Times New Roman"/>
          <w:sz w:val="24"/>
          <w:szCs w:val="24"/>
        </w:rPr>
        <w:t xml:space="preserve"> Устанавливает </w:t>
      </w:r>
      <w:r w:rsidR="009648CA" w:rsidRPr="009648CA">
        <w:rPr>
          <w:rFonts w:ascii="Times New Roman" w:hAnsi="Times New Roman" w:cs="Times New Roman"/>
          <w:sz w:val="24"/>
          <w:szCs w:val="24"/>
        </w:rPr>
        <w:t>основания, цел</w:t>
      </w:r>
      <w:r w:rsidR="009648CA">
        <w:rPr>
          <w:rFonts w:ascii="Times New Roman" w:hAnsi="Times New Roman" w:cs="Times New Roman"/>
          <w:sz w:val="24"/>
          <w:szCs w:val="24"/>
        </w:rPr>
        <w:t>и, задачи и порядок проведения р</w:t>
      </w:r>
      <w:r w:rsidR="009648CA" w:rsidRPr="009648CA">
        <w:rPr>
          <w:rFonts w:ascii="Times New Roman" w:hAnsi="Times New Roman" w:cs="Times New Roman"/>
          <w:sz w:val="24"/>
          <w:szCs w:val="24"/>
        </w:rPr>
        <w:t xml:space="preserve">асследований </w:t>
      </w:r>
      <w:r w:rsidR="009648CA">
        <w:rPr>
          <w:rFonts w:ascii="Times New Roman" w:hAnsi="Times New Roman" w:cs="Times New Roman"/>
          <w:sz w:val="24"/>
          <w:szCs w:val="24"/>
        </w:rPr>
        <w:t>и</w:t>
      </w:r>
      <w:r w:rsidR="009648CA" w:rsidRPr="009648CA">
        <w:rPr>
          <w:rFonts w:ascii="Times New Roman" w:hAnsi="Times New Roman" w:cs="Times New Roman"/>
          <w:sz w:val="24"/>
          <w:szCs w:val="24"/>
        </w:rPr>
        <w:t>нцидентов</w:t>
      </w:r>
      <w:r w:rsidR="009648CA">
        <w:rPr>
          <w:rFonts w:ascii="Times New Roman" w:hAnsi="Times New Roman" w:cs="Times New Roman"/>
          <w:sz w:val="24"/>
          <w:szCs w:val="24"/>
        </w:rPr>
        <w:t xml:space="preserve"> </w:t>
      </w:r>
      <w:r w:rsidR="009648CA">
        <w:rPr>
          <w:rFonts w:ascii="Times New Roman" w:hAnsi="Times New Roman" w:cs="Times New Roman"/>
          <w:sz w:val="24"/>
          <w:szCs w:val="24"/>
        </w:rPr>
        <w:t>информационной безопасности</w:t>
      </w:r>
      <w:r w:rsidR="009648CA">
        <w:rPr>
          <w:rFonts w:ascii="Times New Roman" w:hAnsi="Times New Roman" w:cs="Times New Roman"/>
          <w:sz w:val="24"/>
          <w:szCs w:val="24"/>
        </w:rPr>
        <w:t xml:space="preserve">. Применяется во время </w:t>
      </w:r>
      <w:r w:rsidR="009648CA" w:rsidRPr="009648CA">
        <w:rPr>
          <w:rFonts w:ascii="Times New Roman" w:hAnsi="Times New Roman" w:cs="Times New Roman"/>
          <w:sz w:val="24"/>
          <w:szCs w:val="24"/>
        </w:rPr>
        <w:t xml:space="preserve">мероприятий </w:t>
      </w:r>
      <w:r w:rsidR="009648CA">
        <w:rPr>
          <w:rFonts w:ascii="Times New Roman" w:hAnsi="Times New Roman" w:cs="Times New Roman"/>
          <w:sz w:val="24"/>
          <w:szCs w:val="24"/>
        </w:rPr>
        <w:t>по реагированию на инциденты информационной безопасности.</w:t>
      </w:r>
    </w:p>
    <w:p w:rsidR="00DB25FF" w:rsidRDefault="002C470B" w:rsidP="009648CA">
      <w:pPr>
        <w:pStyle w:val="af8"/>
        <w:numPr>
          <w:ilvl w:val="0"/>
          <w:numId w:val="3"/>
        </w:numPr>
        <w:spacing w:line="276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Сценарии реагирования на инциденты.</w:t>
      </w:r>
      <w:r w:rsidR="009648CA">
        <w:rPr>
          <w:rFonts w:ascii="Times New Roman" w:hAnsi="Times New Roman" w:cs="Times New Roman"/>
          <w:sz w:val="24"/>
          <w:szCs w:val="24"/>
        </w:rPr>
        <w:t xml:space="preserve"> </w:t>
      </w:r>
      <w:r w:rsidR="009648CA" w:rsidRPr="009648CA">
        <w:rPr>
          <w:rFonts w:ascii="Times New Roman" w:hAnsi="Times New Roman" w:cs="Times New Roman"/>
          <w:sz w:val="24"/>
          <w:szCs w:val="24"/>
        </w:rPr>
        <w:t>Применяется во время мероприятий по реагированию на инциденты информационной безопасности.</w:t>
      </w:r>
    </w:p>
    <w:p w:rsidR="00DB25FF" w:rsidRDefault="002C470B">
      <w:pPr>
        <w:pStyle w:val="af8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Политики и процедуры информационной безопасности.</w:t>
      </w:r>
    </w:p>
    <w:p w:rsidR="00DB25FF" w:rsidRDefault="002C470B">
      <w:pPr>
        <w:pStyle w:val="af8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Контактная информация ответственных лиц.</w:t>
      </w:r>
    </w:p>
    <w:p w:rsidR="00DB25FF" w:rsidRDefault="002C470B" w:rsidP="009648CA">
      <w:pPr>
        <w:pStyle w:val="af8"/>
        <w:numPr>
          <w:ilvl w:val="0"/>
          <w:numId w:val="3"/>
        </w:numPr>
        <w:spacing w:line="276" w:lineRule="auto"/>
        <w:ind w:left="0" w:firstLine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Регламент работы с резервными копиями.</w:t>
      </w:r>
      <w:r w:rsidR="009648CA">
        <w:rPr>
          <w:rFonts w:ascii="Times New Roman" w:hAnsi="Times New Roman" w:cs="Times New Roman"/>
          <w:sz w:val="24"/>
          <w:szCs w:val="24"/>
        </w:rPr>
        <w:t xml:space="preserve"> </w:t>
      </w:r>
      <w:r w:rsidR="009648CA" w:rsidRPr="009648CA">
        <w:rPr>
          <w:rFonts w:ascii="Times New Roman" w:hAnsi="Times New Roman" w:cs="Times New Roman"/>
          <w:sz w:val="24"/>
          <w:szCs w:val="24"/>
        </w:rPr>
        <w:t>Применяется во время мероприятий по</w:t>
      </w:r>
      <w:r w:rsidR="009648CA">
        <w:rPr>
          <w:rFonts w:ascii="Times New Roman" w:hAnsi="Times New Roman" w:cs="Times New Roman"/>
          <w:sz w:val="24"/>
          <w:szCs w:val="24"/>
        </w:rPr>
        <w:t xml:space="preserve"> восстановлению инфраструктуры.</w:t>
      </w: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Оценка рисков и воздействий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Идентифицированные угрозы и вероятность их возникновения:</w:t>
      </w:r>
    </w:p>
    <w:p w:rsidR="00DB25FF" w:rsidRDefault="002C470B">
      <w:pPr>
        <w:pStyle w:val="af8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Хакерские атаки (небольшая вероятность).</w:t>
      </w:r>
    </w:p>
    <w:p w:rsidR="00DB25FF" w:rsidRDefault="002C470B">
      <w:pPr>
        <w:pStyle w:val="af8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Человеческий фактор (небольшая вероятность).</w:t>
      </w:r>
    </w:p>
    <w:p w:rsidR="00DB25FF" w:rsidRDefault="002C470B">
      <w:pPr>
        <w:pStyle w:val="af8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сбои (небольшая вероятность).</w:t>
      </w:r>
    </w:p>
    <w:p w:rsidR="00DB25FF" w:rsidRDefault="002C470B">
      <w:pPr>
        <w:pStyle w:val="af8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Финансовые проблемы (небольшая вероятность).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Последствия инцидентов:</w:t>
      </w:r>
    </w:p>
    <w:p w:rsidR="00DB25FF" w:rsidRDefault="002C470B">
      <w:pPr>
        <w:pStyle w:val="af8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сбой: остановка бизнес-процессов, потеря доступности ИТ-ресурсов.</w:t>
      </w:r>
    </w:p>
    <w:p w:rsidR="00DB25FF" w:rsidRDefault="002C470B">
      <w:pPr>
        <w:pStyle w:val="af8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Человеческий фактор: утечка данных клиентов, компрометация внутренней информации.</w:t>
      </w:r>
    </w:p>
    <w:p w:rsidR="00DB25FF" w:rsidRDefault="002C470B">
      <w:pPr>
        <w:pStyle w:val="af8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Хакерские атаки: захват управления инфраструктурой, кража исходного кода и данных клиентов.</w:t>
      </w:r>
    </w:p>
    <w:p w:rsidR="00DB25FF" w:rsidRDefault="002C470B">
      <w:pPr>
        <w:pStyle w:val="af8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Финансовые проблемы: остановка бизнес-процессов, потеря доступности ИТ-ресурсов.</w:t>
      </w:r>
    </w:p>
    <w:p w:rsidR="00DB25FF" w:rsidRPr="00192BE8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Pr="00192BE8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Критичные данные и системы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Критичные данные:</w:t>
      </w:r>
    </w:p>
    <w:p w:rsidR="00DB25FF" w:rsidRDefault="002C470B">
      <w:pPr>
        <w:pStyle w:val="af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клиентов.</w:t>
      </w:r>
    </w:p>
    <w:p w:rsidR="00DB25FF" w:rsidRDefault="002C470B">
      <w:pPr>
        <w:pStyle w:val="af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 клиентов.</w:t>
      </w:r>
    </w:p>
    <w:p w:rsidR="00DB25FF" w:rsidRDefault="002C470B">
      <w:pPr>
        <w:pStyle w:val="af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программного обеспечения.</w:t>
      </w:r>
    </w:p>
    <w:p w:rsidR="000061A4" w:rsidRDefault="000061A4" w:rsidP="00671E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61A4">
        <w:rPr>
          <w:rFonts w:ascii="Times New Roman" w:hAnsi="Times New Roman" w:cs="Times New Roman"/>
          <w:sz w:val="24"/>
          <w:szCs w:val="24"/>
        </w:rPr>
        <w:t>В случае инцидента, связанного с нарушением безопасности или техническим сбоем, применяются следующие процедуры для защиты критичных данных:</w:t>
      </w:r>
    </w:p>
    <w:p w:rsidR="000061A4" w:rsidRPr="000061A4" w:rsidRDefault="000061A4" w:rsidP="000061A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Изоляция сетевого сегмента:</w:t>
      </w:r>
      <w:r w:rsidR="00A266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266CA" w:rsidRPr="00A266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Pr="0000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выявления инцидента, который может угрожать безопасности критичных данных (например, хакерская атака или вирусное заражение), осуществляется немедленная изоляция соответствующего сетевого сегмента, в котором хранятся или обрабатываются данные. </w:t>
      </w:r>
    </w:p>
    <w:p w:rsidR="000061A4" w:rsidRPr="000061A4" w:rsidRDefault="000061A4" w:rsidP="000061A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 к ресурсам:</w:t>
      </w:r>
      <w:r w:rsidR="00A266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266C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06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ходе инцидента доступ к критичным данным и системам может быть временно ограничен или полностью заблокирован для всех пользователей, кроме лиц, непосредственно участвующих в реагировании на инцидент.</w:t>
      </w:r>
    </w:p>
    <w:p w:rsidR="000061A4" w:rsidRPr="000061A4" w:rsidRDefault="000061A4" w:rsidP="000061A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Уведомление ответственных лиц:</w:t>
      </w:r>
      <w:r w:rsidR="00A266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266C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061A4">
        <w:rPr>
          <w:rFonts w:ascii="Times New Roman" w:eastAsia="Times New Roman" w:hAnsi="Times New Roman" w:cs="Times New Roman"/>
          <w:sz w:val="24"/>
          <w:szCs w:val="24"/>
          <w:lang w:eastAsia="ru-RU"/>
        </w:rPr>
        <w:t>се ответственные лица, включая специалистов по информационной безопасности, администраторов баз данных и системных администраторов, незамедлитель</w:t>
      </w:r>
      <w:r w:rsidR="00A266C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уведомляются о происшествии.</w:t>
      </w:r>
    </w:p>
    <w:p w:rsidR="000061A4" w:rsidRPr="000061A4" w:rsidRDefault="000061A4" w:rsidP="000061A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 и мониторинг:</w:t>
      </w:r>
      <w:r w:rsidR="00A266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266C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bookmarkStart w:id="0" w:name="_GoBack"/>
      <w:bookmarkEnd w:id="0"/>
      <w:r w:rsidRPr="000061A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 изоляции сетевого сегмента и ограничения доступа ведется усиленный мониторинг событий и действий, связанных с доступом к критичным данным. Вся активность записывается и анализируется для выявления потенциальных угроз и их устранения.</w:t>
      </w:r>
    </w:p>
    <w:p w:rsidR="000061A4" w:rsidRPr="000061A4" w:rsidRDefault="000061A4" w:rsidP="000061A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Инфраструктура:</w:t>
      </w:r>
    </w:p>
    <w:p w:rsidR="00DB25FF" w:rsidRDefault="002C470B">
      <w:pPr>
        <w:pStyle w:val="af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Облачные платформы: Selectel.</w:t>
      </w:r>
    </w:p>
    <w:p w:rsidR="00DB25FF" w:rsidRDefault="002C470B">
      <w:pPr>
        <w:pStyle w:val="af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Почта на Яндексе.</w:t>
      </w:r>
    </w:p>
    <w:p w:rsidR="00DB25FF" w:rsidRDefault="002C470B">
      <w:pPr>
        <w:pStyle w:val="af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- 8 физических серверов, 120 виртуальных серверов.</w:t>
      </w:r>
    </w:p>
    <w:p w:rsidR="00DB25FF" w:rsidRDefault="002C470B">
      <w:pPr>
        <w:pStyle w:val="af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Операционные системы: Windows Server, Linux.</w:t>
      </w:r>
    </w:p>
    <w:p w:rsidR="00DB25FF" w:rsidRDefault="002C470B">
      <w:pPr>
        <w:pStyle w:val="af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Сетевой периметр: межсетевой экран, VPN (l2tp).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Системы мониторинга:</w:t>
      </w:r>
    </w:p>
    <w:p w:rsidR="00DB25FF" w:rsidRDefault="002C470B">
      <w:pPr>
        <w:pStyle w:val="af8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Zabbix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Резервные копии:</w:t>
      </w:r>
    </w:p>
    <w:p w:rsidR="00DB25FF" w:rsidRDefault="002C470B">
      <w:pPr>
        <w:pStyle w:val="af8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системы разработчиков и данные клиентов.</w:t>
      </w:r>
    </w:p>
    <w:p w:rsidR="00DB25FF" w:rsidRDefault="002C470B">
      <w:pPr>
        <w:pStyle w:val="af8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Хранятся физически отдельно и в облачной инфраструктуре (Selectel).</w:t>
      </w: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Время восстановления и доступность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Время восстановления критической информации:</w:t>
      </w:r>
    </w:p>
    <w:p w:rsidR="00DB25FF" w:rsidRDefault="002C470B">
      <w:pPr>
        <w:pStyle w:val="af8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12 часов.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 Время восстановления остальной информации:</w:t>
      </w:r>
    </w:p>
    <w:p w:rsidR="00DB25FF" w:rsidRDefault="002C470B">
      <w:pPr>
        <w:pStyle w:val="af8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2BE8">
        <w:rPr>
          <w:rFonts w:ascii="Times New Roman" w:hAnsi="Times New Roman" w:cs="Times New Roman"/>
          <w:sz w:val="24"/>
          <w:szCs w:val="24"/>
        </w:rPr>
        <w:t>В течение недели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 Доступность:</w:t>
      </w:r>
    </w:p>
    <w:p w:rsidR="00DB25FF" w:rsidRDefault="002C470B">
      <w:pPr>
        <w:pStyle w:val="af8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24/7</w:t>
      </w:r>
    </w:p>
    <w:p w:rsidR="00192BE8" w:rsidRDefault="00192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2BE8" w:rsidRDefault="00192BE8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  <w:sectPr w:rsidR="00192B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Реакция на инциденты и восстановление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Сценарии реагирования:</w:t>
      </w:r>
    </w:p>
    <w:tbl>
      <w:tblPr>
        <w:tblStyle w:val="af9"/>
        <w:tblW w:w="5000" w:type="pct"/>
        <w:jc w:val="center"/>
        <w:tblLook w:val="04A0" w:firstRow="1" w:lastRow="0" w:firstColumn="1" w:lastColumn="0" w:noHBand="0" w:noVBand="1"/>
      </w:tblPr>
      <w:tblGrid>
        <w:gridCol w:w="369"/>
        <w:gridCol w:w="2886"/>
        <w:gridCol w:w="6747"/>
        <w:gridCol w:w="1334"/>
        <w:gridCol w:w="3224"/>
      </w:tblGrid>
      <w:tr w:rsidR="00436E47" w:rsidRPr="006167A3" w:rsidTr="00BD1CD2">
        <w:trPr>
          <w:jc w:val="center"/>
        </w:trPr>
        <w:tc>
          <w:tcPr>
            <w:tcW w:w="127" w:type="pct"/>
          </w:tcPr>
          <w:p w:rsidR="00436E47" w:rsidRPr="006167A3" w:rsidRDefault="006167A3" w:rsidP="00CF6AAF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991" w:type="pct"/>
            <w:vAlign w:val="center"/>
          </w:tcPr>
          <w:p w:rsidR="00436E47" w:rsidRPr="006167A3" w:rsidRDefault="00436E47" w:rsidP="006167A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Инцидент</w:t>
            </w:r>
          </w:p>
        </w:tc>
        <w:tc>
          <w:tcPr>
            <w:tcW w:w="2317" w:type="pct"/>
            <w:vAlign w:val="center"/>
          </w:tcPr>
          <w:p w:rsidR="00436E47" w:rsidRPr="006167A3" w:rsidRDefault="00436E47" w:rsidP="006167A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Сценарии реагирования (в соответствии со сценарием реагирования)</w:t>
            </w:r>
          </w:p>
        </w:tc>
        <w:tc>
          <w:tcPr>
            <w:tcW w:w="458" w:type="pct"/>
            <w:vAlign w:val="center"/>
          </w:tcPr>
          <w:p w:rsidR="00436E47" w:rsidRPr="006167A3" w:rsidRDefault="00436E47" w:rsidP="006167A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Ответственные лица</w:t>
            </w:r>
          </w:p>
        </w:tc>
        <w:tc>
          <w:tcPr>
            <w:tcW w:w="1107" w:type="pct"/>
            <w:vAlign w:val="center"/>
          </w:tcPr>
          <w:p w:rsidR="00436E47" w:rsidRPr="006167A3" w:rsidRDefault="00436E47" w:rsidP="006167A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Документация</w:t>
            </w: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Антивирусное заражение</w:t>
            </w:r>
          </w:p>
        </w:tc>
        <w:tc>
          <w:tcPr>
            <w:tcW w:w="2317" w:type="pc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Изоляция зараженного устройства от сети</w:t>
            </w:r>
          </w:p>
        </w:tc>
        <w:tc>
          <w:tcPr>
            <w:tcW w:w="458" w:type="pct"/>
            <w:vMerge w:val="restar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Сканирование и удаление вируса с помощью антивирусного ПО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192BE8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Восстановление данных из резервных копий (если требуется).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Отчет о расследовании инцидента</w:t>
            </w: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192BE8">
            <w:pPr>
              <w:spacing w:line="276" w:lineRule="auto"/>
              <w:ind w:left="20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Проведение расследования для выявления источника заражения и предотвращения повторного инцидента.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436E47" w:rsidRPr="006167A3" w:rsidRDefault="00436E47" w:rsidP="00192BE8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Заражение сети</w:t>
            </w:r>
          </w:p>
        </w:tc>
        <w:tc>
          <w:tcPr>
            <w:tcW w:w="2317" w:type="pc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Изоляция зараженного сегмента сети.</w:t>
            </w:r>
          </w:p>
        </w:tc>
        <w:tc>
          <w:tcPr>
            <w:tcW w:w="458" w:type="pct"/>
            <w:vMerge w:val="restar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Полное сканирование всей сети с использованием антивирусного ПО.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Восстановление нормальной работы сети.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Отчет о расследовании инцидента</w:t>
            </w:r>
          </w:p>
        </w:tc>
      </w:tr>
      <w:tr w:rsidR="00436E47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436E47" w:rsidRPr="006167A3" w:rsidRDefault="00436E47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Обновление политик безопасности для предотвращения повторных заражений.</w:t>
            </w:r>
          </w:p>
        </w:tc>
        <w:tc>
          <w:tcPr>
            <w:tcW w:w="458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436E47" w:rsidRPr="006167A3" w:rsidRDefault="00436E47" w:rsidP="00436E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Атака программ шифровальщиков</w:t>
            </w: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Изоляция зараженного устройства от сети</w:t>
            </w:r>
          </w:p>
        </w:tc>
        <w:tc>
          <w:tcPr>
            <w:tcW w:w="458" w:type="pct"/>
            <w:vMerge w:val="restart"/>
            <w:vAlign w:val="center"/>
          </w:tcPr>
          <w:p w:rsidR="006167A3" w:rsidRPr="006167A3" w:rsidRDefault="002742AA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Сканирование и удаление вредоносного ПО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Проведение расследования для выявления источника заражения и предотвращения повторного инцидента.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Отчет о расследовании инцидента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Обновление политик безопасности для предотвращения повторных заражений.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Brute-force атака на учетную запись</w:t>
            </w: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Блокировка учетной записи.</w:t>
            </w:r>
          </w:p>
        </w:tc>
        <w:tc>
          <w:tcPr>
            <w:tcW w:w="458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Смена пароля и применение многофакторной аутентификации.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Анализ логов для выявления источника атаки.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Отчет о расследовании инцидента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Уведомление пользователей о необходимости смены паролей.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Несанкционированный доступ</w:t>
            </w: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Немедленная блокировка доступа.</w:t>
            </w:r>
          </w:p>
        </w:tc>
        <w:tc>
          <w:tcPr>
            <w:tcW w:w="458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Проведение расследования инцидента.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trHeight w:val="248"/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Уведомление заинтересованных сторон.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 xml:space="preserve">Отчет о расследовании инцидента 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Обновление политик безопасности и проверка логов.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Повышение привилегий</w:t>
            </w: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Блокировка учетной записи.</w:t>
            </w:r>
          </w:p>
        </w:tc>
        <w:tc>
          <w:tcPr>
            <w:tcW w:w="458" w:type="pct"/>
            <w:vMerge w:val="restart"/>
            <w:vAlign w:val="center"/>
          </w:tcPr>
          <w:p w:rsidR="006167A3" w:rsidRPr="006167A3" w:rsidRDefault="002742AA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Возврат в исходное состояние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Анализ логов для выявления источника атаки.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 xml:space="preserve">Отчет о расследовании инцидента 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DDoS на инфраструктуру</w:t>
            </w: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Задействовать резервный VPN сервер</w:t>
            </w:r>
          </w:p>
        </w:tc>
        <w:tc>
          <w:tcPr>
            <w:tcW w:w="458" w:type="pct"/>
            <w:vMerge w:val="restart"/>
            <w:vAlign w:val="center"/>
          </w:tcPr>
          <w:p w:rsidR="006167A3" w:rsidRPr="006167A3" w:rsidRDefault="002742AA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  <w:r w:rsidRPr="006167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ИБ</w:t>
            </w: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Запись инцидента в журнале инцидентов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Региональная блокировка атакующих IP/подсетей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Ограничить количество запросов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 w:val="restar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 xml:space="preserve">Отчет о расследовании инцидента </w:t>
            </w:r>
          </w:p>
        </w:tc>
      </w:tr>
      <w:tr w:rsidR="006167A3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6167A3" w:rsidRPr="006167A3" w:rsidRDefault="006167A3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Добавить фильтры для отбрасывания пакетов</w:t>
            </w:r>
          </w:p>
        </w:tc>
        <w:tc>
          <w:tcPr>
            <w:tcW w:w="458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6167A3" w:rsidRPr="006167A3" w:rsidRDefault="006167A3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4729" w:rsidRPr="006167A3" w:rsidTr="00CF6AAF">
        <w:trPr>
          <w:jc w:val="center"/>
        </w:trPr>
        <w:tc>
          <w:tcPr>
            <w:tcW w:w="127" w:type="pct"/>
            <w:vMerge w:val="restart"/>
            <w:vAlign w:val="center"/>
          </w:tcPr>
          <w:p w:rsidR="00504729" w:rsidRPr="006167A3" w:rsidRDefault="00504729" w:rsidP="00CF6AAF">
            <w:pPr>
              <w:pStyle w:val="a3"/>
              <w:numPr>
                <w:ilvl w:val="0"/>
                <w:numId w:val="37"/>
              </w:num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 w:val="restart"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Финансовые проблемы</w:t>
            </w:r>
          </w:p>
        </w:tc>
        <w:tc>
          <w:tcPr>
            <w:tcW w:w="2317" w:type="pct"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Обещанный платеж.</w:t>
            </w:r>
          </w:p>
        </w:tc>
        <w:tc>
          <w:tcPr>
            <w:tcW w:w="458" w:type="pct"/>
            <w:vMerge w:val="restart"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ИТ</w:t>
            </w:r>
          </w:p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Руководство</w:t>
            </w:r>
          </w:p>
        </w:tc>
        <w:tc>
          <w:tcPr>
            <w:tcW w:w="1107" w:type="pct"/>
            <w:vMerge w:val="restart"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4729" w:rsidRPr="006167A3" w:rsidTr="00CF6AAF">
        <w:trPr>
          <w:jc w:val="center"/>
        </w:trPr>
        <w:tc>
          <w:tcPr>
            <w:tcW w:w="127" w:type="pct"/>
            <w:vMerge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1" w:type="pct"/>
            <w:vMerge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7" w:type="pct"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6167A3">
              <w:rPr>
                <w:rFonts w:ascii="Times New Roman" w:hAnsi="Times New Roman" w:cs="Times New Roman"/>
                <w:sz w:val="16"/>
                <w:szCs w:val="16"/>
              </w:rPr>
              <w:t>Гарантийное письмо</w:t>
            </w:r>
          </w:p>
        </w:tc>
        <w:tc>
          <w:tcPr>
            <w:tcW w:w="458" w:type="pct"/>
            <w:vMerge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7" w:type="pct"/>
            <w:vMerge/>
            <w:vAlign w:val="center"/>
          </w:tcPr>
          <w:p w:rsidR="00504729" w:rsidRPr="006167A3" w:rsidRDefault="00504729" w:rsidP="006167A3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192BE8" w:rsidRPr="00192BE8" w:rsidRDefault="00192BE8" w:rsidP="00192BE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67A3" w:rsidRDefault="006167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67A3" w:rsidRDefault="006167A3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  <w:sectPr w:rsidR="006167A3" w:rsidSect="00192BE8">
          <w:pgSz w:w="16838" w:h="11906" w:orient="landscape"/>
          <w:pgMar w:top="1701" w:right="1134" w:bottom="851" w:left="1134" w:header="708" w:footer="708" w:gutter="0"/>
          <w:cols w:space="708"/>
          <w:docGrid w:linePitch="360"/>
        </w:sect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5.2 Восстановление данных: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Действия:</w:t>
      </w:r>
    </w:p>
    <w:p w:rsidR="00DB25FF" w:rsidRDefault="002C470B">
      <w:pPr>
        <w:pStyle w:val="af8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данных, которые необходимо восстановить.</w:t>
      </w:r>
    </w:p>
    <w:p w:rsidR="00DB25FF" w:rsidRDefault="002C470B">
      <w:pPr>
        <w:pStyle w:val="af8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Идентификация последней доступной резервной копии.</w:t>
      </w:r>
    </w:p>
    <w:p w:rsidR="00DB25FF" w:rsidRDefault="002C470B">
      <w:pPr>
        <w:pStyle w:val="af8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данных из резервных копий, расположенных физически отдельно и в облачной инфраструктуре (Selectel) (</w:t>
      </w:r>
      <w:r>
        <w:rPr>
          <w:rFonts w:ascii="Times New Roman" w:hAnsi="Times New Roman" w:cs="Times New Roman"/>
          <w:sz w:val="24"/>
          <w:szCs w:val="24"/>
          <w:highlight w:val="green"/>
        </w:rPr>
        <w:t>Регламент резервного копирования и восстановления информации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25FF" w:rsidRDefault="002C470B">
      <w:pPr>
        <w:pStyle w:val="af8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целостности данных после восстановления.</w:t>
      </w:r>
    </w:p>
    <w:p w:rsidR="00DB25FF" w:rsidRDefault="002C470B">
      <w:pPr>
        <w:pStyle w:val="af8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Уведомление пользователей о завершении восстановления и доступности данных.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Ответственные лица:</w:t>
      </w:r>
    </w:p>
    <w:p w:rsidR="00DB25FF" w:rsidRDefault="002C470B">
      <w:pPr>
        <w:pStyle w:val="af8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 ИТ-отдела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Документация:</w:t>
      </w:r>
    </w:p>
    <w:p w:rsidR="00DB25FF" w:rsidRDefault="002C470B">
      <w:pPr>
        <w:pStyle w:val="af8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процесса восстановления в журнале инцидентов</w:t>
      </w:r>
    </w:p>
    <w:p w:rsidR="00DB25FF" w:rsidRDefault="002C470B">
      <w:pPr>
        <w:pStyle w:val="af8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проверке целостности данных и результатах восстановления</w:t>
      </w:r>
    </w:p>
    <w:p w:rsidR="00DB25FF" w:rsidRDefault="00DB25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5.3 Восстановление ИТ-инфраструктуры: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Действия:</w:t>
      </w:r>
    </w:p>
    <w:p w:rsidR="00DB25FF" w:rsidRDefault="002C470B">
      <w:pPr>
        <w:pStyle w:val="af8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Идентификация затронутых систем и сервисов.</w:t>
      </w:r>
    </w:p>
    <w:p w:rsidR="00DB25FF" w:rsidRDefault="002C470B">
      <w:pPr>
        <w:pStyle w:val="af8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систем из резервных копий (</w:t>
      </w:r>
      <w:r>
        <w:rPr>
          <w:rFonts w:ascii="Times New Roman" w:hAnsi="Times New Roman" w:cs="Times New Roman"/>
          <w:sz w:val="24"/>
          <w:szCs w:val="24"/>
          <w:highlight w:val="green"/>
        </w:rPr>
        <w:t>Регламент резервного копирования и восстановления информации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25FF" w:rsidRDefault="002C470B">
      <w:pPr>
        <w:pStyle w:val="af8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Переподключение всех пользователей к восстановленным системам.</w:t>
      </w:r>
    </w:p>
    <w:p w:rsidR="00DB25FF" w:rsidRDefault="002C470B">
      <w:pPr>
        <w:pStyle w:val="af8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всех систем на работоспособность после восстановления.</w:t>
      </w:r>
    </w:p>
    <w:p w:rsidR="00DB25FF" w:rsidRDefault="002C470B">
      <w:pPr>
        <w:pStyle w:val="af8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тестирования всех критичных систем для подтверждения их корректной работы.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Ответственные лица:</w:t>
      </w:r>
    </w:p>
    <w:p w:rsidR="00DB25FF" w:rsidRDefault="002C470B">
      <w:pPr>
        <w:pStyle w:val="af8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 ИТ-отдела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Документация:</w:t>
      </w:r>
    </w:p>
    <w:p w:rsidR="00DB25FF" w:rsidRDefault="002C470B">
      <w:pPr>
        <w:pStyle w:val="af8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процесса восстановления в журнале инцидентов</w:t>
      </w:r>
    </w:p>
    <w:p w:rsidR="00DB25FF" w:rsidRDefault="002C470B">
      <w:pPr>
        <w:pStyle w:val="af8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проверке работоспособности систем и результатах тестирования</w:t>
      </w:r>
    </w:p>
    <w:p w:rsidR="00DB25FF" w:rsidRDefault="00DB25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5.4 Организация работы сотрудников в чрезвычайной ситуации: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Действия: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ответственных лиц за реагирование на инциденты информационной безопасности (</w:t>
      </w:r>
      <w:r>
        <w:rPr>
          <w:rFonts w:ascii="Times New Roman" w:hAnsi="Times New Roman" w:cs="Times New Roman"/>
          <w:sz w:val="24"/>
          <w:szCs w:val="24"/>
          <w:highlight w:val="green"/>
        </w:rPr>
        <w:t>Положение о порядке расследования инцидентов информационной безопасности утв. приказом №2/01-07/2024 от 01.07.2024)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Создание группы реагирования на инциденты (</w:t>
      </w:r>
      <w:r>
        <w:rPr>
          <w:rFonts w:ascii="Times New Roman" w:hAnsi="Times New Roman" w:cs="Times New Roman"/>
          <w:sz w:val="24"/>
          <w:szCs w:val="24"/>
          <w:highlight w:val="green"/>
        </w:rPr>
        <w:t>Положение о порядке расследования инцидентов информационной безопасности утв. приказом №2/01-07/2024 от 01.07.2024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удаленной работы через VPN (дублирующий сервер </w:t>
      </w:r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временных рабочих мест в случае недоступности офиса.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сотрудников необходимыми ресурсами для удаленной работы (ноутбуки, доступ к необходимым системам).</w:t>
      </w:r>
    </w:p>
    <w:p w:rsidR="00DB25FF" w:rsidRDefault="002C470B">
      <w:pPr>
        <w:pStyle w:val="af8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инструктажа сотрудников по новым условиям работы.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Ответственные лица:</w:t>
      </w:r>
    </w:p>
    <w:p w:rsidR="00DB25FF" w:rsidRDefault="002C470B">
      <w:pPr>
        <w:pStyle w:val="af8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подразделений</w:t>
      </w:r>
    </w:p>
    <w:p w:rsidR="00DB25FF" w:rsidRDefault="002C470B">
      <w:pPr>
        <w:pStyle w:val="af8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 ИТ-отдела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Документация:</w:t>
      </w:r>
    </w:p>
    <w:p w:rsidR="00DB25FF" w:rsidRDefault="002C470B">
      <w:pPr>
        <w:pStyle w:val="af8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мер по организации работы в чрезвычайной ситуации.</w:t>
      </w:r>
    </w:p>
    <w:p w:rsidR="00DB25FF" w:rsidRDefault="002C470B">
      <w:pPr>
        <w:pStyle w:val="af8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проведенном инструктаже сотрудников.</w:t>
      </w:r>
    </w:p>
    <w:p w:rsidR="00DB25FF" w:rsidRDefault="00DB25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5.5 Коммуникация с клиентами и партнерами: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Действия:</w:t>
      </w:r>
    </w:p>
    <w:p w:rsidR="00DB25FF" w:rsidRDefault="002C470B">
      <w:pPr>
        <w:pStyle w:val="af8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системы уведомлений и информирования клиентов.</w:t>
      </w:r>
    </w:p>
    <w:p w:rsidR="00DB25FF" w:rsidRDefault="002C470B">
      <w:pPr>
        <w:pStyle w:val="af8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ответственного за коммуникацию с клиентами.</w:t>
      </w:r>
    </w:p>
    <w:p w:rsidR="00DB25FF" w:rsidRDefault="002C470B">
      <w:pPr>
        <w:pStyle w:val="af8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электронной почты, SMS, социальных сетей и других каналов связи для информирования клиентов о текущем статусе и мерах, принимаемых для восстановления нормальной работы.</w:t>
      </w:r>
    </w:p>
    <w:p w:rsidR="00DB25FF" w:rsidRDefault="002C470B">
      <w:pPr>
        <w:pStyle w:val="af8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прозрачности и регулярных обновлений информации для клиентов.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Ответственные лица:</w:t>
      </w:r>
    </w:p>
    <w:p w:rsidR="00DB25FF" w:rsidRDefault="002C470B">
      <w:pPr>
        <w:pStyle w:val="af8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подразделений</w:t>
      </w:r>
    </w:p>
    <w:p w:rsidR="00DB25FF" w:rsidRDefault="002C470B">
      <w:pPr>
        <w:pStyle w:val="af8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Маркетинговый отдел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Документация:</w:t>
      </w:r>
    </w:p>
    <w:p w:rsidR="00DB25FF" w:rsidRDefault="002C470B">
      <w:pPr>
        <w:pStyle w:val="af8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всех уведомлений и коммуникаций с клиентами</w:t>
      </w:r>
    </w:p>
    <w:p w:rsidR="00DB25FF" w:rsidRDefault="002C470B">
      <w:pPr>
        <w:pStyle w:val="af8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результатах и обратной связи от клиентов</w:t>
      </w:r>
    </w:p>
    <w:p w:rsidR="00DB25FF" w:rsidRDefault="00DB25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Тестирование и обновление плана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 Тестирование восстановления:</w:t>
      </w:r>
    </w:p>
    <w:p w:rsidR="00DB25FF" w:rsidRDefault="002C470B">
      <w:pPr>
        <w:spacing w:line="276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Действия: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ежегодного тестирования восстановления из резервных копий.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 всех критичных систем и данных в процесс тестирования.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тестирования в условиях, максимально приближенных к реальным.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Анализ результатов тестирования и выявление проблемных областей.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Обновлять DRP по мере выявления новых рисков и изменения ИТ-инфраструктуры (например, раз в год).</w:t>
      </w:r>
    </w:p>
    <w:p w:rsidR="00DB25FF" w:rsidRDefault="002C470B">
      <w:pPr>
        <w:pStyle w:val="af8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Вести журнал проведенных тестирований и изменений DRP. </w:t>
      </w:r>
    </w:p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DB25FF" w:rsidRDefault="00DB25FF">
      <w:pPr>
        <w:spacing w:line="276" w:lineRule="auto"/>
        <w:rPr>
          <w:rFonts w:ascii="Times New Roman" w:hAnsi="Times New Roman" w:cs="Times New Roman"/>
        </w:rPr>
        <w:sectPr w:rsidR="00DB25FF" w:rsidSect="006167A3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:rsidR="00DB25FF" w:rsidRDefault="002C470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1. Типовые действия сотрудников</w:t>
      </w:r>
    </w:p>
    <w:tbl>
      <w:tblPr>
        <w:tblW w:w="47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2126"/>
        <w:gridCol w:w="5404"/>
        <w:gridCol w:w="3371"/>
      </w:tblGrid>
      <w:tr w:rsidR="00DB25FF">
        <w:trPr>
          <w:tblHeader/>
          <w:jc w:val="center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after="0" w:line="276" w:lineRule="auto"/>
              <w:ind w:left="-113" w:right="-113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Функции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after="0" w:line="276" w:lineRule="auto"/>
              <w:ind w:left="-113" w:right="-113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Средство</w:t>
            </w:r>
          </w:p>
        </w:tc>
        <w:tc>
          <w:tcPr>
            <w:tcW w:w="5404" w:type="dxa"/>
            <w:shd w:val="clear" w:color="auto" w:fill="F2F2F2" w:themeFill="background1" w:themeFillShade="F2"/>
            <w:noWrap/>
            <w:vAlign w:val="center"/>
          </w:tcPr>
          <w:p w:rsidR="00DB25FF" w:rsidRDefault="002C470B">
            <w:pPr>
              <w:pStyle w:val="af8"/>
              <w:spacing w:after="0" w:line="276" w:lineRule="auto"/>
              <w:ind w:left="-113" w:right="-113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Выполняемые действия</w:t>
            </w:r>
          </w:p>
        </w:tc>
        <w:tc>
          <w:tcPr>
            <w:tcW w:w="3371" w:type="dxa"/>
            <w:shd w:val="clear" w:color="auto" w:fill="F2F2F2" w:themeFill="background1" w:themeFillShade="F2"/>
            <w:vAlign w:val="center"/>
          </w:tcPr>
          <w:p w:rsidR="00DB25FF" w:rsidRDefault="002C470B">
            <w:pPr>
              <w:pStyle w:val="af8"/>
              <w:spacing w:after="0" w:line="276" w:lineRule="auto"/>
              <w:ind w:left="-113" w:right="-113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События ИБ</w:t>
            </w:r>
          </w:p>
        </w:tc>
      </w:tr>
      <w:tr w:rsidR="00DB25FF">
        <w:trPr>
          <w:jc w:val="center"/>
        </w:trPr>
        <w:tc>
          <w:tcPr>
            <w:tcW w:w="2405" w:type="dxa"/>
            <w:vMerge w:val="restart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Мониторинг событий ИБ и выявление инцидентов ИБ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Основное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Мониторинг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Zabbix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Мониторинг и направление на предварительный анализ (при необходимости) поступающих сообщений об авариях, недоступности каналов связи, инфраструктурных сервисов, средств защиты, инцидентах ИБ и подозрениях на инциденты, информирование работников о поступающих событиях недоступности каких-либо инфраструктурных сервисов, компонентов, либо каналов связи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Все сообщения об авариях, затрагивающие те или иные сервисы</w:t>
            </w:r>
          </w:p>
        </w:tc>
      </w:tr>
      <w:tr w:rsidR="00DB25FF">
        <w:trPr>
          <w:jc w:val="center"/>
        </w:trPr>
        <w:tc>
          <w:tcPr>
            <w:tcW w:w="2405" w:type="dxa"/>
            <w:vMerge/>
            <w:shd w:val="clear" w:color="auto" w:fill="auto"/>
            <w:vAlign w:val="center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Электронная почта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Мониторинг сообщений, поступающих персональный корпоративный почтовый ящик от МЭ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Неверный логин/пароль, детект атаки</w:t>
            </w:r>
          </w:p>
        </w:tc>
      </w:tr>
      <w:tr w:rsidR="00DB25FF">
        <w:trPr>
          <w:jc w:val="center"/>
        </w:trPr>
        <w:tc>
          <w:tcPr>
            <w:tcW w:w="2405" w:type="dxa"/>
            <w:vMerge/>
            <w:shd w:val="clear" w:color="auto" w:fill="auto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Kaspersky Security Center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Подробный анализ событий в части САЗ, поступивших от средств мониторинга (напрямую или в 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KAV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), подтверждение фактов того, что зараженный объект не был вылечен/удален/заблокирован</w:t>
            </w:r>
          </w:p>
        </w:tc>
        <w:tc>
          <w:tcPr>
            <w:tcW w:w="3371" w:type="dxa"/>
          </w:tcPr>
          <w:p w:rsidR="00DB25FF" w:rsidRDefault="002C470B">
            <w:pPr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Связанные с САЗ в соответствии с классификацией</w:t>
            </w:r>
          </w:p>
        </w:tc>
      </w:tr>
      <w:tr w:rsidR="00DB25FF">
        <w:trPr>
          <w:jc w:val="center"/>
        </w:trPr>
        <w:tc>
          <w:tcPr>
            <w:tcW w:w="2405" w:type="dxa"/>
            <w:vMerge/>
            <w:shd w:val="clear" w:color="auto" w:fill="auto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Microsoft Active Directory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Получение сведений о доменных учетных записях и группах, объектах полномочий, фигурирующих в событиях ИБ, поступивших от средств мониторинга </w:t>
            </w:r>
          </w:p>
        </w:tc>
        <w:tc>
          <w:tcPr>
            <w:tcW w:w="3371" w:type="dxa"/>
          </w:tcPr>
          <w:p w:rsidR="00DB25FF" w:rsidRDefault="002C470B">
            <w:pPr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Все поступившие сообщения (особое внимание следует уделять сообщениям, поступившим от службы ИБ)</w:t>
            </w:r>
          </w:p>
        </w:tc>
      </w:tr>
      <w:tr w:rsidR="00DB25FF">
        <w:trPr>
          <w:jc w:val="center"/>
        </w:trPr>
        <w:tc>
          <w:tcPr>
            <w:tcW w:w="2405" w:type="dxa"/>
            <w:vMerge/>
            <w:shd w:val="clear" w:color="auto" w:fill="auto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Вспомогательное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Журнал ИТ активов</w:t>
            </w:r>
          </w:p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Просмотр информации об установленных обновлениях на объектах, подвергшихся, об учетных записях пользователей в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Unix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-системах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 соответствии с классификацией (при необходимости получения дополнительных сведений)</w:t>
            </w:r>
          </w:p>
        </w:tc>
      </w:tr>
      <w:tr w:rsidR="00DB25FF">
        <w:trPr>
          <w:trHeight w:val="230"/>
          <w:jc w:val="center"/>
        </w:trPr>
        <w:tc>
          <w:tcPr>
            <w:tcW w:w="2405" w:type="dxa"/>
            <w:vMerge/>
            <w:shd w:val="clear" w:color="auto" w:fill="auto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ИТ-календарь  </w:t>
            </w:r>
          </w:p>
        </w:tc>
        <w:tc>
          <w:tcPr>
            <w:tcW w:w="5404" w:type="dxa"/>
            <w:noWrap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 работ, зафиксированных работниками других подразделений в ИТ-календаре</w:t>
            </w:r>
          </w:p>
        </w:tc>
        <w:tc>
          <w:tcPr>
            <w:tcW w:w="3371" w:type="dxa"/>
          </w:tcPr>
          <w:p w:rsidR="00DB25FF" w:rsidRDefault="00DB25FF">
            <w:pPr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B25FF">
        <w:trPr>
          <w:jc w:val="center"/>
        </w:trPr>
        <w:tc>
          <w:tcPr>
            <w:tcW w:w="2405" w:type="dxa"/>
            <w:vMerge/>
            <w:shd w:val="clear" w:color="auto" w:fill="auto"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DB25FF" w:rsidRDefault="00DB25FF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Открытие и обработка карточек инцидентов ИБ</w:t>
            </w:r>
          </w:p>
        </w:tc>
        <w:tc>
          <w:tcPr>
            <w:tcW w:w="5404" w:type="dxa"/>
            <w:noWrap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Получение информации о закреплении АРМ за пользователями, получение данных о пользователях, сбор логов и событий связанных с АРМ</w:t>
            </w:r>
          </w:p>
        </w:tc>
        <w:tc>
          <w:tcPr>
            <w:tcW w:w="3371" w:type="dxa"/>
          </w:tcPr>
          <w:p w:rsidR="00DB25FF" w:rsidRDefault="002C470B">
            <w:pPr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 соответствии с классификацией</w:t>
            </w:r>
          </w:p>
        </w:tc>
      </w:tr>
      <w:tr w:rsidR="00DB25FF">
        <w:trPr>
          <w:jc w:val="center"/>
        </w:trPr>
        <w:tc>
          <w:tcPr>
            <w:tcW w:w="2405" w:type="dxa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Обработка событий ИБ</w:t>
            </w:r>
          </w:p>
        </w:tc>
        <w:tc>
          <w:tcPr>
            <w:tcW w:w="2693" w:type="dxa"/>
            <w:gridSpan w:val="2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Все источники мониторинга и сбора событий 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Анализ событий, при помощи всех доступных средств мониторинга (основных и вспомогательных) с целью получения максимально полной информации по ним, обработка (внесение записей и закрытие событий) событий в системе, запрос информации по ним у лиц, отвечающих за эксплуатацию объекта информатизации, фигурирующего в событии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Все события ИБ </w:t>
            </w:r>
          </w:p>
        </w:tc>
      </w:tr>
      <w:tr w:rsidR="00DB25FF">
        <w:trPr>
          <w:jc w:val="center"/>
        </w:trPr>
        <w:tc>
          <w:tcPr>
            <w:tcW w:w="2405" w:type="dxa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Просмотр ИТ-календаря</w:t>
            </w:r>
          </w:p>
        </w:tc>
        <w:tc>
          <w:tcPr>
            <w:tcW w:w="2693" w:type="dxa"/>
            <w:gridSpan w:val="2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ИТ-календарь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Выполнение рассылок, согласно утвержденным сценариям реагирования, информирование администраторов ИТ-активов, АИБ, руководителей,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Все записи в ИТ-календаре, приходящиеся на смену работника</w:t>
            </w:r>
          </w:p>
        </w:tc>
      </w:tr>
      <w:tr w:rsidR="00DB25FF">
        <w:trPr>
          <w:jc w:val="center"/>
        </w:trPr>
        <w:tc>
          <w:tcPr>
            <w:tcW w:w="2405" w:type="dxa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Регистрация событий ИБ и направление запросов на устранение недостатков</w:t>
            </w:r>
          </w:p>
        </w:tc>
        <w:tc>
          <w:tcPr>
            <w:tcW w:w="2693" w:type="dxa"/>
            <w:gridSpan w:val="2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Журнал инцидентов ИБ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Открытие и обработка карточек инцидентов ИБ</w:t>
            </w:r>
          </w:p>
        </w:tc>
        <w:tc>
          <w:tcPr>
            <w:tcW w:w="3371" w:type="dxa"/>
          </w:tcPr>
          <w:p w:rsidR="00DB25FF" w:rsidRDefault="002C470B">
            <w:pPr>
              <w:pStyle w:val="af8"/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 решению руководства отдела или Управления</w:t>
            </w:r>
          </w:p>
        </w:tc>
      </w:tr>
      <w:tr w:rsidR="00DB25FF">
        <w:trPr>
          <w:jc w:val="center"/>
        </w:trPr>
        <w:tc>
          <w:tcPr>
            <w:tcW w:w="2405" w:type="dxa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Мониторинг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сетевой активности</w:t>
            </w:r>
          </w:p>
        </w:tc>
        <w:tc>
          <w:tcPr>
            <w:tcW w:w="2693" w:type="dxa"/>
            <w:gridSpan w:val="2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Панель управления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Zywall</w:t>
            </w:r>
          </w:p>
        </w:tc>
        <w:tc>
          <w:tcPr>
            <w:tcW w:w="5404" w:type="dxa"/>
            <w:shd w:val="clear" w:color="auto" w:fill="auto"/>
            <w:noWrap/>
            <w:vAlign w:val="center"/>
          </w:tcPr>
          <w:p w:rsidR="00DB25FF" w:rsidRDefault="002C470B">
            <w:pPr>
              <w:spacing w:after="0" w:line="276" w:lineRule="auto"/>
              <w:ind w:left="-57" w:right="-5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Мониторинг сетевой активности в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инфраструктуре согласно отчетам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Zywall</w:t>
            </w:r>
          </w:p>
        </w:tc>
        <w:tc>
          <w:tcPr>
            <w:tcW w:w="3371" w:type="dxa"/>
          </w:tcPr>
          <w:p w:rsidR="00DB25FF" w:rsidRDefault="002C470B">
            <w:pPr>
              <w:spacing w:after="0" w:line="276" w:lineRule="auto"/>
              <w:ind w:left="-57" w:right="-57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Блокировка трафика </w:t>
            </w:r>
          </w:p>
        </w:tc>
      </w:tr>
    </w:tbl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p w:rsidR="00DB25FF" w:rsidRDefault="002C470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DB25FF" w:rsidRDefault="00DB25FF">
      <w:pPr>
        <w:spacing w:line="276" w:lineRule="auto"/>
        <w:rPr>
          <w:rFonts w:ascii="Times New Roman" w:hAnsi="Times New Roman" w:cs="Times New Roman"/>
        </w:rPr>
        <w:sectPr w:rsidR="00DB25FF" w:rsidSect="005F25A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B25FF" w:rsidRDefault="002C470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DB25FF" w:rsidRDefault="002C470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Положению </w:t>
      </w:r>
      <w:r>
        <w:rPr>
          <w:rFonts w:ascii="Times New Roman" w:eastAsia="Calibri" w:hAnsi="Times New Roman" w:cs="Times New Roman"/>
          <w:b/>
          <w:sz w:val="24"/>
          <w:szCs w:val="24"/>
        </w:rPr>
        <w:t>о порядке расследования инцидентов</w:t>
      </w:r>
      <w:r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информационной безопасности</w:t>
      </w:r>
    </w:p>
    <w:p w:rsidR="00DB25FF" w:rsidRDefault="00DB25FF">
      <w:pPr>
        <w:spacing w:after="0" w:line="276" w:lineRule="auto"/>
        <w:jc w:val="right"/>
        <w:rPr>
          <w:rFonts w:cs="Times New Roman"/>
          <w:sz w:val="28"/>
          <w:szCs w:val="28"/>
        </w:rPr>
      </w:pPr>
    </w:p>
    <w:p w:rsidR="00DB25FF" w:rsidRDefault="002C470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КОНТАКТНАЯ ИНФОРМАЦИЯ</w:t>
      </w:r>
    </w:p>
    <w:p w:rsidR="00DB25FF" w:rsidRDefault="002C470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информирования должностных лиц,</w:t>
      </w:r>
    </w:p>
    <w:p w:rsidR="00DB25FF" w:rsidRDefault="002C470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участвующих в процессе восстановления</w:t>
      </w:r>
    </w:p>
    <w:p w:rsidR="00DB25FF" w:rsidRDefault="00DB25FF">
      <w:pPr>
        <w:spacing w:after="0" w:line="276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DB25FF" w:rsidRDefault="002C470B">
      <w:pPr>
        <w:spacing w:before="120" w:after="80" w:line="276" w:lineRule="auto"/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b/>
          <w:sz w:val="18"/>
          <w:szCs w:val="24"/>
        </w:rPr>
        <w:t xml:space="preserve"> </w:t>
      </w:r>
    </w:p>
    <w:tbl>
      <w:tblPr>
        <w:tblStyle w:val="af9"/>
        <w:tblW w:w="1005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544"/>
        <w:gridCol w:w="2406"/>
      </w:tblGrid>
      <w:tr w:rsidR="00DB25F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Фамилия Имя Отчество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Электронная почта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B25FF" w:rsidRDefault="002C470B">
            <w:pPr>
              <w:spacing w:line="276" w:lineRule="auto"/>
              <w:ind w:right="2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Телефон</w:t>
            </w:r>
          </w:p>
        </w:tc>
      </w:tr>
      <w:tr w:rsidR="00DB25FF">
        <w:trPr>
          <w:jc w:val="center"/>
        </w:trPr>
        <w:tc>
          <w:tcPr>
            <w:tcW w:w="10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Pr="00D36FF5" w:rsidRDefault="002C470B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6FF5">
              <w:rPr>
                <w:rFonts w:ascii="Times New Roman" w:hAnsi="Times New Roman" w:cs="Times New Roman"/>
                <w:b/>
                <w:sz w:val="20"/>
                <w:szCs w:val="20"/>
              </w:rPr>
              <w:t>Руководство</w:t>
            </w:r>
          </w:p>
        </w:tc>
      </w:tr>
      <w:tr w:rsidR="00DB25F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7B552B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552B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Лисица Андрей Валерьевич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2C470B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lisitsa@goodsforecast.ru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5F25AA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wmi-callto"/>
                <w:rFonts w:ascii="Times New Roman" w:hAnsi="Times New Roman" w:cs="Times New Roman"/>
                <w:sz w:val="20"/>
                <w:szCs w:val="20"/>
              </w:rPr>
              <w:t>8</w:t>
            </w:r>
            <w:r w:rsidR="002C470B">
              <w:rPr>
                <w:rStyle w:val="wmi-callto"/>
                <w:rFonts w:ascii="Times New Roman" w:hAnsi="Times New Roman" w:cs="Times New Roman"/>
                <w:sz w:val="20"/>
                <w:szCs w:val="20"/>
              </w:rPr>
              <w:t>-916-936-22-97</w:t>
            </w:r>
          </w:p>
        </w:tc>
      </w:tr>
      <w:tr w:rsidR="00DB25F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7B552B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552B">
              <w:rPr>
                <w:rFonts w:ascii="Times New Roman" w:hAnsi="Times New Roman" w:cs="Times New Roman"/>
                <w:sz w:val="20"/>
                <w:szCs w:val="20"/>
              </w:rPr>
              <w:t>Мажитов Эльдар Серикович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2C470B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mazhitov_eldar@goodsforecast.ru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2C470B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wmi-callto"/>
                <w:rFonts w:ascii="Times New Roman" w:hAnsi="Times New Roman" w:cs="Times New Roman"/>
                <w:sz w:val="20"/>
                <w:szCs w:val="20"/>
              </w:rPr>
              <w:t>8-800-350-45-46</w:t>
            </w:r>
          </w:p>
        </w:tc>
      </w:tr>
      <w:tr w:rsidR="00DB25FF">
        <w:trPr>
          <w:jc w:val="center"/>
        </w:trPr>
        <w:tc>
          <w:tcPr>
            <w:tcW w:w="10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Pr="00D36FF5" w:rsidRDefault="002C470B" w:rsidP="00D36FF5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6FF5">
              <w:rPr>
                <w:rFonts w:ascii="Times New Roman" w:hAnsi="Times New Roman" w:cs="Times New Roman"/>
                <w:b/>
                <w:sz w:val="20"/>
                <w:szCs w:val="20"/>
              </w:rPr>
              <w:t>ИТ отдел</w:t>
            </w: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7B552B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552B">
              <w:rPr>
                <w:rFonts w:ascii="Times New Roman" w:hAnsi="Times New Roman" w:cs="Times New Roman"/>
                <w:sz w:val="20"/>
                <w:szCs w:val="20"/>
              </w:rPr>
              <w:t>Микрюков Петр Геннадьевич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2C470B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mikrukov@goodsforecast.ru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2C470B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wmi-callto"/>
                <w:rFonts w:ascii="Times New Roman" w:hAnsi="Times New Roman" w:cs="Times New Roman"/>
                <w:sz w:val="20"/>
                <w:szCs w:val="20"/>
                <w:lang w:val="en-US"/>
              </w:rPr>
              <w:t>8-800-350-45-46</w:t>
            </w: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0E0D22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0D22">
              <w:rPr>
                <w:rFonts w:ascii="Times New Roman" w:hAnsi="Times New Roman" w:cs="Times New Roman"/>
                <w:sz w:val="20"/>
                <w:szCs w:val="20"/>
              </w:rPr>
              <w:t>Кириллов Кирилл Алексеевич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0E0D22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0D22">
              <w:rPr>
                <w:rFonts w:ascii="Times New Roman" w:hAnsi="Times New Roman" w:cs="Times New Roman"/>
                <w:sz w:val="20"/>
                <w:szCs w:val="20"/>
              </w:rPr>
              <w:t>kirillov_kirill@goodsforecast.ru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trHeight w:val="157"/>
          <w:jc w:val="center"/>
        </w:trPr>
        <w:tc>
          <w:tcPr>
            <w:tcW w:w="10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Pr="00D36FF5" w:rsidRDefault="002C470B" w:rsidP="00D36FF5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6FF5">
              <w:rPr>
                <w:rFonts w:ascii="Times New Roman" w:hAnsi="Times New Roman" w:cs="Times New Roman"/>
                <w:b/>
                <w:sz w:val="20"/>
                <w:szCs w:val="20"/>
              </w:rPr>
              <w:t>Служба информационной безопасности</w:t>
            </w: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2C470B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Новиков Виталий Сергеевич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2C470B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novikov_vitaliy@goodsforecast.ru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2C470B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8-921-578-66-92</w:t>
            </w:r>
          </w:p>
        </w:tc>
      </w:tr>
      <w:tr w:rsidR="00DB25FF">
        <w:trPr>
          <w:trHeight w:val="157"/>
          <w:jc w:val="center"/>
        </w:trPr>
        <w:tc>
          <w:tcPr>
            <w:tcW w:w="10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Pr="00D36FF5" w:rsidRDefault="002C470B" w:rsidP="00D36FF5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6FF5">
              <w:rPr>
                <w:rFonts w:ascii="Times New Roman" w:hAnsi="Times New Roman" w:cs="Times New Roman"/>
                <w:b/>
                <w:sz w:val="20"/>
                <w:szCs w:val="20"/>
              </w:rPr>
              <w:t>Отдел маркетинга</w:t>
            </w: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7B552B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552B">
              <w:rPr>
                <w:rFonts w:ascii="Times New Roman" w:hAnsi="Times New Roman" w:cs="Times New Roman"/>
                <w:sz w:val="20"/>
                <w:szCs w:val="20"/>
              </w:rPr>
              <w:t>Перцева Александра Сергеевна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2C470B" w:rsidP="00D36FF5">
            <w:pPr>
              <w:spacing w:line="276" w:lineRule="auto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pertseva_alexandra@goodsforecast.ru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5F25AA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2C470B">
              <w:rPr>
                <w:rFonts w:ascii="Times New Roman" w:hAnsi="Times New Roman" w:cs="Times New Roman"/>
                <w:sz w:val="20"/>
                <w:szCs w:val="20"/>
              </w:rPr>
              <w:t>-926-078-09-79</w:t>
            </w:r>
          </w:p>
        </w:tc>
      </w:tr>
      <w:tr w:rsidR="00DB25FF">
        <w:trPr>
          <w:trHeight w:val="157"/>
          <w:jc w:val="center"/>
        </w:trPr>
        <w:tc>
          <w:tcPr>
            <w:tcW w:w="10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Pr="00D36FF5" w:rsidRDefault="002C470B" w:rsidP="00D36FF5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6FF5">
              <w:rPr>
                <w:rFonts w:ascii="Times New Roman" w:hAnsi="Times New Roman" w:cs="Times New Roman"/>
                <w:b/>
                <w:sz w:val="20"/>
                <w:szCs w:val="20"/>
              </w:rPr>
              <w:t>Структурное подразделение</w:t>
            </w: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907B39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7B39">
              <w:rPr>
                <w:rFonts w:ascii="Times New Roman" w:hAnsi="Times New Roman" w:cs="Times New Roman"/>
                <w:sz w:val="20"/>
                <w:szCs w:val="20"/>
              </w:rPr>
              <w:t>Ремизов Алексей Сергеевич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907B39" w:rsidP="00D36FF5">
            <w:pPr>
              <w:spacing w:line="276" w:lineRule="auto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907B39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remizov_alexey@goodsforecast.ru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907B39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7B39">
              <w:rPr>
                <w:rFonts w:ascii="Times New Roman" w:hAnsi="Times New Roman" w:cs="Times New Roman"/>
                <w:sz w:val="20"/>
                <w:szCs w:val="20"/>
              </w:rPr>
              <w:t>Зарин Денис Александрович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907B39" w:rsidP="00D36FF5">
            <w:pPr>
              <w:spacing w:line="276" w:lineRule="auto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907B39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zarin_denis@goodsforecast.ru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907B39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7B39">
              <w:rPr>
                <w:rFonts w:ascii="Times New Roman" w:hAnsi="Times New Roman" w:cs="Times New Roman"/>
                <w:sz w:val="20"/>
                <w:szCs w:val="20"/>
              </w:rPr>
              <w:t>Котик Сергей Витальевич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907B39" w:rsidP="00D36FF5">
            <w:pPr>
              <w:spacing w:line="276" w:lineRule="auto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907B39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kotik@goodsforecast.ru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25FF">
        <w:trPr>
          <w:trHeight w:val="1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pStyle w:val="af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907B39" w:rsidP="00D36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7B39">
              <w:rPr>
                <w:rFonts w:ascii="Times New Roman" w:hAnsi="Times New Roman" w:cs="Times New Roman"/>
                <w:sz w:val="20"/>
                <w:szCs w:val="20"/>
              </w:rPr>
              <w:t>Киреев Константин Александрович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907B39" w:rsidP="00D36FF5">
            <w:pPr>
              <w:spacing w:line="276" w:lineRule="auto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907B39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kireev_konstantin@goodsforecast.ru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FF" w:rsidRDefault="00DB25FF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B25FF" w:rsidRDefault="00DB25FF">
      <w:pPr>
        <w:spacing w:line="276" w:lineRule="auto"/>
        <w:rPr>
          <w:rFonts w:ascii="Times New Roman" w:hAnsi="Times New Roman" w:cs="Times New Roman"/>
        </w:rPr>
      </w:pPr>
    </w:p>
    <w:sectPr w:rsidR="00DB25FF" w:rsidSect="005F25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CA4" w:rsidRDefault="00CC1CA4">
      <w:pPr>
        <w:spacing w:after="0" w:line="240" w:lineRule="auto"/>
      </w:pPr>
      <w:r>
        <w:separator/>
      </w:r>
    </w:p>
  </w:endnote>
  <w:endnote w:type="continuationSeparator" w:id="0">
    <w:p w:rsidR="00CC1CA4" w:rsidRDefault="00CC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CA4" w:rsidRDefault="00CC1CA4">
      <w:pPr>
        <w:spacing w:after="0" w:line="240" w:lineRule="auto"/>
      </w:pPr>
      <w:r>
        <w:separator/>
      </w:r>
    </w:p>
  </w:footnote>
  <w:footnote w:type="continuationSeparator" w:id="0">
    <w:p w:rsidR="00CC1CA4" w:rsidRDefault="00CC1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5317"/>
    <w:multiLevelType w:val="hybridMultilevel"/>
    <w:tmpl w:val="BDAE6E28"/>
    <w:lvl w:ilvl="0" w:tplc="7E3C2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8E4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85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EE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E6C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B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87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0E6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1A7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28E8"/>
    <w:multiLevelType w:val="hybridMultilevel"/>
    <w:tmpl w:val="FF808674"/>
    <w:lvl w:ilvl="0" w:tplc="7AFC8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E7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67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6E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0C1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A5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60B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7A7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B8C"/>
    <w:multiLevelType w:val="hybridMultilevel"/>
    <w:tmpl w:val="8A9A992A"/>
    <w:lvl w:ilvl="0" w:tplc="8EEA3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E40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5E4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8C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852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AEA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2C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AE9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026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D47F6"/>
    <w:multiLevelType w:val="hybridMultilevel"/>
    <w:tmpl w:val="F4284136"/>
    <w:lvl w:ilvl="0" w:tplc="13981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20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427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0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C08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C6B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8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098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4E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27857"/>
    <w:multiLevelType w:val="hybridMultilevel"/>
    <w:tmpl w:val="F7A28F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A44"/>
    <w:multiLevelType w:val="hybridMultilevel"/>
    <w:tmpl w:val="933C1254"/>
    <w:lvl w:ilvl="0" w:tplc="84A08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E6F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520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04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4F6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2E7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3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0C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2AF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D71AF"/>
    <w:multiLevelType w:val="hybridMultilevel"/>
    <w:tmpl w:val="0A407298"/>
    <w:lvl w:ilvl="0" w:tplc="AFCA7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9D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E61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C4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0FA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AC3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AB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001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90F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A4D16"/>
    <w:multiLevelType w:val="multilevel"/>
    <w:tmpl w:val="0D9A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30D8C"/>
    <w:multiLevelType w:val="hybridMultilevel"/>
    <w:tmpl w:val="CD804ABA"/>
    <w:lvl w:ilvl="0" w:tplc="5A248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635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C43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0C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C5E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BE6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60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8FA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8A4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230"/>
    <w:multiLevelType w:val="hybridMultilevel"/>
    <w:tmpl w:val="DA3CD892"/>
    <w:lvl w:ilvl="0" w:tplc="094C0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C35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D2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06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1B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78F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25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AEF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24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F7530"/>
    <w:multiLevelType w:val="hybridMultilevel"/>
    <w:tmpl w:val="ED602144"/>
    <w:lvl w:ilvl="0" w:tplc="8364F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ED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087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6D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CFB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42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03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A74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2E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A6388"/>
    <w:multiLevelType w:val="hybridMultilevel"/>
    <w:tmpl w:val="62C8FB30"/>
    <w:lvl w:ilvl="0" w:tplc="0F2ED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C30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909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09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86E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22A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4A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8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AAD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221E6"/>
    <w:multiLevelType w:val="hybridMultilevel"/>
    <w:tmpl w:val="4C782814"/>
    <w:lvl w:ilvl="0" w:tplc="DB304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42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E0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8B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020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46F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6C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6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4A6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2396A"/>
    <w:multiLevelType w:val="hybridMultilevel"/>
    <w:tmpl w:val="C6A898DC"/>
    <w:lvl w:ilvl="0" w:tplc="B85089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FC44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94E2B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34467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9EEEF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EE4FF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1E64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3886C5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6AA36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793BA9"/>
    <w:multiLevelType w:val="hybridMultilevel"/>
    <w:tmpl w:val="E098DDB4"/>
    <w:lvl w:ilvl="0" w:tplc="F1087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EB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ACA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06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E65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A6C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6C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08E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56D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81C8E"/>
    <w:multiLevelType w:val="hybridMultilevel"/>
    <w:tmpl w:val="301E39CE"/>
    <w:lvl w:ilvl="0" w:tplc="F3AC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ACF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E6D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C8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0E7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EC8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4F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4E8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44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F649E"/>
    <w:multiLevelType w:val="hybridMultilevel"/>
    <w:tmpl w:val="A83A4576"/>
    <w:lvl w:ilvl="0" w:tplc="3836B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78E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2D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228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DE0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47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ED9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E2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87B0B"/>
    <w:multiLevelType w:val="hybridMultilevel"/>
    <w:tmpl w:val="7598B6AA"/>
    <w:lvl w:ilvl="0" w:tplc="33780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CAE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DC0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EF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08C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8EA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89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C6A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7E9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B3484"/>
    <w:multiLevelType w:val="hybridMultilevel"/>
    <w:tmpl w:val="C616DCF6"/>
    <w:lvl w:ilvl="0" w:tplc="79C86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E02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96E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E7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E1C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F23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B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1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5C8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E2C12"/>
    <w:multiLevelType w:val="hybridMultilevel"/>
    <w:tmpl w:val="C68C758E"/>
    <w:lvl w:ilvl="0" w:tplc="54A82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673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005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83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855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288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85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EFD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A0D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D765E"/>
    <w:multiLevelType w:val="hybridMultilevel"/>
    <w:tmpl w:val="AB767EE2"/>
    <w:lvl w:ilvl="0" w:tplc="45C06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23A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AAF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85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489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3E7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25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291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269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C5A56"/>
    <w:multiLevelType w:val="hybridMultilevel"/>
    <w:tmpl w:val="A7A4BA80"/>
    <w:lvl w:ilvl="0" w:tplc="55B68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ED4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4A0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C9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3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16D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9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2BC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6C8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F4703"/>
    <w:multiLevelType w:val="hybridMultilevel"/>
    <w:tmpl w:val="03426FAE"/>
    <w:lvl w:ilvl="0" w:tplc="FD346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C53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B8F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20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251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9EF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43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CDE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565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84C62"/>
    <w:multiLevelType w:val="hybridMultilevel"/>
    <w:tmpl w:val="0D12D8F4"/>
    <w:lvl w:ilvl="0" w:tplc="BED48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DBE65F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598258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5BC4E2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68C813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700584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5FC3EE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4A4406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28612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0C62D0"/>
    <w:multiLevelType w:val="hybridMultilevel"/>
    <w:tmpl w:val="3A44B096"/>
    <w:lvl w:ilvl="0" w:tplc="1E38A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EF2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289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1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480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BCD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67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861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568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C51ED"/>
    <w:multiLevelType w:val="hybridMultilevel"/>
    <w:tmpl w:val="53B8346C"/>
    <w:lvl w:ilvl="0" w:tplc="71C4E3D8">
      <w:start w:val="1"/>
      <w:numFmt w:val="decimal"/>
      <w:lvlText w:val="%1."/>
      <w:lvlJc w:val="left"/>
      <w:pPr>
        <w:ind w:left="502" w:hanging="360"/>
      </w:pPr>
    </w:lvl>
    <w:lvl w:ilvl="1" w:tplc="6A84E7CA">
      <w:start w:val="1"/>
      <w:numFmt w:val="lowerLetter"/>
      <w:lvlText w:val="%2."/>
      <w:lvlJc w:val="left"/>
      <w:pPr>
        <w:ind w:left="1222" w:hanging="360"/>
      </w:pPr>
    </w:lvl>
    <w:lvl w:ilvl="2" w:tplc="BD6A0600">
      <w:start w:val="1"/>
      <w:numFmt w:val="lowerRoman"/>
      <w:lvlText w:val="%3."/>
      <w:lvlJc w:val="right"/>
      <w:pPr>
        <w:ind w:left="1942" w:hanging="180"/>
      </w:pPr>
    </w:lvl>
    <w:lvl w:ilvl="3" w:tplc="8E4C6D20">
      <w:start w:val="1"/>
      <w:numFmt w:val="decimal"/>
      <w:lvlText w:val="%4."/>
      <w:lvlJc w:val="left"/>
      <w:pPr>
        <w:ind w:left="2662" w:hanging="360"/>
      </w:pPr>
    </w:lvl>
    <w:lvl w:ilvl="4" w:tplc="FB0A69FA">
      <w:start w:val="1"/>
      <w:numFmt w:val="lowerLetter"/>
      <w:lvlText w:val="%5."/>
      <w:lvlJc w:val="left"/>
      <w:pPr>
        <w:ind w:left="3382" w:hanging="360"/>
      </w:pPr>
    </w:lvl>
    <w:lvl w:ilvl="5" w:tplc="221AC8C0">
      <w:start w:val="1"/>
      <w:numFmt w:val="lowerRoman"/>
      <w:lvlText w:val="%6."/>
      <w:lvlJc w:val="right"/>
      <w:pPr>
        <w:ind w:left="4102" w:hanging="180"/>
      </w:pPr>
    </w:lvl>
    <w:lvl w:ilvl="6" w:tplc="E5265F64">
      <w:start w:val="1"/>
      <w:numFmt w:val="decimal"/>
      <w:lvlText w:val="%7."/>
      <w:lvlJc w:val="left"/>
      <w:pPr>
        <w:ind w:left="4822" w:hanging="360"/>
      </w:pPr>
    </w:lvl>
    <w:lvl w:ilvl="7" w:tplc="FB1C09A0">
      <w:start w:val="1"/>
      <w:numFmt w:val="lowerLetter"/>
      <w:lvlText w:val="%8."/>
      <w:lvlJc w:val="left"/>
      <w:pPr>
        <w:ind w:left="5542" w:hanging="360"/>
      </w:pPr>
    </w:lvl>
    <w:lvl w:ilvl="8" w:tplc="93021D9C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8410ECB"/>
    <w:multiLevelType w:val="multilevel"/>
    <w:tmpl w:val="820A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33EBA"/>
    <w:multiLevelType w:val="hybridMultilevel"/>
    <w:tmpl w:val="3EACD9EA"/>
    <w:lvl w:ilvl="0" w:tplc="7DB4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CC4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183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A7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E61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C24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65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6A1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7ED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80897"/>
    <w:multiLevelType w:val="hybridMultilevel"/>
    <w:tmpl w:val="7FECE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E2421"/>
    <w:multiLevelType w:val="hybridMultilevel"/>
    <w:tmpl w:val="A1AE267A"/>
    <w:lvl w:ilvl="0" w:tplc="5B60C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2C9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AE1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45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CC1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4E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2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0E0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540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46866"/>
    <w:multiLevelType w:val="hybridMultilevel"/>
    <w:tmpl w:val="AA4CC4D8"/>
    <w:lvl w:ilvl="0" w:tplc="09042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611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067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CB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0AB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A85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C1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2CD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E1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5458A"/>
    <w:multiLevelType w:val="hybridMultilevel"/>
    <w:tmpl w:val="01BAAF5E"/>
    <w:lvl w:ilvl="0" w:tplc="1DEAF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2C2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90D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EF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2DB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B62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F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439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FAA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C4BE9"/>
    <w:multiLevelType w:val="hybridMultilevel"/>
    <w:tmpl w:val="F3CC73F8"/>
    <w:lvl w:ilvl="0" w:tplc="5A363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209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AC1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42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469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582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6B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039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E2B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C0F02"/>
    <w:multiLevelType w:val="hybridMultilevel"/>
    <w:tmpl w:val="FFBA32D4"/>
    <w:lvl w:ilvl="0" w:tplc="7C985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C58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4EA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25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8C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562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E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661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24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F5B63"/>
    <w:multiLevelType w:val="hybridMultilevel"/>
    <w:tmpl w:val="6B74DFEC"/>
    <w:lvl w:ilvl="0" w:tplc="0F768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F61E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AAD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09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4E8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941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E5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42D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EE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B7621"/>
    <w:multiLevelType w:val="hybridMultilevel"/>
    <w:tmpl w:val="203AD582"/>
    <w:lvl w:ilvl="0" w:tplc="7FFA2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CBF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FA3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6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E23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2B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02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C39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ECA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5A539C"/>
    <w:multiLevelType w:val="hybridMultilevel"/>
    <w:tmpl w:val="93800B92"/>
    <w:lvl w:ilvl="0" w:tplc="29AC2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ACA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1A5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02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E5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7C1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2F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8F6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363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C5F70"/>
    <w:multiLevelType w:val="multilevel"/>
    <w:tmpl w:val="30E0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59524B"/>
    <w:multiLevelType w:val="multilevel"/>
    <w:tmpl w:val="B1D6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920693"/>
    <w:multiLevelType w:val="hybridMultilevel"/>
    <w:tmpl w:val="C7046F64"/>
    <w:lvl w:ilvl="0" w:tplc="E918E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8D1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C2C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8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6FF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BE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81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E6A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964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5"/>
  </w:num>
  <w:num w:numId="5">
    <w:abstractNumId w:val="31"/>
  </w:num>
  <w:num w:numId="6">
    <w:abstractNumId w:val="6"/>
  </w:num>
  <w:num w:numId="7">
    <w:abstractNumId w:val="20"/>
  </w:num>
  <w:num w:numId="8">
    <w:abstractNumId w:val="29"/>
  </w:num>
  <w:num w:numId="9">
    <w:abstractNumId w:val="1"/>
  </w:num>
  <w:num w:numId="10">
    <w:abstractNumId w:val="19"/>
  </w:num>
  <w:num w:numId="11">
    <w:abstractNumId w:val="12"/>
  </w:num>
  <w:num w:numId="12">
    <w:abstractNumId w:val="16"/>
  </w:num>
  <w:num w:numId="13">
    <w:abstractNumId w:val="11"/>
  </w:num>
  <w:num w:numId="14">
    <w:abstractNumId w:val="2"/>
  </w:num>
  <w:num w:numId="15">
    <w:abstractNumId w:val="17"/>
  </w:num>
  <w:num w:numId="16">
    <w:abstractNumId w:val="27"/>
  </w:num>
  <w:num w:numId="17">
    <w:abstractNumId w:val="32"/>
  </w:num>
  <w:num w:numId="18">
    <w:abstractNumId w:val="13"/>
  </w:num>
  <w:num w:numId="19">
    <w:abstractNumId w:val="18"/>
  </w:num>
  <w:num w:numId="20">
    <w:abstractNumId w:val="33"/>
  </w:num>
  <w:num w:numId="21">
    <w:abstractNumId w:val="24"/>
  </w:num>
  <w:num w:numId="22">
    <w:abstractNumId w:val="15"/>
  </w:num>
  <w:num w:numId="23">
    <w:abstractNumId w:val="36"/>
  </w:num>
  <w:num w:numId="24">
    <w:abstractNumId w:val="14"/>
  </w:num>
  <w:num w:numId="25">
    <w:abstractNumId w:val="30"/>
  </w:num>
  <w:num w:numId="26">
    <w:abstractNumId w:val="21"/>
  </w:num>
  <w:num w:numId="27">
    <w:abstractNumId w:val="9"/>
  </w:num>
  <w:num w:numId="28">
    <w:abstractNumId w:val="10"/>
  </w:num>
  <w:num w:numId="29">
    <w:abstractNumId w:val="22"/>
  </w:num>
  <w:num w:numId="30">
    <w:abstractNumId w:val="8"/>
  </w:num>
  <w:num w:numId="31">
    <w:abstractNumId w:val="5"/>
  </w:num>
  <w:num w:numId="32">
    <w:abstractNumId w:val="39"/>
  </w:num>
  <w:num w:numId="33">
    <w:abstractNumId w:val="34"/>
  </w:num>
  <w:num w:numId="34">
    <w:abstractNumId w:val="25"/>
  </w:num>
  <w:num w:numId="35">
    <w:abstractNumId w:val="23"/>
  </w:num>
  <w:num w:numId="36">
    <w:abstractNumId w:val="28"/>
  </w:num>
  <w:num w:numId="37">
    <w:abstractNumId w:val="4"/>
  </w:num>
  <w:num w:numId="38">
    <w:abstractNumId w:val="26"/>
  </w:num>
  <w:num w:numId="39">
    <w:abstractNumId w:val="7"/>
  </w:num>
  <w:num w:numId="40">
    <w:abstractNumId w:val="37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FF"/>
    <w:rsid w:val="000061A4"/>
    <w:rsid w:val="000E0D22"/>
    <w:rsid w:val="00192BE8"/>
    <w:rsid w:val="002742AA"/>
    <w:rsid w:val="002C470B"/>
    <w:rsid w:val="00436E47"/>
    <w:rsid w:val="00504729"/>
    <w:rsid w:val="005F25AA"/>
    <w:rsid w:val="006167A3"/>
    <w:rsid w:val="00671E0E"/>
    <w:rsid w:val="007B552B"/>
    <w:rsid w:val="00907B39"/>
    <w:rsid w:val="00955407"/>
    <w:rsid w:val="009648CA"/>
    <w:rsid w:val="00A266CA"/>
    <w:rsid w:val="00B4696A"/>
    <w:rsid w:val="00BD1CD2"/>
    <w:rsid w:val="00CC1CA4"/>
    <w:rsid w:val="00CF6AAF"/>
    <w:rsid w:val="00D36FF5"/>
    <w:rsid w:val="00DA0074"/>
    <w:rsid w:val="00D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EAF4"/>
  <w15:docId w15:val="{7FFF6E56-5DD6-4FE7-A3B9-DBF71463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mi-callto">
    <w:name w:val="wmi-callto"/>
    <w:basedOn w:val="a0"/>
  </w:style>
  <w:style w:type="paragraph" w:styleId="afa">
    <w:name w:val="Normal (Web)"/>
    <w:basedOn w:val="a"/>
    <w:uiPriority w:val="99"/>
    <w:semiHidden/>
    <w:unhideWhenUsed/>
    <w:rsid w:val="0000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trong"/>
    <w:basedOn w:val="a0"/>
    <w:uiPriority w:val="22"/>
    <w:qFormat/>
    <w:rsid w:val="00006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6</cp:revision>
  <dcterms:created xsi:type="dcterms:W3CDTF">2024-08-26T06:55:00Z</dcterms:created>
  <dcterms:modified xsi:type="dcterms:W3CDTF">2024-08-26T07:09:00Z</dcterms:modified>
</cp:coreProperties>
</file>