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27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Глоссарий к дисциплине “Проектный семинар по кибербезопасности”</w:t>
      </w:r>
    </w:p>
    <w:p w:rsidR="000F4277" w:rsidRDefault="000F4277">
      <w:pPr>
        <w:jc w:val="center"/>
        <w:rPr>
          <w:sz w:val="28"/>
          <w:szCs w:val="28"/>
        </w:rPr>
      </w:pPr>
    </w:p>
    <w:p w:rsidR="000F4277" w:rsidRDefault="000F4277">
      <w:pPr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Термин/аббревиатура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4" w:anchor=":~:text=%D0%92%20%D1%81%D1%84%D0%B5%D1%80%D0%B5%20%D0%B8%D0%BD%D1%84%D0%BE%D1%80%D0%BC%D0%B0%D1%86%D0%B8%D0%BE%D0%BD%D0%BD%D1%8B%D1%85%20%D1%82%D0%B5%D1%85%D0%BD%D0%BE%D0%BB%D0%BE%D0%B3%D0%B8%D0%B9%20%D1%83%D0%BD%D0%B0%D1%81%D0%BB%D0%B5%D0%B4%D0%BE%D0%B2%D0%B0%D0%BD%D0%BD%D1%8B%D0%BC%D0%B8,%D0%B7%D0%B0%D0%B4%D0%B0%D0%BB%D0%B0%20%D1%81%D1%82%D0%B0%D0%BD%D0%B4%D0%B0%D1%80%D1%82%D1%8B%20%D0%B4%D0%BB%D1%8F%20%D0%B2%D1%81%D0%B5%D1%85%20%D0%BF%D0%BE%D1%81%D0%BB%D0%B5%D0%B4%D1%83%D1%8E%D1%89%D0%B8%D1%85.">
              <w:proofErr w:type="spellStart"/>
              <w:r>
                <w:rPr>
                  <w:color w:val="1155CC"/>
                  <w:sz w:val="24"/>
                  <w:szCs w:val="24"/>
                  <w:u w:val="single"/>
                </w:rPr>
                <w:t>legacy</w:t>
              </w:r>
              <w:proofErr w:type="spellEnd"/>
              <w:r>
                <w:rPr>
                  <w:color w:val="1155CC"/>
                  <w:sz w:val="24"/>
                  <w:szCs w:val="24"/>
                  <w:u w:val="single"/>
                </w:rPr>
                <w:t xml:space="preserve"> системы и технологии</w:t>
              </w:r>
            </w:hyperlink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устаревшие методы, технологии, вычислительные системы или приложения, которые используются до сих пор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hyperlink r:id="rId5">
              <w:r>
                <w:rPr>
                  <w:color w:val="1155CC"/>
                  <w:sz w:val="24"/>
                  <w:szCs w:val="24"/>
                  <w:u w:val="single"/>
                </w:rPr>
                <w:t>СХД</w:t>
              </w:r>
            </w:hyperlink>
            <w:r>
              <w:rPr>
                <w:sz w:val="24"/>
                <w:szCs w:val="24"/>
              </w:rPr>
              <w:t xml:space="preserve"> (Система хранения данных или Сервер хранения данных)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устройство для хранения и управления данными, их резервного копирования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hyperlink r:id="rId6">
              <w:r>
                <w:rPr>
                  <w:color w:val="1155CC"/>
                  <w:sz w:val="24"/>
                  <w:szCs w:val="24"/>
                  <w:u w:val="single"/>
                </w:rPr>
                <w:t>ПЛК</w:t>
              </w:r>
            </w:hyperlink>
            <w:r>
              <w:rPr>
                <w:sz w:val="24"/>
                <w:szCs w:val="24"/>
              </w:rPr>
              <w:t xml:space="preserve"> (Программируемые логические контроллеры)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средства, используемые для автоматизации технологических процессов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IoT</w:t>
            </w:r>
            <w:proofErr w:type="spellEnd"/>
            <w:r>
              <w:rPr>
                <w:sz w:val="24"/>
                <w:szCs w:val="24"/>
              </w:rPr>
              <w:t xml:space="preserve"> (Internet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Things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устройства, которые в будущем станут самостоятельными участниками информационных процессов, смогут взаимодействовать между собой и обмениваться информацией без какого-либо вмешательства человека.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ICS –  Industrial </w:t>
            </w:r>
            <w:proofErr w:type="spellStart"/>
            <w:r>
              <w:rPr>
                <w:sz w:val="24"/>
                <w:szCs w:val="24"/>
                <w:highlight w:val="white"/>
              </w:rPr>
              <w:t>control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system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= </w:t>
            </w:r>
            <w:hyperlink r:id="rId7">
              <w:r>
                <w:rPr>
                  <w:rFonts w:ascii="Roboto" w:eastAsia="Roboto" w:hAnsi="Roboto" w:cs="Roboto"/>
                  <w:color w:val="1155CC"/>
                  <w:sz w:val="24"/>
                  <w:szCs w:val="24"/>
                  <w:highlight w:val="white"/>
                  <w:u w:val="single"/>
                </w:rPr>
                <w:t>АСУ ТП</w:t>
              </w:r>
            </w:hyperlink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 (</w:t>
            </w:r>
            <w:r>
              <w:rPr>
                <w:sz w:val="24"/>
                <w:szCs w:val="24"/>
              </w:rPr>
              <w:t>системы автоматизированного и автоматического управления)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группа решений технических и программных средств, предназначенных для автоматизации управления технологическим процессом.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OEM (англ. </w:t>
            </w:r>
            <w:proofErr w:type="spellStart"/>
            <w:r>
              <w:rPr>
                <w:sz w:val="24"/>
                <w:szCs w:val="24"/>
                <w:highlight w:val="white"/>
              </w:rPr>
              <w:t>original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equipment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manufacturer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— «оригинальный производитель оборудования»)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компания, которая производит детали и оборудование, которые могут быть проданы другим производителем под другой торговой маркой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КСПД (Корпоративные сети передачи данных)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система, которая обеспечивает передачу информации между различными приложениями, используемыми в компании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ДМЗ</w:t>
            </w:r>
            <w:r w:rsidR="0060132E">
              <w:rPr>
                <w:rFonts w:ascii="Roboto" w:eastAsia="Roboto" w:hAnsi="Roboto" w:cs="Roboto"/>
                <w:sz w:val="24"/>
                <w:szCs w:val="24"/>
                <w:highlight w:val="white"/>
                <w:lang w:val="ru-RU"/>
              </w:rPr>
              <w:t xml:space="preserve"> (</w:t>
            </w:r>
            <w:r w:rsidR="0060132E">
              <w:rPr>
                <w:rFonts w:ascii="Roboto" w:eastAsia="Roboto" w:hAnsi="Roboto" w:cs="Roboto"/>
                <w:sz w:val="24"/>
                <w:szCs w:val="24"/>
                <w:highlight w:val="white"/>
                <w:lang w:val="en-US"/>
              </w:rPr>
              <w:t>DMZ</w:t>
            </w:r>
            <w:r w:rsidR="0060132E">
              <w:rPr>
                <w:rFonts w:ascii="Roboto" w:eastAsia="Roboto" w:hAnsi="Roboto" w:cs="Roboto"/>
                <w:sz w:val="24"/>
                <w:szCs w:val="24"/>
                <w:highlight w:val="white"/>
                <w:lang w:val="ru-RU"/>
              </w:rPr>
              <w:t>)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 - демилитаризованная зона - выделенный сегмент КСПД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создаётся для сегментации сети, предназначен для ограничения прямого доступа к 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критичным 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lastRenderedPageBreak/>
              <w:t>сегментам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 сети и размещения системных, инфраструктурных сервисов  или подсистем информационной безопасности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lastRenderedPageBreak/>
              <w:t>АРМ (Автоматизированное рабочее место)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комплекс среди вычислительной техники и программного обеспечения, располагающийся, непосредственно на рабочем месте сотрудника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ТС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Технологическая сеть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color w:val="3C4043"/>
                <w:sz w:val="24"/>
                <w:szCs w:val="24"/>
                <w:highlight w:val="white"/>
              </w:rPr>
              <w:t>Вендор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color w:val="3C4043"/>
                <w:sz w:val="24"/>
                <w:szCs w:val="24"/>
                <w:highlight w:val="white"/>
              </w:rPr>
              <w:t>это физическое или юридическое лицо, которое продвигает и поставляет товары под собственным брендом.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3C4043"/>
                <w:sz w:val="24"/>
                <w:szCs w:val="24"/>
                <w:highlight w:val="white"/>
              </w:rPr>
            </w:pPr>
            <w:r>
              <w:rPr>
                <w:color w:val="2B2A29"/>
                <w:sz w:val="24"/>
                <w:szCs w:val="24"/>
                <w:highlight w:val="white"/>
              </w:rPr>
              <w:t xml:space="preserve">NGFW (Next-Generation Firewall)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3C4043"/>
                <w:sz w:val="24"/>
                <w:szCs w:val="24"/>
                <w:highlight w:val="white"/>
              </w:rPr>
            </w:pPr>
            <w:r>
              <w:rPr>
                <w:color w:val="2B2A29"/>
                <w:sz w:val="24"/>
                <w:szCs w:val="24"/>
                <w:highlight w:val="white"/>
              </w:rPr>
              <w:t xml:space="preserve">Межсетевой экран следующего </w:t>
            </w:r>
            <w:proofErr w:type="spellStart"/>
            <w:proofErr w:type="gramStart"/>
            <w:r>
              <w:rPr>
                <w:color w:val="2B2A29"/>
                <w:sz w:val="24"/>
                <w:szCs w:val="24"/>
                <w:highlight w:val="white"/>
              </w:rPr>
              <w:t>поколения,встроенная</w:t>
            </w:r>
            <w:proofErr w:type="spellEnd"/>
            <w:proofErr w:type="gramEnd"/>
            <w:r>
              <w:rPr>
                <w:color w:val="2B2A29"/>
                <w:sz w:val="24"/>
                <w:szCs w:val="24"/>
                <w:highlight w:val="white"/>
              </w:rPr>
              <w:t xml:space="preserve"> платформа сетевой безопасности, сочетающая в себе традиционный брандмауэр с другими функциями фильтрации сетевых устройств.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</w:rPr>
            </w:pPr>
            <w:r>
              <w:rPr>
                <w:color w:val="232627"/>
                <w:sz w:val="24"/>
                <w:szCs w:val="24"/>
                <w:highlight w:val="white"/>
              </w:rPr>
              <w:t>Эксплойт</w:t>
            </w:r>
          </w:p>
          <w:p w:rsidR="000F4277" w:rsidRDefault="000F4277">
            <w:pPr>
              <w:widowControl w:val="0"/>
              <w:spacing w:line="240" w:lineRule="auto"/>
              <w:rPr>
                <w:color w:val="2B2A29"/>
                <w:sz w:val="24"/>
                <w:szCs w:val="24"/>
                <w:highlight w:val="white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B2A29"/>
                <w:sz w:val="24"/>
                <w:szCs w:val="24"/>
                <w:highlight w:val="white"/>
              </w:rPr>
            </w:pPr>
            <w:r>
              <w:rPr>
                <w:color w:val="232627"/>
                <w:sz w:val="24"/>
                <w:szCs w:val="24"/>
                <w:highlight w:val="white"/>
              </w:rPr>
              <w:t xml:space="preserve">вредоносный код, который использует ошибки или недостатки системы безопасности для распространения </w:t>
            </w:r>
            <w:proofErr w:type="spellStart"/>
            <w:r>
              <w:rPr>
                <w:color w:val="232627"/>
                <w:sz w:val="24"/>
                <w:szCs w:val="24"/>
                <w:highlight w:val="white"/>
              </w:rPr>
              <w:t>киберугроз</w:t>
            </w:r>
            <w:proofErr w:type="spellEnd"/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Pr="0060132E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  <w:lang w:val="en-US"/>
              </w:rPr>
            </w:pPr>
            <w:r w:rsidRPr="0060132E">
              <w:rPr>
                <w:color w:val="232627"/>
                <w:sz w:val="24"/>
                <w:szCs w:val="24"/>
                <w:highlight w:val="white"/>
                <w:lang w:val="en-US"/>
              </w:rPr>
              <w:t xml:space="preserve">PoC (Proof of Concept), </w:t>
            </w:r>
            <w:r>
              <w:rPr>
                <w:color w:val="232627"/>
                <w:sz w:val="24"/>
                <w:szCs w:val="24"/>
                <w:highlight w:val="white"/>
              </w:rPr>
              <w:t>проверка</w:t>
            </w:r>
            <w:r w:rsidRPr="0060132E">
              <w:rPr>
                <w:color w:val="232627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color w:val="232627"/>
                <w:sz w:val="24"/>
                <w:szCs w:val="24"/>
                <w:highlight w:val="white"/>
              </w:rPr>
              <w:t>концепции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</w:rPr>
            </w:pPr>
            <w:r>
              <w:rPr>
                <w:color w:val="232627"/>
                <w:sz w:val="24"/>
                <w:szCs w:val="24"/>
                <w:highlight w:val="white"/>
              </w:rPr>
              <w:t>это моделирование работы ПО или эксплойта с целью найти оптимальные пути защиты или возможности компрометации компьютерной системы.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Pr="0060132E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  <w:lang w:val="en-US"/>
              </w:rPr>
            </w:pPr>
            <w:r w:rsidRPr="0060132E">
              <w:rPr>
                <w:color w:val="232627"/>
                <w:sz w:val="24"/>
                <w:szCs w:val="24"/>
                <w:highlight w:val="white"/>
                <w:lang w:val="en-US"/>
              </w:rPr>
              <w:t>CVSS (Common Vulnerability Scoring System)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</w:rPr>
            </w:pPr>
            <w:r>
              <w:rPr>
                <w:color w:val="232627"/>
                <w:sz w:val="24"/>
                <w:szCs w:val="24"/>
                <w:highlight w:val="white"/>
              </w:rPr>
              <w:t>открытый стандарт для оценки степени опасности уязвимостей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</w:rPr>
            </w:pPr>
            <w:r>
              <w:rPr>
                <w:color w:val="232627"/>
                <w:sz w:val="24"/>
                <w:szCs w:val="24"/>
                <w:highlight w:val="white"/>
              </w:rPr>
              <w:t>ИКТ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</w:rPr>
            </w:pPr>
            <w:r>
              <w:rPr>
                <w:color w:val="444444"/>
                <w:sz w:val="24"/>
                <w:szCs w:val="24"/>
                <w:highlight w:val="white"/>
              </w:rPr>
              <w:t>информационно-коммуникационные технологии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Pr="0060132E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  <w:lang w:val="en-US"/>
              </w:rPr>
            </w:pPr>
            <w:r>
              <w:rPr>
                <w:color w:val="232627"/>
                <w:sz w:val="24"/>
                <w:szCs w:val="24"/>
                <w:highlight w:val="white"/>
              </w:rPr>
              <w:t>ГИКТОНБ</w:t>
            </w:r>
            <w:r w:rsidRPr="0060132E">
              <w:rPr>
                <w:color w:val="232627"/>
                <w:sz w:val="24"/>
                <w:szCs w:val="24"/>
                <w:highlight w:val="white"/>
                <w:lang w:val="en-US"/>
              </w:rPr>
              <w:t xml:space="preserve"> (ICT readiness for business continuity - IRBC)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444444"/>
                <w:sz w:val="24"/>
                <w:szCs w:val="24"/>
                <w:highlight w:val="white"/>
              </w:rPr>
            </w:pPr>
            <w:r>
              <w:rPr>
                <w:color w:val="444444"/>
                <w:sz w:val="24"/>
                <w:szCs w:val="24"/>
                <w:highlight w:val="white"/>
              </w:rPr>
              <w:t>способность организации поддерживать свои операции бизнеса путем предупреждения, обнаружения, реагирования на нарушения и восстановления услуг ИКТ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32627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Microsoft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Endpoint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Manager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44444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единая интегрированная платформа для управления всеми конечными точками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CMDB (Configuration Management Database, база данных управления конфигурацией)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репозиторий, который содержит необходимую информацию об аппаратных и программных компонентах ИТ-инфраструктуры, которые используются ИТ-подразделениями компании.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Asset Management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color w:val="202122"/>
                <w:sz w:val="24"/>
                <w:szCs w:val="24"/>
                <w:highlight w:val="white"/>
              </w:rPr>
              <w:t>совокупность бизнес-практик, объединяющих финансовые, контрактные и инвентарные функции для поддержки управления жизненным циклом и принятия стратегических решений в ИТ-среде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Service Desk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2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система для взаимодействия поставщика ИТ-сервисов и пользователей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СОИБ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комплекс организационных, административно-правовых, программно-технических и иных мероприятий, направленных на защиту информационной среды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Deception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(создание ложных целей, расстановка ловушек)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технология корпоративной информационной безопасности для обнаружения злоумышленников и предотвращения атак на ранних этапах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Sandbox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(Песочница)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специально выделенная среда для безопасного исполнения компьютерных программ</w:t>
            </w:r>
          </w:p>
        </w:tc>
      </w:tr>
      <w:tr w:rsidR="000F42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СЗИ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277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средства защиты информации</w:t>
            </w:r>
          </w:p>
        </w:tc>
      </w:tr>
    </w:tbl>
    <w:p w:rsidR="000F4277" w:rsidRDefault="000F4277">
      <w:pPr>
        <w:rPr>
          <w:sz w:val="24"/>
          <w:szCs w:val="24"/>
        </w:rPr>
      </w:pPr>
    </w:p>
    <w:p w:rsidR="000F4277" w:rsidRDefault="000F4277">
      <w:pPr>
        <w:rPr>
          <w:sz w:val="28"/>
          <w:szCs w:val="28"/>
        </w:rPr>
      </w:pPr>
    </w:p>
    <w:sectPr w:rsidR="000F42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77"/>
    <w:rsid w:val="000F4277"/>
    <w:rsid w:val="0060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3C9C7"/>
  <w15:docId w15:val="{96B28FA8-9E6A-C444-8C32-97EFAAA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2%D1%82%D0%BE%D0%BC%D0%B0%D1%82%D0%B8%D0%B7%D0%B8%D1%80%D0%BE%D0%B2%D0%B0%D0%BD%D0%BD%D0%B0%D1%8F_%D1%81%D0%B8%D1%81%D1%82%D0%B5%D0%BC%D0%B0_%D1%83%D0%BF%D1%80%D0%B0%D0%B2%D0%BB%D0%B5%D0%BD%D0%B8%D1%8F_%D1%82%D0%B5%D1%85%D0%BD%D0%BE%D0%BB%D0%BE%D0%B3%D0%B8%D1%87%D0%B5%D1%81%D0%BA%D0%B8%D0%BC_%D0%BF%D1%80%D0%BE%D1%86%D0%B5%D1%81%D1%81%D0%BE%D0%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5" Type="http://schemas.openxmlformats.org/officeDocument/2006/relationships/hyperlink" Target="https://www.reg.ru/blog/razbiraemsya-vmeste-chto-takoe-sistema-hraneniya-dannyh/" TargetMode="External"/><Relationship Id="rId4" Type="http://schemas.openxmlformats.org/officeDocument/2006/relationships/hyperlink" Target="https://ru.wikipedia.org/wiki/%D0%A3%D0%BD%D0%B0%D1%81%D0%BB%D0%B5%D0%B4%D0%BE%D0%B2%D0%B0%D0%BD%D0%BD%D0%B0%D1%8F_%D1%81%D0%B8%D1%81%D1%82%D0%B5%D0%BC%D0%B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2024-04-22T08:49:00Z</dcterms:created>
  <dcterms:modified xsi:type="dcterms:W3CDTF">2024-04-22T08:49:00Z</dcterms:modified>
</cp:coreProperties>
</file>