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b/>
          <w:sz w:val="26"/>
          <w:szCs w:val="26"/>
          <w:rtl w:val="0"/>
        </w:rPr>
        <w:t xml:space="preserve">Д</w:t>
      </w:r>
      <w:r>
        <w:rPr>
          <w:rFonts w:ascii="Proxima Nova" w:hAnsi="Proxima Nova" w:eastAsia="Proxima Nova" w:cs="Proxima Nova"/>
          <w:b/>
          <w:sz w:val="26"/>
          <w:szCs w:val="26"/>
          <w:rtl w:val="0"/>
        </w:rPr>
        <w:t xml:space="preserve">омашнее задание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jc w:val="center"/>
        <w:spacing w:line="240" w:lineRule="auto"/>
        <w:rPr>
          <w:rFonts w:ascii="Proxima Nova" w:hAnsi="Proxima Nova" w:eastAsia="Proxima Nova" w:cs="Proxima Nova"/>
          <w:b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tbl>
      <w:tblPr>
        <w:tblStyle w:val="867"/>
        <w:tblW w:w="900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Защита компьютерных сетей и систем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 29. 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Системы обнаружения и предотвращения вторжений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52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  <w:rtl w:val="0"/>
              </w:rPr>
              <w:t xml:space="preserve">Автоматическая проверка</w:t>
            </w:r>
            <w:r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Антон Носков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60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Научиться: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включать IOS IPS,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настраивать ведение журнала,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изменять сигнатуры IPS,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осуществлять проверку IPS.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Компьютер, </w:t>
            </w:r>
            <w:r>
              <w:rPr>
                <w:sz w:val="21"/>
                <w:szCs w:val="21"/>
                <w:rtl w:val="0"/>
              </w:rPr>
              <w:t xml:space="preserve">с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имулятор сети передачи данных</w:t>
            </w:r>
            <w:r>
              <w:rPr>
                <w:sz w:val="21"/>
                <w:szCs w:val="21"/>
                <w:rtl w:val="0"/>
              </w:rPr>
              <w:t xml:space="preserve"> 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Cisco Packet Tracer 8.1.1, подключенный к интернету.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pStyle w:val="865"/>
              <w:numPr>
                <w:ilvl w:val="0"/>
                <w:numId w:val="4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Чтобы выполнить задание, используйте Cisco Packet Tracer.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4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Выполнив задание, нажмите Check Results (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Проверить результаты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), чтобы просмотреть отзыв и проверить завершённые обязательные компоненты.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4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Файл с выполненным заданием сохраните под своей фамилией и разместите в ЛМС 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(ФИО</w:t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  <w:rtl w:val="0"/>
              </w:rPr>
              <w:t xml:space="preserve">.pka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). 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В отдельном файле прикрепите ответы на вопросы из второй части задания.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Check Results выдаёт положительный отзыв и все обязательные компоненты выполнены;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файл с сохранённым заданием размещена в ЛМС.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Check Results выдаёт ошибки — нужно проработать ошибки и выполнить Check Results ещё раз;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  <w:highlight w:val="yellow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файл с заданием не размещена в ЛМС.</w:t>
            </w:r>
            <w:r>
              <w:rPr>
                <w:b/>
                <w:highlight w:val="yellow"/>
              </w:rPr>
            </w:r>
            <w:r>
              <w:rPr>
                <w:b/>
                <w:highlight w:val="yellow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i/>
                <w:rtl w:val="0"/>
              </w:rPr>
              <w:t xml:space="preserve">две недели после вебинара (точную дату см. в ЛМС).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Прежде чем выполнять задание, установите симулятор сети передачи данных Cisco Packet Tracer 8.1.1.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</w:rPr>
      </w:pPr>
      <w:r/>
      <w:hyperlink r:id="rId10" w:tooltip="https://disk.yandex.ru/d/SdBaqlDc012UYA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https://disk.yandex.ru/d/SdBaqlDc012UYA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Windows 64.</w:t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</w:rPr>
      </w:pPr>
      <w:r/>
      <w:hyperlink r:id="rId11" w:tooltip="https://disk.yandex.ru/d/dU9AL1YstQzFGg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https://disk.yandex.ru/d/dU9AL1YstQzFGg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Ubuntu 64.</w:t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/>
      <w:hyperlink r:id="rId12" w:tooltip="https://disk.yandex.ru/d/jwvB6MfZyPZ5sw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https://disk.yandex.ru/d/jwvB6MfZyPZ5sw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MacOS X.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Инструкция по установке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Когда Cisco Packet Tracer выдаёт запрос авторизации, выберите Skills for all и авторизуйтесь через учётную запись Google. В ряде сетей может потребоваться VPN при запуске Cisco Packet Tracer. </w:t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После установки Cisco Packet Tracer откройте файл 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  <w:rtl w:val="0"/>
        </w:rPr>
        <w:t xml:space="preserve">ISP.pka</w:t>
      </w:r>
      <w:r>
        <w:rPr>
          <w:rFonts w:ascii="Proxima Nova" w:hAnsi="Proxima Nova" w:eastAsia="Proxima Nova" w:cs="Proxima Nova"/>
          <w:b/>
          <w:i/>
          <w:sz w:val="24"/>
          <w:szCs w:val="24"/>
          <w:highlight w:val="white"/>
          <w:rtl w:val="0"/>
        </w:rPr>
        <w:t xml:space="preserve"> </w:t>
      </w:r>
      <w:r>
        <w:rPr>
          <w:rFonts w:ascii="Proxima Nova" w:hAnsi="Proxima Nova" w:eastAsia="Proxima Nova" w:cs="Proxima Nova"/>
          <w:i/>
          <w:sz w:val="24"/>
          <w:szCs w:val="24"/>
          <w:highlight w:val="white"/>
          <w:rtl w:val="0"/>
        </w:rPr>
        <w:t xml:space="preserve">(размещён в ЛМС) </w:t>
      </w: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и начинайте выполнять задание.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b/>
          <w:sz w:val="24"/>
          <w:szCs w:val="24"/>
          <w:highlight w:val="white"/>
          <w:rtl w:val="0"/>
        </w:rPr>
        <w:t xml:space="preserve">Исходные данные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</w:p>
    <w:p>
      <w:pPr>
        <w:keepNext/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Топология сети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5600" cy="1473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45600" cy="147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2.41pt;height:116.0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widowControl w:val="off"/>
        <w:rPr>
          <w:color w:val="666666"/>
        </w:rPr>
      </w:pPr>
      <w:r>
        <w:rPr>
          <w:rtl w:val="0"/>
        </w:rPr>
      </w:r>
      <w:r>
        <w:rPr>
          <w:color w:val="666666"/>
        </w:rPr>
      </w:r>
      <w:r>
        <w:rPr>
          <w:color w:val="666666"/>
        </w:rPr>
      </w:r>
    </w:p>
    <w:p>
      <w:pPr>
        <w:widowControl w:val="off"/>
        <w:rPr>
          <w:color w:val="333333"/>
        </w:rPr>
      </w:pPr>
      <w:r>
        <w:rPr>
          <w:rtl w:val="0"/>
        </w:rPr>
      </w:r>
      <w:r>
        <w:rPr>
          <w:color w:val="333333"/>
        </w:rPr>
      </w:r>
      <w:r>
        <w:rPr>
          <w:color w:val="333333"/>
        </w:rPr>
      </w:r>
    </w:p>
    <w:p>
      <w:pPr>
        <w:keepNext/>
        <w:spacing w:after="200" w:line="240" w:lineRule="auto"/>
        <w:widowControl w:val="off"/>
        <w:rPr>
          <w:color w:val="333333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Таблица адресации</w:t>
      </w:r>
      <w:r>
        <w:rPr>
          <w:color w:val="333333"/>
        </w:rPr>
      </w:r>
      <w:r>
        <w:rPr>
          <w:color w:val="333333"/>
        </w:rPr>
      </w:r>
    </w:p>
    <w:tbl>
      <w:tblPr>
        <w:tblStyle w:val="868"/>
        <w:tblW w:w="88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440"/>
        <w:gridCol w:w="1485"/>
        <w:gridCol w:w="1710"/>
        <w:gridCol w:w="1395"/>
        <w:gridCol w:w="1500"/>
        <w:tblGridChange w:id="1">
          <w:tblGrid>
            <w:gridCol w:w="1350"/>
            <w:gridCol w:w="1440"/>
            <w:gridCol w:w="1485"/>
            <w:gridCol w:w="1710"/>
            <w:gridCol w:w="1395"/>
            <w:gridCol w:w="1500"/>
          </w:tblGrid>
        </w:tblGridChange>
      </w:tblGrid>
      <w:tr>
        <w:tblPrEx/>
        <w:trPr>
          <w:cantSplit w:val="false"/>
          <w:trHeight w:val="255"/>
        </w:trPr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Устройство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Интерфейс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IP-адрес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Маска подсети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Шлюз по умолчанию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dbe5f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33" w:type="dxa"/>
              <w:top w:w="133" w:type="dxa"/>
              <w:right w:w="133" w:type="dxa"/>
              <w:bottom w:w="133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 w:val="off"/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  <w:rtl w:val="0"/>
              </w:rPr>
              <w:t xml:space="preserve">Порт коммутатора</w:t>
            </w:r>
            <w:r>
              <w:rPr>
                <w:b/>
                <w:color w:val="333333"/>
                <w:sz w:val="18"/>
                <w:szCs w:val="18"/>
              </w:rPr>
            </w:r>
            <w:r>
              <w:rPr>
                <w:b/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R1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G0/1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192.168.1.1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S1 F0/1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rtl w:val="0"/>
              </w:rPr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S0/0/0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10.1.1.1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255.255.255.252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R2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S0/0/0 (DCE)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10.1.1.2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255.255.255.252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rtl w:val="0"/>
              </w:rPr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S0/0/1 (DCE)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10.2.2.2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255.255.255.252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R3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G0/1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192.168.3.1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S3 F0/1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40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vMerge w:val="continue"/>
            <w:textDirection w:val="lrTb"/>
            <w:noWrap w:val="false"/>
          </w:tcPr>
          <w:p>
            <w:pPr>
              <w:ind w:left="0" w:firstLine="0"/>
              <w:spacing w:before="0" w:after="0" w:line="240" w:lineRule="auto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rtl w:val="0"/>
              </w:rPr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S0/0/0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10.2.2.1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255.255.255.252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Н/П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2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Syslog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NIC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192.168.1.50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192.168.1.1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S1 F0/2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2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PC-A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NIC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192.168.1.2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192.168.1.1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S1 F0/3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  <w:tr>
        <w:tblPrEx/>
        <w:trPr>
          <w:cantSplit w:val="false"/>
          <w:trHeight w:val="2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PC-C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NIC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192.168.3.2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255.255.255.0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192.168.3.1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vAlign w:val="center"/>
            <w:textDirection w:val="lrTb"/>
            <w:noWrap w:val="false"/>
          </w:tcPr>
          <w:p>
            <w:pPr>
              <w:spacing w:before="0" w:after="0"/>
              <w:widowControl w:val="off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rtl w:val="0"/>
              </w:rPr>
              <w:t xml:space="preserve">S3 F0/2</w:t>
            </w:r>
            <w:r>
              <w:rPr>
                <w:color w:val="333333"/>
                <w:sz w:val="18"/>
                <w:szCs w:val="18"/>
              </w:rPr>
            </w:r>
            <w:r>
              <w:rPr>
                <w:color w:val="333333"/>
                <w:sz w:val="18"/>
                <w:szCs w:val="18"/>
              </w:rPr>
            </w:r>
          </w:p>
        </w:tc>
      </w:tr>
    </w:tbl>
    <w:p>
      <w:pPr>
        <w:widowControl w:val="off"/>
        <w:rPr>
          <w:color w:val="333333"/>
        </w:rPr>
      </w:pPr>
      <w:r>
        <w:rPr>
          <w:rtl w:val="0"/>
        </w:rPr>
      </w:r>
      <w:r>
        <w:rPr>
          <w:color w:val="333333"/>
        </w:rPr>
      </w:r>
      <w:r>
        <w:rPr>
          <w:color w:val="333333"/>
        </w:rPr>
      </w:r>
    </w:p>
    <w:p>
      <w:pPr>
        <w:spacing w:before="240" w:after="120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Исходный сценарий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jc w:val="both"/>
        <w:spacing w:before="120" w:after="120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Ваша задача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включить систему IPS на маршрутизаторе R1 для проверки трафика, поступающего в сеть 192.168.1.0.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jc w:val="both"/>
        <w:spacing w:before="120" w:after="120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Сервер Syslog используется для ведения журнала сообщений IPS. Вы должны настроить маршрутизатор для идентификации сервера Syslog, который будет получать сообщения журнала. При использовании сервиса для мониторинга сети очень важн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о, чтобы в сообщениях syslog отображались правильные дата и время. Настройте часы и сервис временных меток для ведения журналов на маршрутизаторах. Включите систему IPS для выдачи оповещения и отбрасывания пакетов ICMP Echo Reply во внутриканальном режиме.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jc w:val="both"/>
        <w:spacing w:before="120" w:after="120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Сервер и компьютеры были предварительно настроены. На маршрутизаторах также были предварительно настроены следующие параметры: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65"/>
        <w:numPr>
          <w:ilvl w:val="0"/>
          <w:numId w:val="6"/>
        </w:numPr>
        <w:jc w:val="both"/>
        <w:spacing w:before="120" w:after="0" w:afterAutospacing="0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пароль привилегированного доступа: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ciscoenpa55;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65"/>
        <w:numPr>
          <w:ilvl w:val="0"/>
          <w:numId w:val="6"/>
        </w:numPr>
        <w:jc w:val="both"/>
        <w:spacing w:before="0" w:beforeAutospacing="0" w:after="0" w:afterAutospacing="0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пароль консоли: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ciscoconpa55;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65"/>
        <w:numPr>
          <w:ilvl w:val="0"/>
          <w:numId w:val="6"/>
        </w:numPr>
        <w:jc w:val="both"/>
        <w:spacing w:before="0" w:beforeAutospacing="0" w:after="0" w:afterAutospacing="0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имя пользователя и пароль SSH: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SSHadmin/ciscosshpa55;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65"/>
        <w:numPr>
          <w:ilvl w:val="0"/>
          <w:numId w:val="6"/>
        </w:numPr>
        <w:jc w:val="both"/>
        <w:spacing w:before="0" w:beforeAutospacing="0" w:after="120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OSPF 101.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ind w:left="0" w:firstLine="0"/>
        <w:spacing w:before="60" w:after="60" w:line="25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1. Включение IOS IPS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Примечание: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 Packet Tracer файлы сигнатур уже импортированы на маршрутизаторы. Это XML-файлы по умолчанию, хранящиеся во флеш-памяти. По этой причине не нужно настраивать открытый криптографический ключ и вручную импортировать файлы сигнатур.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 Включение пакета Security Technology: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на маршрутизаторе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введите команду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version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просмотра сведений о лицензии Technology Package;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если пакет Security Technology не активирован, сделайте это с помощью следующей команды: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566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R1(config)#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license boot module c1900 technology-package securityk9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c. примите условия лицензионного соглашения с конечным пользователем;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d. сохраните текущую конфигурацию и перезагрузите маршрутизатор, чтобы включить лицензию;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e. убедитесь, что пакет Security Technology включён, с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version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 Проверка связи по сети: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отправьте эхо-запрос с компьютера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 компьютер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PC-A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Эхо-запрос должен быть выполнен успешно;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отправьте эхо-запрос с компьютера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PC-A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 компьютер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Эхо-запрос должен быть выполнен успешно.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Создание каталога конфигурации IOS IPS во флеш-памяти.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маршрутизаторе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создайте каталог во флеш-памяти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mkdir.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Присвойте каталогу имя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ipsdir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keepNext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4. Настройка каталога для хранения сигнатур IPS.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маршрутизаторе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задайте только что созданный каталог в качестве места хранения сигнатур IPS.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5. Создание правила IPS.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маршрутизаторе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создайте имя правила IPS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ips name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name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 режиме глобальной настройки. Присвойте правилу IPS имя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iosips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6. Включение ведения журнала.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jc w:val="both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Система IPS в iOS поддерживает использование Syslog для отправки уведомлений о событиях. Функция уведомлений Syslog включена по умолчанию. Если консоль ведения журналов включена, будут отображаться сообщения Syslog, касающиеся IPS: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если сервис Syslog не включён, включите его;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при необходимости сбросьте часы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clock set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 привилегированном режиме;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c.  убедитесь, что на маршрутизаторе включён сервис временных меток для ведения журналов,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run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Если сервис временных меток не включён, включите его;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d. отправьте журнальные сообщения на сервер Syslog по IP-адресу 192.168.1.50.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7. Настройка системы IPS в iOS на использование категорий сигнатур.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Выведите из использования категорию сигнатур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all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retired true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(все сигнатуры в выпуске сигнатур). Верните в использование категорию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IOS_IPS Basic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retired false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  <w:highlight w:val="none"/>
        </w:rPr>
      </w:r>
      <w:r>
        <w:rPr>
          <w:rFonts w:ascii="Proxima Nova" w:hAnsi="Proxima Nova" w:eastAsia="Proxima Nova" w:cs="Proxima Nova"/>
          <w:sz w:val="24"/>
          <w:szCs w:val="24"/>
          <w:highlight w:val="none"/>
        </w:rPr>
      </w:r>
    </w:p>
    <w:p>
      <w:pPr>
        <w:ind w:left="0" w:firstLine="0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highlight w:val="none"/>
          <w:rtl w:val="0"/>
        </w:rPr>
      </w:r>
      <w:r>
        <w:rPr>
          <w:rFonts w:ascii="Proxima Nova" w:hAnsi="Proxima Nova" w:eastAsia="Proxima Nova" w:cs="Proxima Nova"/>
          <w:sz w:val="24"/>
          <w:szCs w:val="24"/>
          <w:highlight w:val="none"/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8. Применение к интерфейсу правила IPS.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jc w:val="both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Примените к интерфейсу правило IPS c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ips name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direction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 р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ежиме настройки интерфейса. Примените правило для исходящего трафика (outbound) на интерфейсе G0/1 маршрутизатора R1. После включения IPS некоторые журнальные сообщения будут отправлены на линию консоли, указывая на выполнение инициализации механизмов IPS.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30"/>
          <w:szCs w:val="30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Примечание.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Направление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означает, что система IPS проверяет только трафик, входящий на интерфейс. Аналогичным образом направление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out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означает, что система IPS проверяет только трафик, исходящий из интерфейса.</w:t>
      </w:r>
      <w:r>
        <w:rPr>
          <w:rFonts w:ascii="Proxima Nova" w:hAnsi="Proxima Nova" w:eastAsia="Proxima Nova" w:cs="Proxima Nova"/>
          <w:sz w:val="30"/>
          <w:szCs w:val="30"/>
        </w:rPr>
      </w:r>
      <w:r>
        <w:rPr>
          <w:rFonts w:ascii="Proxima Nova" w:hAnsi="Proxima Nova" w:eastAsia="Proxima Nova" w:cs="Proxima Nova"/>
          <w:sz w:val="30"/>
          <w:szCs w:val="30"/>
        </w:rPr>
      </w:r>
    </w:p>
    <w:p>
      <w:pPr>
        <w:keepNext/>
        <w:spacing w:before="24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2. Изменение сигнатуры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keepNext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 Изменение для сигнатуры действия при наступлении события (параметр event-action).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jc w:val="both"/>
        <w:spacing w:before="0" w:after="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Верните в использование сигнатуру эхо-запроса (сигнатура 2004, идентификатор subsig 0), включите её и измените действие сигнатуры на оповещение и отбрасывание.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 Проверка IPS c помощью команд show.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Используйте команду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ip ips all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для просмотра сводки состояний конфигураций IPS.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 каким интерфейсам и в каком направлении применяется правило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iosips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?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__________________________________________________________________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Проверка правильности работы IPS: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попробуйте отправить эхо-запрос с компьютера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 PC-A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Эхо-запрос выполнен успешно? Поясните ответ: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__________________________________________________________________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__________________________________________________________________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попробуйте отправить эхо-запрос с компьютера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PC-A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 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Эхо-запрос выполнен успешно? Поясните ответ: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__________________________________________________________________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__________________________________________________________________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4. Просмотр сообщений Syslog: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выберите сервер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Syslog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перейдите на вкладку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Services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c. в левом меню навигации выберите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SYSLOG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просмотра файла журнала.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Проверка результатов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 полностью выполнили задание. Нажмите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Check Results (</w:t>
      </w:r>
      <w:r>
        <w:rPr>
          <w:b/>
          <w:color w:val="202124"/>
          <w:sz w:val="21"/>
          <w:szCs w:val="21"/>
          <w:highlight w:val="white"/>
          <w:rtl w:val="0"/>
        </w:rPr>
        <w:t xml:space="preserve">«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роверить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результаты</w:t>
      </w:r>
      <w:r>
        <w:rPr>
          <w:b/>
          <w:color w:val="202124"/>
          <w:sz w:val="21"/>
          <w:szCs w:val="21"/>
          <w:highlight w:val="white"/>
          <w:rtl w:val="0"/>
        </w:rPr>
        <w:t xml:space="preserve">»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)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просмотра отзыва и проверки завершённых обязательных компонентов.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sectPr>
      <w:footnotePr/>
      <w:endnotePr/>
      <w:type w:val="nextPage"/>
      <w:pgSz w:w="11909" w:h="16834" w:orient="portrait"/>
      <w:pgMar w:top="1440" w:right="1440" w:bottom="1090" w:left="141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55"/>
    <w:link w:val="841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855"/>
    <w:link w:val="842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855"/>
    <w:link w:val="843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855"/>
    <w:link w:val="844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855"/>
    <w:link w:val="845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855"/>
    <w:link w:val="84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5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5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5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basedOn w:val="855"/>
    <w:link w:val="859"/>
    <w:uiPriority w:val="10"/>
    <w:rPr>
      <w:sz w:val="48"/>
      <w:szCs w:val="48"/>
    </w:rPr>
  </w:style>
  <w:style w:type="character" w:styleId="686">
    <w:name w:val="Subtitle Char"/>
    <w:basedOn w:val="855"/>
    <w:link w:val="866"/>
    <w:uiPriority w:val="11"/>
    <w:rPr>
      <w:sz w:val="24"/>
      <w:szCs w:val="24"/>
    </w:rPr>
  </w:style>
  <w:style w:type="paragraph" w:styleId="687">
    <w:name w:val="Quote"/>
    <w:basedOn w:val="848"/>
    <w:next w:val="848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8"/>
    <w:next w:val="848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8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basedOn w:val="855"/>
    <w:link w:val="691"/>
    <w:uiPriority w:val="99"/>
  </w:style>
  <w:style w:type="paragraph" w:styleId="693">
    <w:name w:val="Footer"/>
    <w:basedOn w:val="848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basedOn w:val="855"/>
    <w:link w:val="693"/>
    <w:uiPriority w:val="99"/>
  </w:style>
  <w:style w:type="paragraph" w:styleId="695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3">
    <w:name w:val="footnote text"/>
    <w:basedOn w:val="848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55"/>
    <w:uiPriority w:val="99"/>
    <w:unhideWhenUsed/>
    <w:rPr>
      <w:vertAlign w:val="superscript"/>
    </w:rPr>
  </w:style>
  <w:style w:type="paragraph" w:styleId="826">
    <w:name w:val="endnote text"/>
    <w:basedOn w:val="848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55"/>
    <w:uiPriority w:val="99"/>
    <w:semiHidden/>
    <w:unhideWhenUsed/>
    <w:rPr>
      <w:vertAlign w:val="superscript"/>
    </w:rPr>
  </w:style>
  <w:style w:type="paragraph" w:styleId="829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0">
    <w:name w:val="Normal"/>
  </w:style>
  <w:style w:type="paragraph" w:styleId="841">
    <w:name w:val="Heading 1"/>
    <w:basedOn w:val="840"/>
    <w:next w:val="840"/>
    <w:pPr>
      <w:keepLines/>
      <w:keepNext/>
      <w:spacing w:before="400" w:after="120"/>
    </w:pPr>
    <w:rPr>
      <w:sz w:val="40"/>
      <w:szCs w:val="40"/>
    </w:rPr>
  </w:style>
  <w:style w:type="paragraph" w:styleId="842">
    <w:name w:val="Heading 2"/>
    <w:basedOn w:val="840"/>
    <w:next w:val="840"/>
    <w:pPr>
      <w:keepLines/>
      <w:keepNext/>
      <w:spacing w:before="360" w:after="120"/>
    </w:pPr>
    <w:rPr>
      <w:sz w:val="32"/>
      <w:szCs w:val="32"/>
    </w:rPr>
  </w:style>
  <w:style w:type="paragraph" w:styleId="843">
    <w:name w:val="Heading 3"/>
    <w:basedOn w:val="840"/>
    <w:next w:val="840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44">
    <w:name w:val="Heading 4"/>
    <w:basedOn w:val="840"/>
    <w:next w:val="840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45">
    <w:name w:val="Heading 5"/>
    <w:basedOn w:val="840"/>
    <w:next w:val="840"/>
    <w:pPr>
      <w:keepLines/>
      <w:keepNext/>
      <w:spacing w:before="240" w:after="80"/>
    </w:pPr>
    <w:rPr>
      <w:color w:val="666666"/>
    </w:rPr>
  </w:style>
  <w:style w:type="paragraph" w:styleId="846">
    <w:name w:val="Heading 6"/>
    <w:basedOn w:val="840"/>
    <w:next w:val="840"/>
    <w:pPr>
      <w:keepLines/>
      <w:keepNext/>
      <w:spacing w:before="240" w:after="80"/>
    </w:pPr>
    <w:rPr>
      <w:i/>
      <w:color w:val="666666"/>
    </w:rPr>
  </w:style>
  <w:style w:type="paragraph" w:styleId="847">
    <w:name w:val="Title"/>
    <w:basedOn w:val="840"/>
    <w:next w:val="840"/>
    <w:pPr>
      <w:keepLines/>
      <w:keepNext/>
      <w:spacing w:after="60"/>
    </w:pPr>
    <w:rPr>
      <w:sz w:val="52"/>
      <w:szCs w:val="52"/>
    </w:rPr>
  </w:style>
  <w:style w:type="paragraph" w:styleId="848">
    <w:name w:val="Normal"/>
    <w:qFormat/>
  </w:style>
  <w:style w:type="paragraph" w:styleId="849">
    <w:name w:val="Heading 1"/>
    <w:basedOn w:val="848"/>
    <w:next w:val="848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50">
    <w:name w:val="Heading 2"/>
    <w:basedOn w:val="848"/>
    <w:next w:val="848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51">
    <w:name w:val="Heading 3"/>
    <w:basedOn w:val="848"/>
    <w:next w:val="848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2">
    <w:name w:val="Heading 4"/>
    <w:basedOn w:val="848"/>
    <w:next w:val="848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3">
    <w:name w:val="Heading 5"/>
    <w:basedOn w:val="848"/>
    <w:next w:val="848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54">
    <w:name w:val="Heading 6"/>
    <w:basedOn w:val="848"/>
    <w:next w:val="848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table" w:styleId="85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Title"/>
    <w:basedOn w:val="848"/>
    <w:next w:val="848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60">
    <w:name w:val="Subtitle"/>
    <w:basedOn w:val="848"/>
    <w:next w:val="848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61" w:customStyle="1">
    <w:name w:val="StGen0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2" w:customStyle="1">
    <w:name w:val="StGen1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3">
    <w:name w:val="Hyperlink"/>
    <w:basedOn w:val="855"/>
    <w:uiPriority w:val="99"/>
    <w:unhideWhenUsed/>
    <w:rPr>
      <w:color w:val="0000ff" w:themeColor="hyperlink"/>
      <w:u w:val="single"/>
    </w:rPr>
  </w:style>
  <w:style w:type="character" w:styleId="864">
    <w:name w:val="Unresolved Mention"/>
    <w:basedOn w:val="855"/>
    <w:uiPriority w:val="99"/>
    <w:semiHidden/>
    <w:unhideWhenUsed/>
    <w:rPr>
      <w:color w:val="605e5c"/>
      <w:shd w:val="clear" w:color="auto" w:fill="e1dfdd"/>
    </w:rPr>
  </w:style>
  <w:style w:type="paragraph" w:styleId="865">
    <w:name w:val="List Paragraph"/>
    <w:basedOn w:val="848"/>
    <w:uiPriority w:val="34"/>
    <w:qFormat/>
    <w:pPr>
      <w:contextualSpacing/>
      <w:ind w:left="720"/>
    </w:pPr>
  </w:style>
  <w:style w:type="paragraph" w:styleId="866">
    <w:name w:val="Subtitle"/>
    <w:basedOn w:val="840"/>
    <w:next w:val="840"/>
    <w:pPr>
      <w:ind w:left="0" w:right="0" w:firstLine="0"/>
      <w:jc w:val="left"/>
      <w:keepLines/>
      <w:keepNext/>
      <w:pageBreakBefore w:val="0"/>
      <w:spacing w:before="0" w:after="3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color="auto" w:fill="auto"/>
      <w:vertAlign w:val="baseline"/>
    </w:rPr>
  </w:style>
  <w:style w:type="table" w:styleId="867">
    <w:name w:val="StGen6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8">
    <w:name w:val="StGen7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isk.yandex.ru/d/SdBaqlDc012UYA" TargetMode="External"/><Relationship Id="rId11" Type="http://schemas.openxmlformats.org/officeDocument/2006/relationships/hyperlink" Target="https://disk.yandex.ru/d/dU9AL1YstQzFGg" TargetMode="External"/><Relationship Id="rId12" Type="http://schemas.openxmlformats.org/officeDocument/2006/relationships/hyperlink" Target="https://disk.yandex.ru/d/jwvB6MfZyPZ5sw" TargetMode="External"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Fa4FjSqNCo8ftypR8HmLTUbBpg==">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dvbubnov</dc:creator>
  <cp:lastModifiedBy>Тотуханум Атакаева</cp:lastModifiedBy>
  <cp:revision>2</cp:revision>
  <dcterms:created xsi:type="dcterms:W3CDTF">2022-10-18T21:51:00Z</dcterms:created>
  <dcterms:modified xsi:type="dcterms:W3CDTF">2025-04-04T15:52:06Z</dcterms:modified>
</cp:coreProperties>
</file>