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Настройка IPSec VPN между маршрутизаторами POD68 и POD72</w:t>
      </w:r>
    </w:p>
    <w:p>
      <w:pPr>
        <w:pStyle w:val="Heading1"/>
      </w:pPr>
      <w:r>
        <w:t>Общая информация</w:t>
      </w:r>
    </w:p>
    <w:p>
      <w:r>
        <w:t>Стенд состоит из двух подсетей:</w:t>
        <w:br/>
        <w:t>- Внутренняя сеть POD68: 10.0.68.0/24</w:t>
        <w:br/>
        <w:t>- Внутренняя сеть POD72: 10.0.72.0/24</w:t>
        <w:br/>
        <w:t>Задача: настроить IPSec VPN между маршрутизаторами так, чтобы трафик между этими подсетями шифровался.</w:t>
        <w:br/>
        <w:t>Внешние IP-адреса: POD68 – 10.121.1.201 (DHCP), POD72 – 10.121.1.249</w:t>
      </w:r>
    </w:p>
    <w:p>
      <w:pPr>
        <w:pStyle w:val="IntenseQuote"/>
      </w:pPr>
      <w:r>
        <w:t>Состояние интерфейсов маршрутизатора POD68 (GigabitEthernet1 – LAN, GigabitEthernet2 – WAN)</w:t>
      </w:r>
    </w:p>
    <w:p>
      <w:r>
        <w:drawing>
          <wp:inline xmlns:a="http://schemas.openxmlformats.org/drawingml/2006/main" xmlns:pic="http://schemas.openxmlformats.org/drawingml/2006/picture">
            <wp:extent cx="5486400" cy="719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ie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Список правил ACL: allow_ssh и VPN-TRAFFIC</w:t>
      </w:r>
    </w:p>
    <w:p>
      <w:r>
        <w:drawing>
          <wp:inline xmlns:a="http://schemas.openxmlformats.org/drawingml/2006/main" xmlns:pic="http://schemas.openxmlformats.org/drawingml/2006/picture">
            <wp:extent cx="5486400" cy="11596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ess_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9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Конфигурация crypto isakmp и crypto map</w:t>
      </w:r>
    </w:p>
    <w:p>
      <w:r>
        <w:drawing>
          <wp:inline xmlns:a="http://schemas.openxmlformats.org/drawingml/2006/main" xmlns:pic="http://schemas.openxmlformats.org/drawingml/2006/picture">
            <wp:extent cx="5486400" cy="25361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crypt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1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Состояние ISAKMP (Phase 1) – соединение отсутствует</w:t>
      </w:r>
    </w:p>
    <w:p>
      <w:r>
        <w:drawing>
          <wp:inline xmlns:a="http://schemas.openxmlformats.org/drawingml/2006/main" xmlns:pic="http://schemas.openxmlformats.org/drawingml/2006/picture">
            <wp:extent cx="5486400" cy="104778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ypto_s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77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Состояние IPSEC SA (Phase 2) – нет зашифрованного трафика</w:t>
      </w:r>
    </w:p>
    <w:p>
      <w:r>
        <w:drawing>
          <wp:inline xmlns:a="http://schemas.openxmlformats.org/drawingml/2006/main" xmlns:pic="http://schemas.openxmlformats.org/drawingml/2006/picture">
            <wp:extent cx="5486400" cy="30006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psec_sa_0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Продолжение вывода IPSEC SA</w:t>
      </w:r>
    </w:p>
    <w:p>
      <w:r>
        <w:drawing>
          <wp:inline xmlns:a="http://schemas.openxmlformats.org/drawingml/2006/main" xmlns:pic="http://schemas.openxmlformats.org/drawingml/2006/picture">
            <wp:extent cx="5486400" cy="211800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psec_sa_0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Проверка NAT – трансляций нет</w:t>
      </w:r>
    </w:p>
    <w:p>
      <w:r>
        <w:drawing>
          <wp:inline xmlns:a="http://schemas.openxmlformats.org/drawingml/2006/main" xmlns:pic="http://schemas.openxmlformats.org/drawingml/2006/picture">
            <wp:extent cx="5486400" cy="89849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8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Результат пинга с POD68 до 10.0.72.5 – неуспешно (0%)</w:t>
      </w:r>
    </w:p>
    <w:p>
      <w:r>
        <w:drawing>
          <wp:inline xmlns:a="http://schemas.openxmlformats.org/drawingml/2006/main" xmlns:pic="http://schemas.openxmlformats.org/drawingml/2006/picture">
            <wp:extent cx="5486400" cy="90097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n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09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