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 xml:space="preserve">Часть 2. Текст выступления (пример ~7 минут)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1 — Вступление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обрый день, уважаемые члены комиссии. Наша команда представляет проект «Интеграция значимых объектов КИИ в корпоративный SOC». Проект длится 18 месяцев — с мая 2025 до ноября 2026 года — и ориентирован на выполнение требований 187-ФЗ и Приказа ФСТЭК № 239.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2 — Команда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Позвольте представить участников: я,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Виталий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руководитель проекта; мой коллега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Илья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— главный инженер; архитектор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Богдан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 инженеры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Владислав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Сергей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Владимир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Каждый несёт персональную ответственность за отдельное направление, что позволяет удерживать контроль над сроками и качеством.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3 — Методология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Мы выбрали гибрид Water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fall + Agile. Формализованные этапы согласования документации закрываются Waterfall-подходом, что критично для регулятора. А технически рисковые задачи — аудит, пилот и тиражирование — выполняются Agile-спринтами, что даёт гибкость и раннюю обратную связь.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4 — План-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Гант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Диаграмма отражает пять фаз. Ключевые контрольные точки: завершение аудита — декабрь 2025; успешный пилот — июнь 2026; полное тиражирование — октябрь 2026; приёмка — ноябрь 2026 г.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5 — Ресурсы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Проект опирается на шесть основных FTE (каждый отвечает за свою часть работы, распределены зоны ответсвенности), а также экспертов вендоров. Аппаратная часть — лог-коллекторы, СЗИ: NGFW,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криптошлюзы, НСД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; программная — лицензии на ПО по сбору логов с АСУ ТП; плюс обучение персонала на четырёх площадках.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6 — Бюджет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Сейчас идёт детализация закупочных цен, поэтому все финансовые ячейки отмечены жёлтым. Финальную смету представим к 31 мая 2025 года после инвентаризации оборудования.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7 — Недопустимые события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Главное: отказ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химводоподготовки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ведущий к разрушению турбины. Дополнительно: потеря управления SCADA и компрометация DMZ.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8 — Сценарий ХВП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Показаны четыре стадии атаки согласно MITRE ATT&amp;CK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for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ICS. Критический момент — подмена телеметрии датчиков, из-за чего система не успевает остановить подачу пара.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9 — Ключевые системы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Основные контроллеры — Siemens PCS 7 и Schneider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Triconex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Защиту обеспечивает стек российских NGFW, лог-коллекторы 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MaxPatrol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SIEM; автоматизацию реагирования — R-Vision SOAR.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10 – 11 — Критерии и Процедура реагирования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Мы определили пороговые значения технологических параметров и связали их с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триггерами SIEM. Процедура реагирования охватывает семь шагов — от выявления до RCA — с обозначением времени SLA на каждом этапе.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12 — RACI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Ответственность распределена так, чтобы технические службы занимались локализацией, а департамент ИБ контролировал анализ причин и отчётность ФСТЭК.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13 — Структурная схема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Логическая схема показывает защищённый поток журналов от АСУ ТП через OT/IT DMZ в SOC с резервированным VPN-каналом.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</w:p>
    <w:p>
      <w:pPr>
        <w:spacing w:beforeAutospacing="1" w:after="100" w:afterAutospacing="1" w:line="240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 xml:space="preserve">OT (Operational Technology) — технологические сети и системы управления АСУ ТП;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 xml:space="preserve">IT (Information Technology) — корпоративная ИТ-инфраструктура (офисные ЛВС, серверные, облака, SOC)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Слайд 14 — Документация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Все исходные документы доступны в общем репозитории. Это обеспечивает транспарентность и возможность аудита.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Заключение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  <w:t xml:space="preserve">Реализация проекта повысит кибер-устойчивость критически важных объектов, сократит время реакции на инциденты и обеспечит полное соответствие нормативным требованиям. Готов ответить на ваши вопросы.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9"/>
    <w:link w:val="618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2"/>
    <w:basedOn w:val="617"/>
    <w:link w:val="622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character" w:styleId="622" w:customStyle="1">
    <w:name w:val="Заголовок 2 Знак"/>
    <w:basedOn w:val="619"/>
    <w:link w:val="618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23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24">
    <w:name w:val="Strong"/>
    <w:basedOn w:val="619"/>
    <w:uiPriority w:val="22"/>
    <w:qFormat/>
    <w:rPr>
      <w:b/>
      <w:bCs/>
    </w:rPr>
  </w:style>
  <w:style w:type="character" w:styleId="625">
    <w:name w:val="Emphasis"/>
    <w:basedOn w:val="619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Виталий Новиков</cp:lastModifiedBy>
  <cp:revision>4</cp:revision>
  <dcterms:created xsi:type="dcterms:W3CDTF">2025-06-08T16:11:00Z</dcterms:created>
  <dcterms:modified xsi:type="dcterms:W3CDTF">2025-06-09T16:23:33Z</dcterms:modified>
</cp:coreProperties>
</file>