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45"/>
        <w:spacing w:after="160" w:before="0" w:line="276" w:lineRule="auto"/>
        <w:jc w:val="left"/>
      </w:pPr>
      <w:r>
        <w:rPr>
          <w:rFonts w:eastAsia="宋体-简" w:ascii="宋体-简" w:hAnsi="宋体-简" w:cs="宋体-简"/>
          <w:b w:val="0"/>
          <w:color w:val="000000"/>
          <w:sz w:val="44"/>
        </w:rPr>
        <w:t>解决方案型测试授权需求文档（终稿）</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2160"/>
            <w:tcBorders>
              <w:top w:val="single" w:color="CBCDD1" w:sz="4" w:space="0"/>
              <w:left w:val="single" w:color="CBCDD1" w:sz="4" w:space="0"/>
              <w:bottom w:val="single" w:color="CBCDD1" w:sz="4" w:space="0"/>
              <w:right w:val="single" w:color="CBCDD1" w:sz="4" w:space="0"/>
            </w:tcBorders>
            <w:shd w:val="clear" w:color="auto" w:fill="C7ECFF"/>
            <w:vAlign w:val="center"/>
          </w:tcPr>
          <w:p>
            <w:pPr>
              <w:spacing w:before="40" w:after="40" w:line="276" w:lineRule="auto"/>
            </w:pPr>
            <w:r>
              <w:rPr>
                <w:rFonts w:eastAsia="宋体-简" w:ascii="宋体-简" w:hAnsi="宋体-简" w:cs="宋体-简"/>
                <w:b/>
                <w:color w:val="000000"/>
                <w:sz w:val="23"/>
              </w:rPr>
              <w:t>时间</w:t>
            </w:r>
          </w:p>
        </w:tc>
        <w:tc>
          <w:tcPr>
            <w:tcW w:type="dxa" w:w="1224"/>
            <w:tcBorders>
              <w:top w:val="single" w:color="CBCDD1" w:sz="4" w:space="0"/>
              <w:left w:val="single" w:color="CBCDD1" w:sz="4" w:space="0"/>
              <w:bottom w:val="single" w:color="CBCDD1" w:sz="4" w:space="0"/>
              <w:right w:val="single" w:color="CBCDD1" w:sz="4" w:space="0"/>
            </w:tcBorders>
            <w:shd w:val="clear" w:color="auto" w:fill="C7ECFF"/>
            <w:vAlign w:val="center"/>
          </w:tcPr>
          <w:p>
            <w:pPr>
              <w:spacing w:before="40" w:after="40" w:line="276" w:lineRule="auto"/>
            </w:pPr>
            <w:r>
              <w:rPr>
                <w:rFonts w:eastAsia="宋体-简" w:ascii="宋体-简" w:hAnsi="宋体-简" w:cs="宋体-简"/>
                <w:b/>
                <w:color w:val="000000"/>
                <w:sz w:val="23"/>
              </w:rPr>
              <w:t>变更人</w:t>
            </w:r>
          </w:p>
        </w:tc>
        <w:tc>
          <w:tcPr>
            <w:tcW w:type="dxa" w:w="3024"/>
            <w:tcBorders>
              <w:top w:val="single" w:color="CBCDD1" w:sz="4" w:space="0"/>
              <w:left w:val="single" w:color="CBCDD1" w:sz="4" w:space="0"/>
              <w:bottom w:val="single" w:color="CBCDD1" w:sz="4" w:space="0"/>
              <w:right w:val="single" w:color="CBCDD1" w:sz="4" w:space="0"/>
            </w:tcBorders>
            <w:shd w:val="clear" w:color="auto" w:fill="C7ECFF"/>
            <w:vAlign w:val="center"/>
          </w:tcPr>
          <w:p>
            <w:pPr>
              <w:spacing w:before="40" w:after="40" w:line="276" w:lineRule="auto"/>
            </w:pPr>
            <w:r>
              <w:rPr>
                <w:rFonts w:eastAsia="宋体-简" w:ascii="宋体-简" w:hAnsi="宋体-简" w:cs="宋体-简"/>
                <w:b/>
                <w:color w:val="000000"/>
                <w:sz w:val="23"/>
              </w:rPr>
              <w:t>变更原因</w:t>
            </w:r>
          </w:p>
        </w:tc>
        <w:tc>
          <w:tcPr>
            <w:tcW w:type="dxa" w:w="4320"/>
            <w:tcBorders>
              <w:top w:val="single" w:color="CBCDD1" w:sz="4" w:space="0"/>
              <w:left w:val="single" w:color="CBCDD1" w:sz="4" w:space="0"/>
              <w:bottom w:val="single" w:color="CBCDD1" w:sz="4" w:space="0"/>
              <w:right w:val="single" w:color="CBCDD1" w:sz="4" w:space="0"/>
            </w:tcBorders>
            <w:shd w:val="clear" w:color="auto" w:fill="C7ECFF"/>
            <w:vAlign w:val="center"/>
          </w:tcPr>
          <w:p>
            <w:pPr>
              <w:spacing w:before="40" w:after="40" w:line="276" w:lineRule="auto"/>
            </w:pPr>
            <w:r>
              <w:rPr>
                <w:rFonts w:eastAsia="宋体-简" w:ascii="宋体-简" w:hAnsi="宋体-简" w:cs="宋体-简"/>
                <w:b/>
                <w:color w:val="000000"/>
                <w:sz w:val="23"/>
              </w:rPr>
              <w:t>变更内容</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8 月 6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创建需求文档初稿</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梳理解决方案型测试授权申请概要方案、系统边界及整单审批原则。</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8 月 19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补充设备与 XaaS 并存规则及云图身份校验</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支持设备产品线与 SaaS-XDR 混排并存，补充客户云图账号/ID强制校验。</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8 月 26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落地统一授权天数模型与抽屉遮挡修复</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引入 authDays 动态计算到期日，解决配置抽屉与模块导航浮层遮挡。</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9 月 15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编写字段填写与审批操作说明</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明确借测单关联、各产品线参数卡片、审批结论与授权记录展示口径。</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9 月 20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完善五段式规范与业务方灵活配置建议落地</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对齐标准五段式结构；落地业务方关于业务申请信息与产品组合免代码灵活配置机制。</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9 月 20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精简 4.2/4.3 章节层级并强化 XaaS 云图 ID 规范</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消除冗余微观子节；业务信息直接对齐《安全方案测试申请规则.xlsx》动态渲染；重点强化 XaaS 产品线云图 ID 强阻断校验。</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9 月 20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强化业务信息自由配置引擎与四大核心对齐点</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1. 业务申请信息支持字段名与类型（单选/多选/单行/多行/文件/数字）及选项自由配置；2. 云图 ID 升格为客户全局顶级身份与前置强校验；3. 新增所属行业对齐 XaaS；4. 成对协同组件至少选一个互斥守底交互。</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2026 年 9 月 28 日</w:t>
            </w:r>
          </w:p>
        </w:tc>
        <w:tc>
          <w:tcPr>
            <w:tcW w:type="dxa" w:w="12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钱金城</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完善借测设备防篡改锁定、多设备追加、云图手机号及全链路筛选规范</w:t>
            </w:r>
          </w:p>
        </w:tc>
        <w:tc>
          <w:tcPr>
            <w:tcW w:type="dxa" w:w="432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1. 客户联系人手机号与云图账号自动匹配，XaaS 场景强校验必填阻断；2. 借测单设备 ID 继承只读锁定防篡改，并支持‘+ 添加设备’动态追加与删除；3. 明确借测单客户级联筛选、配置中心检索及授权记录列表多维穿透筛选规格说明。</w:t>
            </w:r>
          </w:p>
        </w:tc>
      </w:tr>
    </w:tbl>
    <w:p>
      <w:pPr>
        <w:spacing w:before="0" w:after="80"/>
      </w:pPr>
    </w:p>
    <w:p>
      <w:pPr>
        <w:pStyle w:val="00001c"/>
        <w:spacing w:after="80" w:before="480" w:line="276" w:lineRule="auto"/>
        <w:jc w:val="left"/>
      </w:pPr>
      <w:r>
        <w:rPr>
          <w:rFonts w:eastAsia="宋体-简" w:ascii="宋体-简" w:hAnsi="宋体-简" w:cs="宋体-简"/>
          <w:b w:val="0"/>
          <w:color w:val="000000"/>
          <w:sz w:val="32"/>
        </w:rPr>
        <w:t>1. 需求背景</w:t>
      </w:r>
    </w:p>
    <w:p>
      <w:pPr>
        <w:pStyle w:val="00001e"/>
        <w:spacing w:after="40" w:before="200" w:line="276" w:lineRule="auto"/>
        <w:jc w:val="left"/>
      </w:pPr>
      <w:r>
        <w:rPr>
          <w:rFonts w:eastAsia="宋体-简" w:ascii="宋体-简" w:hAnsi="宋体-简" w:cs="宋体-简"/>
          <w:b w:val="0"/>
          <w:color w:val="000000"/>
          <w:sz w:val="26"/>
        </w:rPr>
        <w:t>1.1 业务现状</w:t>
      </w:r>
    </w:p>
    <w:p>
      <w:pPr>
        <w:spacing w:before="0" w:after="80" w:line="276" w:lineRule="auto"/>
      </w:pPr>
      <w:r>
        <w:rPr>
          <w:rFonts w:eastAsia="宋体-简" w:ascii="宋体-简" w:hAnsi="宋体-简" w:cs="宋体-简"/>
          <w:b w:val="0"/>
          <w:color w:val="000000"/>
          <w:sz w:val="23"/>
        </w:rPr>
        <w:t>解决方案型测试授权通常由多个协同运作的产品线打包组成（如企业云一体化方案、分布式安全运营方案、全球加速及全球组网方案等）。当前业务中，因资产借测与测试授权系统割裂，业务人员需按单产品反复发起多次授权申请，流程繁琐且难以保证同一方案下各产品授权期限与客户环境的一致性。</w:t>
      </w:r>
    </w:p>
    <w:p>
      <w:pPr>
        <w:spacing w:before="0" w:after="80" w:line="276" w:lineRule="auto"/>
      </w:pPr>
      <w:r>
        <w:rPr>
          <w:rFonts w:eastAsia="宋体-简" w:ascii="宋体-简" w:hAnsi="宋体-简" w:cs="宋体-简"/>
          <w:b w:val="0"/>
          <w:color w:val="000000"/>
          <w:sz w:val="23"/>
        </w:rPr>
        <w:t>同时，部分解决方案存在设备硬件产品线与 XaaS 云服务产品线混排的场景，不同产品线的授权对象和校验逻辑不同；新资产系统完成借测审批后，若缺乏统一关联机制，容易导致方案产品组合脱节、二次手工录入繁琐及授权结果无法原子交付的问题。</w:t>
      </w:r>
    </w:p>
    <w:p>
      <w:pPr>
        <w:pStyle w:val="00001e"/>
        <w:spacing w:after="40" w:before="200" w:line="276" w:lineRule="auto"/>
        <w:jc w:val="left"/>
      </w:pPr>
      <w:r>
        <w:rPr>
          <w:rFonts w:eastAsia="宋体-简" w:ascii="宋体-简" w:hAnsi="宋体-简" w:cs="宋体-简"/>
          <w:b w:val="0"/>
          <w:color w:val="000000"/>
          <w:sz w:val="26"/>
        </w:rPr>
        <w:t>1.2 需求目标</w:t>
      </w:r>
    </w:p>
    <w:p>
      <w:pPr>
        <w:spacing w:before="0" w:after="80" w:line="276" w:lineRule="auto"/>
      </w:pPr>
      <w:r>
        <w:rPr>
          <w:rFonts w:eastAsia="宋体-简" w:ascii="宋体-简" w:hAnsi="宋体-简" w:cs="宋体-简"/>
          <w:b w:val="0"/>
          <w:color w:val="000000"/>
          <w:sz w:val="23"/>
        </w:rPr>
        <w:t>在 W3 测试授权平台内完成解决方案配置维护、关联借测单发起、纯软件申请、多产品线工作台参数配置、整单审批与单一汇总授权记录展示。</w:t>
      </w:r>
    </w:p>
    <w:p>
      <w:pPr>
        <w:spacing w:before="0" w:after="80" w:line="276" w:lineRule="auto"/>
      </w:pPr>
      <w:r>
        <w:rPr>
          <w:rFonts w:eastAsia="宋体-简" w:ascii="宋体-简" w:hAnsi="宋体-简" w:cs="宋体-简"/>
          <w:b w:val="0"/>
          <w:color w:val="000000"/>
          <w:sz w:val="23"/>
        </w:rPr>
        <w:t>系统支持一张申请单承接多个产品线（设备线与 XaaS 线并存），方案范围只读锁定，统一授权到期时间，全产品原子化开通与异常回滚；并响应业务方建议，实现业务申请信息与产品授权组合的灵活自由配置，避免方案推广时频繁进行代码开发。</w:t>
      </w:r>
    </w:p>
    <w:p>
      <w:pPr>
        <w:pStyle w:val="00001c"/>
        <w:spacing w:after="80" w:before="480" w:line="276" w:lineRule="auto"/>
        <w:jc w:val="left"/>
      </w:pPr>
      <w:r>
        <w:rPr>
          <w:rFonts w:eastAsia="宋体-简" w:ascii="宋体-简" w:hAnsi="宋体-简" w:cs="宋体-简"/>
          <w:b w:val="0"/>
          <w:color w:val="000000"/>
          <w:sz w:val="32"/>
        </w:rPr>
        <w:t>2. 需求范围</w:t>
      </w:r>
    </w:p>
    <w:p>
      <w:pPr>
        <w:pStyle w:val="00001e"/>
        <w:spacing w:after="40" w:before="200" w:line="276" w:lineRule="auto"/>
        <w:jc w:val="left"/>
      </w:pPr>
      <w:r>
        <w:rPr>
          <w:rFonts w:eastAsia="宋体-简" w:ascii="宋体-简" w:hAnsi="宋体-简" w:cs="宋体-简"/>
          <w:b w:val="0"/>
          <w:color w:val="000000"/>
          <w:sz w:val="26"/>
        </w:rPr>
        <w:t>2.1 需求概述</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1440"/>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系统</w:t>
            </w:r>
          </w:p>
        </w:tc>
        <w:tc>
          <w:tcPr>
            <w:tcW w:type="dxa" w:w="2592"/>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模块</w:t>
            </w:r>
          </w:p>
        </w:tc>
        <w:tc>
          <w:tcPr>
            <w:tcW w:type="dxa" w:w="3888"/>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需求概述</w:t>
            </w:r>
          </w:p>
        </w:tc>
        <w:tc>
          <w:tcPr>
            <w:tcW w:type="dxa" w:w="2736"/>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说明</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解决方案配置中心</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维护解决方案编码、名称、产品组合、授权天数及业务申请信息字段引擎，支持方案检索筛选</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配置归属 W3，向新资产系统提供只读查询接口；支持按编码/名称/状态过滤</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申请基础信息与入口</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提供关联借测单与纯软件本地申请两种入口，客户信息由 CRM 带入，必选所属行业与联系人手机号（XaaS强校验）</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借测单需客户级联筛选，只允许关联审批通过借测单；手机号自动匹配云图账号</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方案范围只读锁定</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展示方案编码、名称、关联产品线标签列表及统一授权时间</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严格只读，杜绝申请人手工增删或替换产品线</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业务申请信息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根据方案配置引擎动态自适应渲染专属业务评估信息（DSOC/加速/组网/MSS/DSP等）</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字段名、类型、多选项自由配置，调研基准直接对齐规则表</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多产品线工作台</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垂直导航逐项切换产品线参数，借测设备 ID 继承防篡改锁定并支持追加设备，支持按需开关与协同守底</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借测设备只读不可改，支持动态追加；STA/AF、AF/aES 守底交互至少开启一个</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全产品原子授权</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整单进入 W3 审批，审批通过后统一执行授权与失败整单回滚</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任一产品失败整单回滚，不产生部分交付残缺授权</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全链路多维筛选</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配置中心支持编码/名称/状态检索，借测单支持客户级联过滤，授权记录列表支持按产品线、类型、状态及关键字穿透筛选</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主子行穿透联动，支持一键清空与重置</w:t>
            </w:r>
          </w:p>
        </w:tc>
      </w:tr>
      <w:tr>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解决方案授权记录</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列表生成一条 SOL 主记录，支持展开查看各产品线明细子行及追加多设备回显</w:t>
            </w:r>
          </w:p>
        </w:tc>
        <w:tc>
          <w:tcPr>
            <w:tcW w:type="dxa" w:w="273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主行展示方案与总设备数，展开行展示版本、设备/云图ID及授权码，抽屉完整回显</w:t>
            </w:r>
          </w:p>
        </w:tc>
      </w:tr>
    </w:tbl>
    <w:p>
      <w:pPr>
        <w:spacing w:before="0" w:after="80"/>
      </w:pPr>
    </w:p>
    <w:p>
      <w:pPr>
        <w:pStyle w:val="00001e"/>
        <w:spacing w:after="40" w:before="200" w:line="276" w:lineRule="auto"/>
        <w:jc w:val="left"/>
      </w:pPr>
      <w:r>
        <w:rPr>
          <w:rFonts w:eastAsia="宋体-简" w:ascii="宋体-简" w:hAnsi="宋体-简" w:cs="宋体-简"/>
          <w:b w:val="0"/>
          <w:color w:val="000000"/>
          <w:sz w:val="26"/>
        </w:rPr>
        <w:t>2.2 系统职责</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4929"/>
        <w:gridCol w:w="4929"/>
      </w:tblGrid>
      <w:tr>
        <w:tc>
          <w:tcPr>
            <w:tcW w:type="dxa" w:w="3168"/>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系统</w:t>
            </w:r>
          </w:p>
        </w:tc>
        <w:tc>
          <w:tcPr>
            <w:tcW w:type="dxa" w:w="7488"/>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负责</w:t>
            </w:r>
          </w:p>
        </w:tc>
      </w:tr>
      <w:tr>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 测试授权系统</w:t>
            </w:r>
          </w:p>
        </w:tc>
        <w:tc>
          <w:tcPr>
            <w:tcW w:type="dxa" w:w="74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维护解决方案与产品线映射关系、统一授权天数及业务申请信息字段引擎；向资产系统提供只读配置查询；提供借测单校验与带出；提供多产品线参数工作台；执行 W3 整单审批；调度下游中台原子授权与失败回滚；生成并展示 SOL 汇总与展开明细记录。</w:t>
            </w:r>
          </w:p>
        </w:tc>
      </w:tr>
      <w:tr>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新资产系统</w:t>
            </w:r>
          </w:p>
        </w:tc>
        <w:tc>
          <w:tcPr>
            <w:tcW w:type="dxa" w:w="74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读取 W3 启用的解决方案与产品线配置；支持用户在借测单中选择方案并完成借测审批；保存审批快照；向 W3 提供借测单状态与明细查询接口。不主动推送消息至 W3，不自动在 W3 建单。</w:t>
            </w:r>
          </w:p>
        </w:tc>
      </w:tr>
      <w:tr>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下游许可证中台 / 云图</w:t>
            </w:r>
          </w:p>
        </w:tc>
        <w:tc>
          <w:tcPr>
            <w:tcW w:type="dxa" w:w="74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接收 W3 下发的产品授权与云服务开通指令，返回具体授权码；提供失败时的批量作废撤销与回滚接口能力。不处理解决方案业务合规审批。</w:t>
            </w:r>
          </w:p>
        </w:tc>
      </w:tr>
    </w:tbl>
    <w:p>
      <w:pPr>
        <w:spacing w:before="0" w:after="80"/>
      </w:pPr>
    </w:p>
    <w:p>
      <w:pPr>
        <w:pStyle w:val="00001e"/>
        <w:spacing w:after="40" w:before="200" w:line="276" w:lineRule="auto"/>
        <w:jc w:val="left"/>
      </w:pPr>
      <w:r>
        <w:rPr>
          <w:rFonts w:eastAsia="宋体-简" w:ascii="宋体-简" w:hAnsi="宋体-简" w:cs="宋体-简"/>
          <w:b w:val="0"/>
          <w:color w:val="000000"/>
          <w:sz w:val="26"/>
        </w:rPr>
        <w:t>2.3 待办与单据类型</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2160"/>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待办/单据类型</w:t>
            </w:r>
          </w:p>
        </w:tc>
        <w:tc>
          <w:tcPr>
            <w:tcW w:type="dxa" w:w="3168"/>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生成时机</w:t>
            </w:r>
          </w:p>
        </w:tc>
        <w:tc>
          <w:tcPr>
            <w:tcW w:type="dxa" w:w="3456"/>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处理人主要动作</w:t>
            </w:r>
          </w:p>
        </w:tc>
        <w:tc>
          <w:tcPr>
            <w:tcW w:type="dxa" w:w="1872"/>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是否审批流</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 解决方案申请单</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业务人员在 W3 关联借测单或纯软件模式提交后生成</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申请人填写完整参数并确认整单提交</w:t>
            </w:r>
          </w:p>
        </w:tc>
        <w:tc>
          <w:tcPr>
            <w:tcW w:type="dxa" w:w="187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否（业务发起）</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 整单审批待办</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解决方案申请单提交成功后进入待办池</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 审批人审核方案信息、业务调研与产品配置，给出通过/驳回结论</w:t>
            </w:r>
          </w:p>
        </w:tc>
        <w:tc>
          <w:tcPr>
            <w:tcW w:type="dxa" w:w="187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是（整单合规审批）</w:t>
            </w:r>
          </w:p>
        </w:tc>
      </w:tr>
    </w:tbl>
    <w:p>
      <w:pPr>
        <w:spacing w:before="0" w:after="80"/>
      </w:pPr>
    </w:p>
    <w:p>
      <w:pPr>
        <w:pStyle w:val="00001e"/>
        <w:spacing w:after="40" w:before="200" w:line="276" w:lineRule="auto"/>
        <w:jc w:val="left"/>
      </w:pPr>
      <w:r>
        <w:rPr>
          <w:rFonts w:eastAsia="宋体-简" w:ascii="宋体-简" w:hAnsi="宋体-简" w:cs="宋体-简"/>
          <w:b w:val="0"/>
          <w:color w:val="000000"/>
          <w:sz w:val="26"/>
        </w:rPr>
        <w:t>2.4 审批与处理口径</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4929"/>
        <w:gridCol w:w="4929"/>
      </w:tblGrid>
      <w:tr>
        <w:tc>
          <w:tcPr>
            <w:tcW w:type="dxa" w:w="2592"/>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事项</w:t>
            </w:r>
          </w:p>
        </w:tc>
        <w:tc>
          <w:tcPr>
            <w:tcW w:type="dxa" w:w="8063"/>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口径</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审批单粒度</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整套解决方案作为一张申请单统一审批，不按产品线拆分审批单。</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审批驳回机制</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任一审批节点驳回时整单驳回，申请人可基于原单修改数据后重新提交。</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授权交付原子性</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方案内全部产品授权成功方为整单成功；任一产品失败整单标记为失败，并回滚已开通产品。</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客户全局云图身份口径</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云图ID升格为客户全局顶层身份；含 XaaS 产品线的方案，已选客户缺失有效云图身份直接全单强阻断提交。</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联系人手机号匹配口径</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客户联系人手机号作为云图账号匹配凭证，输入11位手机号自动联动云图身份；涉及 XaaS 开通时强制必填阻断。</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借测设备继承防篡改口径</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借测单自带设备 ID 强制只读锁定防篡改，展示带锁提示；提供‘+ 添加设备’支持追加测试设备并强校验非空。</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全链路多维筛选口径</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涵盖借测单客户级联筛选、配置中心检索及授权记录列表多维穿透筛选，支持一键清空与重置。</w:t>
            </w:r>
          </w:p>
        </w:tc>
      </w:tr>
      <w:tr>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成对协同组件守底口径</w:t>
            </w:r>
          </w:p>
        </w:tc>
        <w:tc>
          <w:tcPr>
            <w:tcW w:type="dxa" w:w="8063"/>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具有成对互补协同关系的组件（如 STA/AF、AF/aES），允许同时开启；关闭一个另一个必须自动开启，严禁同时关闭。</w:t>
            </w:r>
          </w:p>
        </w:tc>
      </w:tr>
    </w:tbl>
    <w:p>
      <w:pPr>
        <w:spacing w:before="0" w:after="80"/>
      </w:pPr>
    </w:p>
    <w:p>
      <w:pPr>
        <w:pStyle w:val="00001c"/>
        <w:spacing w:after="80" w:before="480" w:line="276" w:lineRule="auto"/>
        <w:jc w:val="left"/>
      </w:pPr>
      <w:r>
        <w:rPr>
          <w:rFonts w:eastAsia="宋体-简" w:ascii="宋体-简" w:hAnsi="宋体-简" w:cs="宋体-简"/>
          <w:b w:val="0"/>
          <w:color w:val="000000"/>
          <w:sz w:val="32"/>
        </w:rPr>
        <w:t>3. 业务流程</w:t>
      </w:r>
    </w:p>
    <w:p>
      <w:pPr>
        <w:pStyle w:val="00001e"/>
        <w:spacing w:after="40" w:before="200" w:line="276" w:lineRule="auto"/>
        <w:jc w:val="left"/>
      </w:pPr>
      <w:r>
        <w:rPr>
          <w:rFonts w:eastAsia="宋体-简" w:ascii="宋体-简" w:hAnsi="宋体-简" w:cs="宋体-简"/>
          <w:b w:val="0"/>
          <w:color w:val="000000"/>
          <w:sz w:val="26"/>
        </w:rPr>
        <w:t>3.1 解决方案型授权申请与执行流程</w:t>
      </w:r>
    </w:p>
    <w:p>
      <w:pPr>
        <w:spacing w:before="0" w:after="80" w:line="276" w:lineRule="auto"/>
      </w:pPr>
      <w:r>
        <w:rPr>
          <w:rFonts w:eastAsia="宋体-简" w:ascii="宋体-简" w:hAnsi="宋体-简" w:cs="宋体-简"/>
          <w:b w:val="0"/>
          <w:color w:val="000000"/>
          <w:sz w:val="23"/>
        </w:rPr>
        <w:t>1、W3 配置管理员在「系统设置」→「解决方案配置」维护方案编码、名称、产品线组合、统一授权天数（authDays）以及业务申请信息模板与自由配置字段；新资产系统通过只读接口获取启用的方案数据。</w:t>
      </w:r>
    </w:p>
    <w:p>
      <w:pPr>
        <w:spacing w:before="0" w:after="80" w:line="276" w:lineRule="auto"/>
      </w:pPr>
      <w:r>
        <w:rPr>
          <w:rFonts w:eastAsia="宋体-简" w:ascii="宋体-简" w:hAnsi="宋体-简" w:cs="宋体-简"/>
          <w:b w:val="0"/>
          <w:color w:val="000000"/>
          <w:sz w:val="23"/>
        </w:rPr>
        <w:t>2、业务人员在资产系统发起借测申请并独立完成资产审批；审批通过后，流程在资产系统结束，不向 W3 发送业务消息。</w:t>
      </w:r>
    </w:p>
    <w:p>
      <w:pPr>
        <w:spacing w:before="0" w:after="80" w:line="276" w:lineRule="auto"/>
      </w:pPr>
      <w:r>
        <w:rPr>
          <w:rFonts w:eastAsia="宋体-简" w:ascii="宋体-简" w:hAnsi="宋体-简" w:cs="宋体-简"/>
          <w:b w:val="0"/>
          <w:color w:val="000000"/>
          <w:sz w:val="23"/>
        </w:rPr>
        <w:t>3、业务人员主动登录 W3，进入「解决方案型授权」页面，选择“关联借测单”或“纯软件本地申请”。输入客户筛选合法借测单（借测单下拉根据已选客户级联过滤并标注借测状态），系统自动带出 CRM 客户信息并在客户概要即时回显客户全局云图身份；申请人录入/确认客户联系人手机号（支持11位手机号自动匹配云图账号，涉及XaaS开通时为强校验必填项）；下拉选择所属行业（必选，对齐 XaaS 字典）。</w:t>
      </w:r>
    </w:p>
    <w:p>
      <w:pPr>
        <w:spacing w:before="0" w:after="80" w:line="276" w:lineRule="auto"/>
      </w:pPr>
      <w:r>
        <w:rPr>
          <w:rFonts w:eastAsia="宋体-简" w:ascii="宋体-简" w:hAnsi="宋体-简" w:cs="宋体-简"/>
          <w:b w:val="0"/>
          <w:color w:val="000000"/>
          <w:sz w:val="23"/>
        </w:rPr>
        <w:t>4、W3 实时校验借测单准入状态：必须为“审批通过且未归还、未撤销”。校验通过后带出借测关键信息，并在「方案范围」锁定方案及产品线（只读不可改），按配置天数动态计算统一授权到期时间。</w:t>
      </w:r>
    </w:p>
    <w:p>
      <w:pPr>
        <w:spacing w:before="0" w:after="80" w:line="276" w:lineRule="auto"/>
      </w:pPr>
      <w:r>
        <w:rPr>
          <w:rFonts w:eastAsia="宋体-简" w:ascii="宋体-简" w:hAnsi="宋体-简" w:cs="宋体-简"/>
          <w:b w:val="0"/>
          <w:color w:val="000000"/>
          <w:sz w:val="23"/>
        </w:rPr>
        <w:t>5、若方案配置了业务申请信息字段，系统展开「业务申请信息」区块，前端引擎自适应渲染文本输入、单选、多选、文件上传等动态表单组件，用户补充主打场景、驱动力、预期效果、调研文档或竞对等评估信息。</w:t>
      </w:r>
    </w:p>
    <w:p>
      <w:pPr>
        <w:spacing w:before="0" w:after="80" w:line="276" w:lineRule="auto"/>
      </w:pPr>
      <w:r>
        <w:rPr>
          <w:rFonts w:eastAsia="宋体-简" w:ascii="宋体-简" w:hAnsi="宋体-简" w:cs="宋体-简"/>
          <w:b w:val="0"/>
          <w:color w:val="000000"/>
          <w:sz w:val="23"/>
        </w:rPr>
        <w:t>6、进入「授权参数」多产品线工作台，申请人按左侧导航逐个填写产品参数；未上线的按需产品线（如 SASE-SWG）默认关闭，不参与校验；成对协同组件（如 STA/AF、AF/aES）执行至少开启一个的守底联动；设备线继承借测单设备 ID 且锁定只读防篡改，支持点击“+ 添加设备”追加额外设备；配置版本及模块卡片；XaaS 线配置云服务参数并校验客户全局云图身份；所有产品线授权到期日强制对齐统一到期时间。</w:t>
      </w:r>
    </w:p>
    <w:p>
      <w:pPr>
        <w:spacing w:before="0" w:after="80" w:line="276" w:lineRule="auto"/>
      </w:pPr>
      <w:r>
        <w:rPr>
          <w:rFonts w:eastAsia="宋体-简" w:ascii="宋体-简" w:hAnsi="宋体-简" w:cs="宋体-简"/>
          <w:b w:val="0"/>
          <w:color w:val="000000"/>
          <w:sz w:val="23"/>
        </w:rPr>
        <w:t>7、点击“提交 W3 整单审批”，前置校验全单必填项。校验通过后生成一张 W3 申请单进入审批流。审批人查看整单方案并作出通过或驳回结论。</w:t>
      </w:r>
    </w:p>
    <w:p>
      <w:pPr>
        <w:spacing w:before="0" w:after="80" w:line="276" w:lineRule="auto"/>
      </w:pPr>
      <w:r>
        <w:rPr>
          <w:rFonts w:eastAsia="宋体-简" w:ascii="宋体-简" w:hAnsi="宋体-简" w:cs="宋体-简"/>
          <w:b w:val="0"/>
          <w:color w:val="000000"/>
          <w:sz w:val="23"/>
        </w:rPr>
        <w:t>8、审批通过后执行全产品原子授权：预校验通过后并行下发，全部成功则在授权记录中生成一条以 SOL 开头的主记录，并可展开查看所有产品明细；任一产品失败则整单回滚作废已开通产品，整单标记为失败。</w:t>
      </w:r>
    </w:p>
    <w:p>
      <w:pPr>
        <w:pStyle w:val="00001c"/>
        <w:spacing w:after="80" w:before="480" w:line="276" w:lineRule="auto"/>
        <w:jc w:val="left"/>
      </w:pPr>
      <w:r>
        <w:rPr>
          <w:rFonts w:eastAsia="宋体-简" w:ascii="宋体-简" w:hAnsi="宋体-简" w:cs="宋体-简"/>
          <w:b w:val="0"/>
          <w:color w:val="000000"/>
          <w:sz w:val="32"/>
        </w:rPr>
        <w:t>4. 解决方案型测试授权需求明细</w:t>
      </w:r>
    </w:p>
    <w:p>
      <w:pPr>
        <w:pStyle w:val="00001e"/>
        <w:spacing w:after="40" w:before="200" w:line="276" w:lineRule="auto"/>
        <w:jc w:val="left"/>
      </w:pPr>
      <w:r>
        <w:rPr>
          <w:rFonts w:eastAsia="宋体-简" w:ascii="宋体-简" w:hAnsi="宋体-简" w:cs="宋体-简"/>
          <w:b w:val="0"/>
          <w:color w:val="000000"/>
          <w:sz w:val="26"/>
        </w:rPr>
        <w:t>4.1 解决方案配置管理</w:t>
      </w:r>
    </w:p>
    <w:p>
      <w:pPr>
        <w:spacing w:before="80" w:after="40" w:line="276" w:lineRule="auto"/>
      </w:pPr>
      <w:r>
        <w:rPr>
          <w:rFonts w:eastAsia="宋体-简" w:ascii="宋体-简" w:hAnsi="宋体-简" w:cs="宋体-简"/>
          <w:b/>
          <w:color w:val="000000"/>
          <w:sz w:val="24"/>
        </w:rPr>
        <w:t>1、初始状态</w:t>
      </w:r>
    </w:p>
    <w:p>
      <w:pPr>
        <w:spacing w:before="0" w:after="80" w:line="276" w:lineRule="auto"/>
      </w:pPr>
      <w:r>
        <w:rPr>
          <w:rFonts w:eastAsia="宋体-简" w:ascii="宋体-简" w:hAnsi="宋体-简" w:cs="宋体-简"/>
          <w:b w:val="0"/>
          <w:color w:val="000000"/>
          <w:sz w:val="23"/>
        </w:rPr>
        <w:t>系统由管理员在配置中心统一维护解决方案与产品线清单的基线配置。初始状态下，系统展示已维护的解决方案定义列表，包含方案编码、方案名称、关联产品线集合、业务申请信息模板及字段项、统一授权天数及当前启用状态；列表默认按更新时间倒序排列。新资产系统通过接口同步读取处于“启用”状态的方案配置；若系统中未配置任何方案或方案全部处于停用状态，测试授权申请端不可发起解决方案型授权。</w:t>
      </w:r>
    </w:p>
    <w:p>
      <w:pPr>
        <w:spacing w:before="80" w:after="40" w:line="276" w:lineRule="auto"/>
      </w:pPr>
      <w:r>
        <w:rPr>
          <w:rFonts w:eastAsia="宋体-简" w:ascii="宋体-简" w:hAnsi="宋体-简" w:cs="宋体-简"/>
          <w:b/>
          <w:color w:val="000000"/>
          <w:sz w:val="24"/>
        </w:rPr>
        <w:t>2、交互逻辑说明</w:t>
      </w:r>
    </w:p>
    <w:p>
      <w:pPr>
        <w:spacing w:before="0" w:after="80" w:line="276" w:lineRule="auto"/>
      </w:pPr>
      <w:r>
        <w:rPr>
          <w:rFonts w:eastAsia="宋体-简" w:ascii="宋体-简" w:hAnsi="宋体-简" w:cs="宋体-简"/>
          <w:b w:val="0"/>
          <w:color w:val="000000"/>
          <w:sz w:val="23"/>
        </w:rPr>
        <w:t>管理员可按方案编码或方案名称进行关键字检索，或按状态（全部/启用/停用）筛选方案；支持新增与编辑解决方案：</w:t>
        <w:br/>
        <w:t>（1）基础信息录入：录入方案编码、方案名称、统一授权天数（大于0的正整数），并勾选其所包含的产品线范围（支持硬件设备产品线与 XaaS 云服务产品线混排）；</w:t>
        <w:br/>
        <w:t>（2）业务申请信息自由配置引擎（业务核心诉求落地）：方案提供业务信息模板选择（包括标准通用无业务信息、分布式安全运营 DSOC、全球加速 ACCEL、全球组网 NETWORK、安全托管服务 MSS、数据安全方案 DSP 及自定义动态字段配置）；管理员可自由添加业务调研字段、修改字段名称、选择控件类型（单行文本、多行文本、单选下拉、多选复选框、附件上传、数字）；针对单选下拉与多选复选框控件，支持管理员自由录入和维护可选项列表（多个选项使用英文逗号分隔），并支持设置必填标记与删除字段；彻底实现业务调研信息免代码发版随配随用；</w:t>
        <w:br/>
        <w:t>（3）启停状态与接口快照：支持对已有方案进行一键启用/停用切换，停用后新资产系统与测试授权申请端即时不可选；提供模拟接口读取功能，支持实时查看新资产系统调用的方案配置数据快照；</w:t>
        <w:br/>
        <w:t>（4）配置中心检索与筛选规格：配置抽屉顶部支持按方案编码或方案名称进行实时模糊搜索，支持按启用/停用状态进行单选过滤；输入内容或切换状态时列表即时响应重绘，并提供重置清空操作。</w:t>
      </w:r>
    </w:p>
    <w:p>
      <w:pPr>
        <w:spacing w:before="80" w:after="40" w:line="276" w:lineRule="auto"/>
      </w:pPr>
      <w:r>
        <w:rPr>
          <w:rFonts w:eastAsia="宋体-简" w:ascii="宋体-简" w:hAnsi="宋体-简" w:cs="宋体-简"/>
          <w:b/>
          <w:color w:val="000000"/>
          <w:sz w:val="24"/>
        </w:rPr>
        <w:t>3、字段校验规则</w:t>
      </w:r>
    </w:p>
    <w:p>
      <w:pPr>
        <w:spacing w:before="0" w:after="80" w:line="276" w:lineRule="auto"/>
      </w:pPr>
      <w:r>
        <w:rPr>
          <w:rFonts w:eastAsia="宋体-简" w:ascii="宋体-简" w:hAnsi="宋体-简" w:cs="宋体-简"/>
          <w:b w:val="0"/>
          <w:color w:val="000000"/>
          <w:sz w:val="23"/>
        </w:rPr>
        <w:t>方案编码必填且全局唯一，不可包含特殊字符，新增后锁定只读不可修改；方案名称必填且系统内不可重名；统一授权天数必填，必须为大于 0 的正整数（用于后续申请时统一锁定全方案各产品线的授权周期）；关联产品线必选，至少勾选一条产品线；若配置了业务申请信息字段，字段名称不可为空；已产生历史测试授权单据的方案禁止物理删除，仅允许变更为停用状态。</w:t>
      </w:r>
    </w:p>
    <w:p>
      <w:pPr>
        <w:spacing w:before="80" w:after="40" w:line="276" w:lineRule="auto"/>
      </w:pPr>
      <w:r>
        <w:rPr>
          <w:rFonts w:eastAsia="宋体-简" w:ascii="宋体-简" w:hAnsi="宋体-简" w:cs="宋体-简"/>
          <w:b/>
          <w:color w:val="000000"/>
          <w:sz w:val="24"/>
        </w:rPr>
        <w:t>4、提交逻辑处理</w:t>
      </w:r>
    </w:p>
    <w:p>
      <w:pPr>
        <w:spacing w:before="0" w:after="80" w:line="276" w:lineRule="auto"/>
      </w:pPr>
      <w:r>
        <w:rPr>
          <w:rFonts w:eastAsia="宋体-简" w:ascii="宋体-简" w:hAnsi="宋体-简" w:cs="宋体-简"/>
          <w:b w:val="0"/>
          <w:color w:val="000000"/>
          <w:sz w:val="23"/>
        </w:rPr>
        <w:t>方案新增、编辑或启停状态变更后即时持久化生效，自动记录管理员操作审计日志（操作人、时间、变更内容）；状态变动实时生效于测试授权申请端下拉选项及新资产系统同步接口；历史已审批完成的授权单据按申请时的历史快照生效，不受后续方案配置调整的影响。</w:t>
      </w:r>
    </w:p>
    <w:p>
      <w:pPr>
        <w:spacing w:before="80" w:after="40" w:line="276" w:lineRule="auto"/>
      </w:pPr>
      <w:r>
        <w:rPr>
          <w:rFonts w:eastAsia="宋体-简" w:ascii="宋体-简" w:hAnsi="宋体-简" w:cs="宋体-简"/>
          <w:b/>
          <w:color w:val="000000"/>
          <w:sz w:val="24"/>
        </w:rPr>
        <w:t>5、验收标准</w:t>
      </w:r>
    </w:p>
    <w:p>
      <w:pPr>
        <w:spacing w:before="0" w:after="80" w:line="276" w:lineRule="auto"/>
      </w:pPr>
      <w:r>
        <w:rPr>
          <w:rFonts w:eastAsia="宋体-简" w:ascii="宋体-简" w:hAnsi="宋体-简" w:cs="宋体-简"/>
          <w:b w:val="0"/>
          <w:color w:val="000000"/>
          <w:sz w:val="23"/>
        </w:rPr>
        <w:t>方案列表展示准确，支持多维度检索与启停流转，筛选与重置即时生效；方案编码与名称防重校验拦截生效；授权天数非正整数、产品线未勾选等异常前置阻断；业务申请信息字段引擎支持自由增删改查及选项配置；停用方案在申请端和资产系统中即时不可选；配置变更后不影响历史单据数据完整性。</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1972"/>
        <w:gridCol w:w="1972"/>
        <w:gridCol w:w="1972"/>
        <w:gridCol w:w="1972"/>
        <w:gridCol w:w="1972"/>
      </w:tblGrid>
      <w:tr>
        <w:tc>
          <w:tcPr>
            <w:tcW w:type="dxa" w:w="1728"/>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字段</w:t>
            </w:r>
          </w:p>
        </w:tc>
        <w:tc>
          <w:tcPr>
            <w:tcW w:type="dxa" w:w="2015"/>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数据来源</w:t>
            </w:r>
          </w:p>
        </w:tc>
        <w:tc>
          <w:tcPr>
            <w:tcW w:type="dxa" w:w="1584"/>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可编辑</w:t>
            </w:r>
          </w:p>
        </w:tc>
        <w:tc>
          <w:tcPr>
            <w:tcW w:type="dxa" w:w="1152"/>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必填</w:t>
            </w:r>
          </w:p>
        </w:tc>
        <w:tc>
          <w:tcPr>
            <w:tcW w:type="dxa" w:w="3888"/>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说明</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方案编码</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管理员新增录入</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新增时可填，编辑时只读</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系统全局唯一标识，如 SOL-CLOUD-001</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方案名称</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管理员录入</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解决方案全称，如企业云一体化方案</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关联产品线</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勾选产品目录</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至少选择一个产品线，支持设备线与 XaaS 线混排</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业务申请信息</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配置中心自由配置</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按方案需要</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选择预置业务模板或自定义动态字段（字段名、类型、多选项、必填项自由配置）</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授权时间</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管理员录入天数</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正整数天数，如 30、60、90，用于申请时计算统一到期日</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状态</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系统维护</w:t>
            </w:r>
          </w:p>
        </w:tc>
        <w:tc>
          <w:tcPr>
            <w:tcW w:type="dxa" w:w="158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操作列点击切换</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88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启用 (enabled) / 停用 (disabled)</w:t>
            </w:r>
          </w:p>
        </w:tc>
      </w:tr>
    </w:tbl>
    <w:p>
      <w:pPr>
        <w:spacing w:before="0" w:after="80"/>
      </w:pPr>
    </w:p>
    <w:p>
      <w:pPr>
        <w:spacing w:before="80" w:after="120"/>
      </w:pPr>
      <w:r>
        <w:rPr>
          <w:rFonts w:eastAsia="宋体-简" w:ascii="宋体-简" w:hAnsi="宋体-简" w:cs="宋体-简"/>
          <w:b w:val="0"/>
          <w:color w:val="595959"/>
          <w:sz w:val="20"/>
        </w:rPr>
        <w:t>图 1  解决方案配置管理与业务字段引擎原型参考</w:t>
      </w:r>
    </w:p>
    <w:p>
      <w:pPr>
        <w:pStyle w:val="00001e"/>
        <w:spacing w:after="40" w:before="200" w:line="276" w:lineRule="auto"/>
        <w:jc w:val="left"/>
      </w:pPr>
      <w:r>
        <w:rPr>
          <w:rFonts w:eastAsia="宋体-简" w:ascii="宋体-简" w:hAnsi="宋体-简" w:cs="宋体-简"/>
          <w:b w:val="0"/>
          <w:color w:val="000000"/>
          <w:sz w:val="26"/>
        </w:rPr>
        <w:t>4.2 解决方案授权申请</w:t>
      </w:r>
    </w:p>
    <w:p>
      <w:pPr>
        <w:pStyle w:val="000020"/>
        <w:spacing w:after="40" w:before="200" w:line="276" w:lineRule="auto"/>
        <w:jc w:val="left"/>
      </w:pPr>
      <w:r>
        <w:rPr>
          <w:rFonts w:eastAsia="宋体-简" w:ascii="宋体-简" w:hAnsi="宋体-简" w:cs="宋体-简"/>
          <w:b w:val="0"/>
          <w:color w:val="000000"/>
          <w:sz w:val="23"/>
        </w:rPr>
        <w:t>4.2.1 申请入口与借测单关联</w:t>
      </w:r>
    </w:p>
    <w:p>
      <w:pPr>
        <w:spacing w:before="80" w:after="40" w:line="276" w:lineRule="auto"/>
      </w:pPr>
      <w:r>
        <w:rPr>
          <w:rFonts w:eastAsia="宋体-简" w:ascii="宋体-简" w:hAnsi="宋体-简" w:cs="宋体-简"/>
          <w:b/>
          <w:color w:val="000000"/>
          <w:sz w:val="24"/>
        </w:rPr>
        <w:t>1、初始状态</w:t>
      </w:r>
    </w:p>
    <w:p>
      <w:pPr>
        <w:spacing w:before="0" w:after="80" w:line="276" w:lineRule="auto"/>
      </w:pPr>
      <w:r>
        <w:rPr>
          <w:rFonts w:eastAsia="宋体-简" w:ascii="宋体-简" w:hAnsi="宋体-简" w:cs="宋体-简"/>
          <w:b w:val="0"/>
          <w:color w:val="000000"/>
          <w:sz w:val="23"/>
        </w:rPr>
        <w:t>申请人进入测试授权申请页面，系统提供「关联借测单」与「纯软件本地申请」两种申请模式。初始状态下，系统默认处于「关联借测单」模式，页面处于待选定客户与待选择借测单状态，方案范围及各产品线参数暂不加载；若本次为纯软件方案试用或无需借用实体硬件设备，申请人可主动切换为「纯软件本地申请」模式。</w:t>
      </w:r>
    </w:p>
    <w:p>
      <w:pPr>
        <w:spacing w:before="80" w:after="40" w:line="276" w:lineRule="auto"/>
      </w:pPr>
      <w:r>
        <w:rPr>
          <w:rFonts w:eastAsia="宋体-简" w:ascii="宋体-简" w:hAnsi="宋体-简" w:cs="宋体-简"/>
          <w:b/>
          <w:color w:val="000000"/>
          <w:sz w:val="24"/>
        </w:rPr>
        <w:t>2、交互逻辑说明</w:t>
      </w:r>
    </w:p>
    <w:p>
      <w:pPr>
        <w:spacing w:before="0" w:after="80" w:line="276" w:lineRule="auto"/>
      </w:pPr>
      <w:r>
        <w:rPr>
          <w:rFonts w:eastAsia="宋体-简" w:ascii="宋体-简" w:hAnsi="宋体-简" w:cs="宋体-简"/>
          <w:b w:val="0"/>
          <w:color w:val="000000"/>
          <w:sz w:val="23"/>
        </w:rPr>
        <w:t>（1）客户基础信息带入：申请人搜索并选定客户，系统自动从 CRM/主数据带出客户名称、销售负责人、客户类型（KA/普通）、客户一级与二级行业分类，并在客户概要中即时展示客户全局云图身份状态；</w:t>
        <w:br/>
        <w:t>（2）行业二级联动选择（1:1 完整移植 XaaS）：在客户信息区域配置「行业」级联选择组件（两级均必填），带「ⓘ」备注悬浮气泡（用户故事：选择客户所属行业分类，用于客户分层管理和行业化运营分析；交互规则：一级行业选择后，二级行业根据一级分类联动展示，提交时两级均必填）。一级行业字典包含：政府、金融、教育、医疗、互联网、制造业、能源、交通、运营商；二级行业由一级联动展示（如：政府联动中央部委/省市级政府/区县级政府/公检法等），选定客户时自动带入客户所属行业，申请人亦可自由调整联动选择；</w:t>
        <w:br/>
        <w:t>（3）借测单客户级联筛选与准入强校验：在关联借测单模式下，申请人在客户搜索框中输入关键字实现模糊检索匹配，选中客户后，系统自动级联过滤借测单下拉列表，仅展示该客户名下的借测单并标注单号与借测状态（如审批通过、审批中等）；未选择客户前借测单下拉处于禁用态；点击清空客户后借测单自动禁用并清空选择；系统执行借测单准入强校验：仅“审批通过且未归还、未撤销”且未被占用的借测单允许准入，带出借测关键信息并自动锁定方案范围；若借测单处于未审批、已归还、已撤销或已占用状态，系统弹出明确阻断提示卡片，严禁进入后续环节；</w:t>
        <w:br/>
        <w:t>（4）方案范围固化锁定：方案包含的产品线清单及统一授权天数（authDays）严格只读锁定，杜绝申请人手工增删或替换产品线；系统依据 authDays 自动联动计算统一授权到期日（申请日 + authDays），并强制分发至方案下所有产品线，保持全方案授权周期严格一致。纯软件申请模式同样选择启用方案并锁定方案范围与到期日；</w:t>
        <w:br/>
        <w:t>（5）客户联系人手机号与云图自动匹配联动（重点规范）：在基础信息区域新增客户联系人手机号字段（#solutionContactPhone），与接收邮箱并列布局。深信服云图账号以手机号为核心匹配依据：申请人选定 CRM 客户时自动带入客户联系人手机号；清空客户时自动重置；若需修改或手动录入，系统实时监听输入：当输入合法 11 位手机号（满足中国大陆手机正则 ^1\d{10}$）时，自动触发云图租户匹配服务并即时更新客户概要中的全局云图身份 Badge（展示绿色云图 ID 或未匹配告警）；当方案涉及开通任一 XaaS 产品线（SASE-GA、SASE-SWG、SASE-ZTNA、SaaS-XDR 等）时，联系人手机号自动标注红色星号必填，未填或非 11 位合法手机号强阻断整单提交；若未涉及 XaaS 产品线，手机号为选填项，未填不阻断提交。</w:t>
      </w:r>
    </w:p>
    <w:p>
      <w:pPr>
        <w:spacing w:before="80" w:after="40" w:line="276" w:lineRule="auto"/>
      </w:pPr>
      <w:r>
        <w:rPr>
          <w:rFonts w:eastAsia="宋体-简" w:ascii="宋体-简" w:hAnsi="宋体-简" w:cs="宋体-简"/>
          <w:b/>
          <w:color w:val="000000"/>
          <w:sz w:val="24"/>
        </w:rPr>
        <w:t>3、字段校验规则</w:t>
      </w:r>
    </w:p>
    <w:p>
      <w:pPr>
        <w:spacing w:before="0" w:after="80" w:line="276" w:lineRule="auto"/>
      </w:pPr>
      <w:r>
        <w:rPr>
          <w:rFonts w:eastAsia="宋体-简" w:ascii="宋体-简" w:hAnsi="宋体-简" w:cs="宋体-简"/>
          <w:b w:val="0"/>
          <w:color w:val="000000"/>
          <w:sz w:val="23"/>
        </w:rPr>
        <w:t>授权类型必选；关联借测单模式下客户与合法借测单必选；纯软件模式下方案与客户必选；行业一级与二级必须全部选定且符合联动关系；仅“审批通过且未归还、未撤销”借测单可通过准入校验；方案产品组合只读不可篡改；统一授权到期时间不可为空；客户联系人手机号校验：方案涉及 XaaS 开通时，手机号为强阻断必填项且必须符合 11 位合法手机号规则；纯设备本地方案选填，填入时必须符合 11 位手机号格式。</w:t>
      </w:r>
    </w:p>
    <w:p>
      <w:pPr>
        <w:spacing w:before="80" w:after="40" w:line="276" w:lineRule="auto"/>
      </w:pPr>
      <w:r>
        <w:rPr>
          <w:rFonts w:eastAsia="宋体-简" w:ascii="宋体-简" w:hAnsi="宋体-简" w:cs="宋体-简"/>
          <w:b/>
          <w:color w:val="000000"/>
          <w:sz w:val="24"/>
        </w:rPr>
        <w:t>4、提交逻辑处理</w:t>
      </w:r>
    </w:p>
    <w:p>
      <w:pPr>
        <w:spacing w:before="0" w:after="80" w:line="276" w:lineRule="auto"/>
      </w:pPr>
      <w:r>
        <w:rPr>
          <w:rFonts w:eastAsia="宋体-简" w:ascii="宋体-简" w:hAnsi="宋体-简" w:cs="宋体-简"/>
          <w:b w:val="0"/>
          <w:color w:val="000000"/>
          <w:sz w:val="23"/>
        </w:rPr>
        <w:t>将申请来源标识（borrow / local）、客户基础信息快照、一级与二级行业分类（组合为'一级 / 二级'）、借测单全量元数据快照、锁定的方案编码、名称、产品线列表及统一到期日深拷贝存入单据模型中，随单提交。</w:t>
      </w:r>
    </w:p>
    <w:p>
      <w:pPr>
        <w:spacing w:before="80" w:after="40" w:line="276" w:lineRule="auto"/>
      </w:pPr>
      <w:r>
        <w:rPr>
          <w:rFonts w:eastAsia="宋体-简" w:ascii="宋体-简" w:hAnsi="宋体-简" w:cs="宋体-简"/>
          <w:b/>
          <w:color w:val="000000"/>
          <w:sz w:val="24"/>
        </w:rPr>
        <w:t>5、验收标准</w:t>
      </w:r>
    </w:p>
    <w:p>
      <w:pPr>
        <w:spacing w:before="0" w:after="80" w:line="276" w:lineRule="auto"/>
      </w:pPr>
      <w:r>
        <w:rPr>
          <w:rFonts w:eastAsia="宋体-简" w:ascii="宋体-简" w:hAnsi="宋体-简" w:cs="宋体-简"/>
          <w:b w:val="0"/>
          <w:color w:val="000000"/>
          <w:sz w:val="23"/>
        </w:rPr>
        <w:t>两类入口切换顺畅且数据互斥隔离；行业二级联动及 Tooltip 备注与 XaaS 保持 1:1 一致，一级改变自动重置刷新二级，两级未选全均能精确阻断；未审批、已归还、已撤销借测单 100% 阻断拦截；合法借测单回填准确；方案范围与产品清单严格只读锁定；统一授权到期日准确联动至所有产品线。</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1972"/>
        <w:gridCol w:w="1972"/>
        <w:gridCol w:w="1972"/>
        <w:gridCol w:w="1972"/>
        <w:gridCol w:w="1972"/>
      </w:tblGrid>
      <w:tr>
        <w:tc>
          <w:tcPr>
            <w:tcW w:type="dxa" w:w="1728"/>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字段</w:t>
            </w:r>
          </w:p>
        </w:tc>
        <w:tc>
          <w:tcPr>
            <w:tcW w:type="dxa" w:w="2015"/>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数据来源</w:t>
            </w:r>
          </w:p>
        </w:tc>
        <w:tc>
          <w:tcPr>
            <w:tcW w:type="dxa" w:w="1440"/>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可编辑</w:t>
            </w:r>
          </w:p>
        </w:tc>
        <w:tc>
          <w:tcPr>
            <w:tcW w:type="dxa" w:w="1728"/>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必填</w:t>
            </w:r>
          </w:p>
        </w:tc>
        <w:tc>
          <w:tcPr>
            <w:tcW w:type="dxa" w:w="3456"/>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说明</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授权类型</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下拉选项</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关联借测单 (borrow) / 纯软件本地申请 (local)</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行业（一级+二级）</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级联下拉选择</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两级均必填</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对齐 XaaS 二级联动字典与备注 Tooltip，支持 CRM 带入与手动微调</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主数据客户名录</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输入名称/编码下拉点选，展示 KA/普通徽章与全局云图账号</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客户联系人手机号</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CRM自动带入 / 申请人输入</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涉及 XaaS 必填；纯设备选填</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输入 11 位手机号自动匹配云图账号与租户ID；涉及 XaaS 开通时为强阻断必填项，未填或非11位强阻断提交</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借测单号</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新资产系统</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关联借测单必选</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选定客户后级联激活，仅展示该客户借测单并标注状态</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解决方案</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W3 启用方案库</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纯软件申请必选</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格式如 SOL-ACCEL-006 | 全球加速方案-SaaS版</w:t>
            </w:r>
          </w:p>
        </w:tc>
      </w:tr>
      <w:tr>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接收邮箱</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用户手动输入</w:t>
            </w:r>
          </w:p>
        </w:tc>
        <w:tc>
          <w:tcPr>
            <w:tcW w:type="dxa" w:w="144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172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否</w:t>
            </w:r>
          </w:p>
        </w:tc>
        <w:tc>
          <w:tcPr>
            <w:tcW w:type="dxa" w:w="3456"/>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建议优先填客户邮箱，用于接收授权结果通知</w:t>
            </w:r>
          </w:p>
        </w:tc>
      </w:tr>
    </w:tbl>
    <w:p>
      <w:pPr>
        <w:spacing w:before="0" w:after="80"/>
      </w:pPr>
    </w:p>
    <w:p>
      <w:pPr>
        <w:spacing w:before="80" w:after="120"/>
      </w:pPr>
      <w:r>
        <w:rPr>
          <w:rFonts w:eastAsia="宋体-简" w:ascii="宋体-简" w:hAnsi="宋体-简" w:cs="宋体-简"/>
          <w:b w:val="0"/>
          <w:color w:val="595959"/>
          <w:sz w:val="20"/>
        </w:rPr>
        <w:t>图 2  关联借测单、所属行业与准入状态校验原型参考</w:t>
      </w:r>
    </w:p>
    <w:p>
      <w:pPr>
        <w:pStyle w:val="000020"/>
        <w:spacing w:after="40" w:before="200" w:line="276" w:lineRule="auto"/>
        <w:jc w:val="left"/>
      </w:pPr>
      <w:r>
        <w:rPr>
          <w:rFonts w:eastAsia="宋体-简" w:ascii="宋体-简" w:hAnsi="宋体-简" w:cs="宋体-简"/>
          <w:b w:val="0"/>
          <w:color w:val="000000"/>
          <w:sz w:val="23"/>
        </w:rPr>
        <w:t>4.2.2 业务信息与产品线参数配置（重点规范 XaaS 与云图 ID 校验）</w:t>
      </w:r>
    </w:p>
    <w:p>
      <w:pPr>
        <w:spacing w:before="80" w:after="40" w:line="276" w:lineRule="auto"/>
      </w:pPr>
      <w:r>
        <w:rPr>
          <w:rFonts w:eastAsia="宋体-简" w:ascii="宋体-简" w:hAnsi="宋体-简" w:cs="宋体-简"/>
          <w:b/>
          <w:color w:val="000000"/>
          <w:sz w:val="24"/>
        </w:rPr>
        <w:t>1、初始状态</w:t>
      </w:r>
    </w:p>
    <w:p>
      <w:pPr>
        <w:spacing w:before="0" w:after="80" w:line="276" w:lineRule="auto"/>
      </w:pPr>
      <w:r>
        <w:rPr>
          <w:rFonts w:eastAsia="宋体-简" w:ascii="宋体-简" w:hAnsi="宋体-简" w:cs="宋体-简"/>
          <w:b w:val="0"/>
          <w:color w:val="000000"/>
          <w:sz w:val="23"/>
        </w:rPr>
        <w:t>方案范围锁定后，系统根据方案配置中心维护的业务申请信息字段定义以及《安全方案测试申请规则.xlsx》，初始化「业务申请信息」与「多产品线参数工作台」两部分填报区域。业务信息部分根据方案绑定的字段模型动态呈现专属调研字段（初始处于待填报状态）；产品线工作台初始化该方案下所有产品线的参数填报面板，核心必选产品线默认处于待填报状态，按需/可选产品线默认处于未激活状态。针对 XaaS 云服务产品线（SASE-GA、SASE-SWG、SASE-ZTNA、SaaS-XDR、MSS 等），系统自动隐藏硬件设备字段，并根据已选客户检测并回显全局「云图 ID（tenantId）」；若客户尚未在云图中台开户，系统处于全局未入驻强阻断状态。</w:t>
      </w:r>
    </w:p>
    <w:p>
      <w:pPr>
        <w:spacing w:before="80" w:after="40" w:line="276" w:lineRule="auto"/>
      </w:pPr>
      <w:r>
        <w:rPr>
          <w:rFonts w:eastAsia="宋体-简" w:ascii="宋体-简" w:hAnsi="宋体-简" w:cs="宋体-简"/>
          <w:b/>
          <w:color w:val="000000"/>
          <w:sz w:val="24"/>
        </w:rPr>
        <w:t>2、交互逻辑说明</w:t>
      </w:r>
    </w:p>
    <w:p>
      <w:pPr>
        <w:spacing w:before="0" w:after="80" w:line="276" w:lineRule="auto"/>
      </w:pPr>
      <w:r>
        <w:rPr>
          <w:rFonts w:eastAsia="宋体-简" w:ascii="宋体-简" w:hAnsi="宋体-简" w:cs="宋体-简"/>
          <w:b w:val="0"/>
          <w:color w:val="000000"/>
          <w:sz w:val="23"/>
        </w:rPr>
        <w:t>（1）业务申请信息自由配置引擎渲染：业务申请信息彻底解耦底层技术代码，根据方案配置中心维护的字段模型（支持单行/多行文本、单选下拉、多选复选框、附件上传、数字）自适应渲染；业务规则以《安全方案测试申请规则.xlsx》为基准动态驱动，推广新方案或微调调研字段完全免开发发版；</w:t>
        <w:br/>
        <w:t>（2）成对协同组件“至少选一个”互斥守底交互（重点规范）：针对具有成对协同属性的组件（如安全托管服务方案中的 STA 与 AF，或 AF 与 aES 等），系统在多产品线导航及开关层面提供互斥守底保障：允许两个组件同时开启；若用户点击关闭其中一个组件，系统检测到另一个组件若处于关闭状态，将自动触发另一个组件保持开启或自动将其开启，严禁两者同时处于关闭状态，防止因关键依赖组件全部关闭导致方案无法交付或服务失效；</w:t>
        <w:br/>
        <w:t>（3）硬件设备产品线参数填报：继承借测单回填的设备 ID 与设备 SN，申请人选定软件版本，并可按需开启或选配功能模块卡片（如 AC/AF 的安全订阅、HCI 的算力存储规格）；</w:t>
        <w:br/>
        <w:t>（5）借测单设备 ID 继承防篡改锁定与多设备追加规格（重点规范）：针对硬件设备产品线，若关联借测单已分配实物设备（即借测单 devices 中存在该产品线的设备 ID），系统自动回填设备 ID 且强制锁定为只读状态（输入框置灰，标注带锁图标与“来自借测单，已锁定不可修改”提示卡），防止申请人篡改借测设备；同时，在设备 ID 输入框右侧提供“+ 添加设备”按钮，允许申请人追加额外的测试设备 ID（每个追加项均支持独立输入与行级删除）；若为纯软件本地模式或借测单未绑定该产品设备，主设备 ID 保持可编辑，且同样支持“+ 添加设备”动态追加；提交时严格校验主设备 ID 及所有非空追加设备，空白追加项自动阻断提示；</w:t>
        <w:br/>
        <w:t>（4）客户全局云图身份与 XaaS 强校验规范（重点规范）：</w:t>
        <w:br/>
        <w:t xml:space="preserve">  - 全局身份定位于客户主体：云图 ID（tenantId）作为客户顶层全局租户身份，而非某个子产品的局部参数；选定客户后，系统在客户基本信息卡片中即时回显全局云图身份标签（如“云图ID: [tenantId]”或红色高亮“未关联云图账号”）；</w:t>
        <w:br/>
        <w:t xml:space="preserve">  - 包含 XaaS 全单坚决强阻断：方案若包含任一 XaaS 产品线，已选客户必须具备合法有效的云图 ID；若客户尚未在云图中台开户或缺失云图 ID，系统强行阻断整单提交，并明确提示引导先在云图中台完成客户租户建档入驻；</w:t>
        <w:br/>
        <w:t xml:space="preserve">  - 彻底屏蔽伪硬件信息：XaaS 产品界面 100% 隐藏“设备 ID”与“设备 SN”输入项，授权记录中设备 ID 统一映射为“云图ID: [tenantId]”，设备 SN 展示为破折号“—”；</w:t>
        <w:br/>
        <w:t xml:space="preserve">  - XaaS 专属规格录入：SASE-GA 带宽档位（5M/10M/15M/20M/30M/50M）、SASE-ZTNA 授权并发用户数（正整数）、SaaS-XDR/MSS 接入日志量与客户信息收集表等。</w:t>
      </w:r>
    </w:p>
    <w:p>
      <w:pPr>
        <w:spacing w:before="80" w:after="40" w:line="276" w:lineRule="auto"/>
      </w:pPr>
      <w:r>
        <w:rPr>
          <w:rFonts w:eastAsia="宋体-简" w:ascii="宋体-简" w:hAnsi="宋体-简" w:cs="宋体-简"/>
          <w:b/>
          <w:color w:val="000000"/>
          <w:sz w:val="24"/>
        </w:rPr>
        <w:t>3、字段校验规则</w:t>
      </w:r>
    </w:p>
    <w:p>
      <w:pPr>
        <w:spacing w:before="0" w:after="80" w:line="276" w:lineRule="auto"/>
      </w:pPr>
      <w:r>
        <w:rPr>
          <w:rFonts w:eastAsia="宋体-简" w:ascii="宋体-简" w:hAnsi="宋体-简" w:cs="宋体-简"/>
          <w:b w:val="0"/>
          <w:color w:val="000000"/>
          <w:sz w:val="23"/>
        </w:rPr>
        <w:t>云图 ID 客户全局身份强校验（核心阻断项）：方案若包含任一 XaaS 产品线，已选客户必须拥有有效合法的云图 ID（tenantId）。无云图身份或云图状态异常时，全单坚决阻断提交，拦截率 100%；成对协同组件守底校验：成对协同组件严禁同时关闭；借测设备防篡改与追加设备校验：来自借测单的设备 ID 严格只读锁定不可修改；追加的额外设备 ID 不能为空字符串，存在空白追加行时阻断提交并引导删除或填写；业务信息校验：严格对齐字段配置模型与《安全方案测试申请规则.xlsx》中标记为必填的调研字段，未补全阻断提交；硬件产品参数校验：版本必填，借测设备 ID/SN 必须有效，已启用模块参数符合合法范围；XaaS 规格参数校验：SASE-GA 带宽必选；SASE-ZTNA 用户数必须为大于等于 1 的正整数；SaaS-XDR/MSS 日志量与信息收集表必填。</w:t>
      </w:r>
    </w:p>
    <w:p>
      <w:pPr>
        <w:spacing w:before="80" w:after="40" w:line="276" w:lineRule="auto"/>
      </w:pPr>
      <w:r>
        <w:rPr>
          <w:rFonts w:eastAsia="宋体-简" w:ascii="宋体-简" w:hAnsi="宋体-简" w:cs="宋体-简"/>
          <w:b/>
          <w:color w:val="000000"/>
          <w:sz w:val="24"/>
        </w:rPr>
        <w:t>4、提交逻辑处理</w:t>
      </w:r>
    </w:p>
    <w:p>
      <w:pPr>
        <w:spacing w:before="0" w:after="80" w:line="276" w:lineRule="auto"/>
      </w:pPr>
      <w:r>
        <w:rPr>
          <w:rFonts w:eastAsia="宋体-简" w:ascii="宋体-简" w:hAnsi="宋体-简" w:cs="宋体-简"/>
          <w:b w:val="0"/>
          <w:color w:val="000000"/>
          <w:sz w:val="23"/>
        </w:rPr>
        <w:t>组装包含业务信息快照与各激活产品线参数快照的数据包。针对 XaaS 产品线，提交数据中的 deviceId 统一固化为“云图ID: [tenantId]”，deviceSn 统一写入破折号“—”；未激活的按需产品线彻底从提交快照中剔除，不生成下游授权任务。</w:t>
      </w:r>
    </w:p>
    <w:p>
      <w:pPr>
        <w:spacing w:before="80" w:after="40" w:line="276" w:lineRule="auto"/>
      </w:pPr>
      <w:r>
        <w:rPr>
          <w:rFonts w:eastAsia="宋体-简" w:ascii="宋体-简" w:hAnsi="宋体-简" w:cs="宋体-简"/>
          <w:b/>
          <w:color w:val="000000"/>
          <w:sz w:val="24"/>
        </w:rPr>
        <w:t>5、验收标准</w:t>
      </w:r>
    </w:p>
    <w:p>
      <w:pPr>
        <w:spacing w:before="0" w:after="80" w:line="276" w:lineRule="auto"/>
      </w:pPr>
      <w:r>
        <w:rPr>
          <w:rFonts w:eastAsia="宋体-简" w:ascii="宋体-简" w:hAnsi="宋体-简" w:cs="宋体-简"/>
          <w:b w:val="0"/>
          <w:color w:val="000000"/>
          <w:sz w:val="23"/>
        </w:rPr>
        <w:t>业务信息准确按自由配置字段模型动态展开；硬件产品线与 XaaS 产品线字段清晰隔离，XaaS 界面 100% 隐藏设备 ID 与 SN；借测单设备 ID 准确继承且只读锁定生效，带锁提示卡清晰可见；点击“+ 添加设备”能动态增删额外设备 ID 输入行，空白追加设备前置阻断拦截生效；客户全局云图身份标签展示准确；联系人手机号精准匹配云图租户并在 XaaS 场景强阻断生效；无云图账号客户申请包含 XaaS 的方案时，前置告警与提交拦截 100% 触发；成对协同组件“至少选一个”互斥守底联动生效；具备有效云图 ID 的客户能顺畅填写规格参数并通过校验；按需产品线开关开启/关闭逻辑与数据过滤完全正确。</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1972"/>
        <w:gridCol w:w="1972"/>
        <w:gridCol w:w="1972"/>
        <w:gridCol w:w="1972"/>
        <w:gridCol w:w="1972"/>
      </w:tblGrid>
      <w:tr>
        <w:tc>
          <w:tcPr>
            <w:tcW w:type="dxa" w:w="2160"/>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字段/对象</w:t>
            </w:r>
          </w:p>
        </w:tc>
        <w:tc>
          <w:tcPr>
            <w:tcW w:type="dxa" w:w="2160"/>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适用产品</w:t>
            </w:r>
          </w:p>
        </w:tc>
        <w:tc>
          <w:tcPr>
            <w:tcW w:type="dxa" w:w="2160"/>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数据来源</w:t>
            </w:r>
          </w:p>
        </w:tc>
        <w:tc>
          <w:tcPr>
            <w:tcW w:type="dxa" w:w="1152"/>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必填</w:t>
            </w:r>
          </w:p>
        </w:tc>
        <w:tc>
          <w:tcPr>
            <w:tcW w:type="dxa" w:w="3024"/>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说明</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借测设备ID / 追加设备</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硬件设备产品线</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借测单自动继承带入 / 申请人追加</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借测单自带设备 ID 强制锁定只读防篡改，展示带锁提示；提供‘+ 添加设备’按钮允许追加额外设备并支持删除</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云图ID (tenantId)</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所有 XaaS 产品线 (SASE/XDR/MSS等)</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云图中台客户全局租户身份绑定</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 (核心阻断项)</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客户全局顶级身份与 XaaS 授权唯一核心标识；客户无云图账号或无云图ID时系统强行阻断提交并引导建档入驻</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带宽档位</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SASE-GA</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下拉选项</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档位可选 5M / 10M / 15M / 20M / 30M / 50M，满足各加速测试场景</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授权用户数</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SASE-ZTNA / aTrust</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数字输入框</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并发接入用户数，必须为正整数（如 50、100）</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日志量 / 收集表</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SaaS-XDR / MSS</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文本输入 / Excel文件上传</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单位为万条/天，客户现场信息收集表必传 (.xlsx/.xls)</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是否 PK / 友商名</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SaaS-XDR / XDR</w:t>
            </w:r>
          </w:p>
        </w:tc>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下拉选项 / 文本输入</w:t>
            </w:r>
          </w:p>
        </w:tc>
        <w:tc>
          <w:tcPr>
            <w:tcW w:type="dxa" w:w="115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是</w:t>
            </w:r>
          </w:p>
        </w:tc>
        <w:tc>
          <w:tcPr>
            <w:tcW w:type="dxa" w:w="302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选择存在竞对 PK 时动态展开友商名称录入框，必填</w:t>
            </w:r>
          </w:p>
        </w:tc>
      </w:tr>
    </w:tbl>
    <w:p>
      <w:pPr>
        <w:spacing w:before="0" w:after="80"/>
      </w:pPr>
    </w:p>
    <w:p>
      <w:pPr>
        <w:spacing w:before="80" w:after="120"/>
      </w:pPr>
      <w:r>
        <w:rPr>
          <w:rFonts w:eastAsia="宋体-简" w:ascii="宋体-简" w:hAnsi="宋体-简" w:cs="宋体-简"/>
          <w:b w:val="0"/>
          <w:color w:val="595959"/>
          <w:sz w:val="20"/>
        </w:rPr>
        <w:t>图 3  多产品线工作台、成对守底与 XaaS 全局云图身份校验原型参考</w:t>
      </w:r>
    </w:p>
    <w:p>
      <w:pPr>
        <w:pStyle w:val="000020"/>
        <w:spacing w:after="40" w:before="200" w:line="276" w:lineRule="auto"/>
        <w:jc w:val="left"/>
      </w:pPr>
      <w:r>
        <w:rPr>
          <w:rFonts w:eastAsia="宋体-简" w:ascii="宋体-简" w:hAnsi="宋体-简" w:cs="宋体-简"/>
          <w:b w:val="0"/>
          <w:color w:val="000000"/>
          <w:sz w:val="23"/>
        </w:rPr>
        <w:t>4.2.3 解决方案整单审批与原子交付回滚</w:t>
      </w:r>
    </w:p>
    <w:p>
      <w:pPr>
        <w:spacing w:before="80" w:after="40" w:line="276" w:lineRule="auto"/>
      </w:pPr>
      <w:r>
        <w:rPr>
          <w:rFonts w:eastAsia="宋体-简" w:ascii="宋体-简" w:hAnsi="宋体-简" w:cs="宋体-简"/>
          <w:b/>
          <w:color w:val="000000"/>
          <w:sz w:val="24"/>
        </w:rPr>
        <w:t>1、初始状态</w:t>
      </w:r>
    </w:p>
    <w:p>
      <w:pPr>
        <w:spacing w:before="0" w:after="80" w:line="276" w:lineRule="auto"/>
      </w:pPr>
      <w:r>
        <w:rPr>
          <w:rFonts w:eastAsia="宋体-简" w:ascii="宋体-简" w:hAnsi="宋体-简" w:cs="宋体-简"/>
          <w:b w:val="0"/>
          <w:color w:val="000000"/>
          <w:sz w:val="23"/>
        </w:rPr>
        <w:t>申请单在所有已激活产品线参数校验通过前处于编辑草稿状态，审批流程未发起。系统处于整单校验前置监听状态。</w:t>
      </w:r>
    </w:p>
    <w:p>
      <w:pPr>
        <w:spacing w:before="80" w:after="40" w:line="276" w:lineRule="auto"/>
      </w:pPr>
      <w:r>
        <w:rPr>
          <w:rFonts w:eastAsia="宋体-简" w:ascii="宋体-简" w:hAnsi="宋体-简" w:cs="宋体-简"/>
          <w:b/>
          <w:color w:val="000000"/>
          <w:sz w:val="24"/>
        </w:rPr>
        <w:t>2、交互逻辑说明</w:t>
      </w:r>
    </w:p>
    <w:p>
      <w:pPr>
        <w:spacing w:before="0" w:after="80" w:line="276" w:lineRule="auto"/>
      </w:pPr>
      <w:r>
        <w:rPr>
          <w:rFonts w:eastAsia="宋体-简" w:ascii="宋体-简" w:hAnsi="宋体-简" w:cs="宋体-简"/>
          <w:b w:val="0"/>
          <w:color w:val="000000"/>
          <w:sz w:val="23"/>
        </w:rPr>
        <w:t>点击提交按钮，顺序执行严格前置校验（单据与客户有效性、所属行业必填性、业务信息完整性、XaaS 全局云图身份有效性、成对协同组件守底规则、所有激活产品线必填参数与模块卡片完整性）。任一不符在页面高亮报错并阻断。</w:t>
        <w:br/>
        <w:t>校验通过后生成统一的 W3 方案申请单号（SOL-...）进入待审批状态。整单走统一审批流，任一审批节点驳回则整单驳回，申请人可修改重提。</w:t>
        <w:br/>
        <w:t>审批通过后触发下游授权原子下发：系统调用各产品线发号中台与云图中台开通授权。若所有产品均成功，整单标记为“已授权”并归档；若任一产品线开通失败，立即触发整单事务回滚机制，自动调用作废接口撤销已开通产品的 License，整单标记为“开通失败”，杜绝方案残缺交付。</w:t>
      </w:r>
    </w:p>
    <w:p>
      <w:pPr>
        <w:spacing w:before="80" w:after="40" w:line="276" w:lineRule="auto"/>
      </w:pPr>
      <w:r>
        <w:rPr>
          <w:rFonts w:eastAsia="宋体-简" w:ascii="宋体-简" w:hAnsi="宋体-简" w:cs="宋体-简"/>
          <w:b/>
          <w:color w:val="000000"/>
          <w:sz w:val="24"/>
        </w:rPr>
        <w:t>3、字段校验规则</w:t>
      </w:r>
    </w:p>
    <w:p>
      <w:pPr>
        <w:spacing w:before="0" w:after="80" w:line="276" w:lineRule="auto"/>
      </w:pPr>
      <w:r>
        <w:rPr>
          <w:rFonts w:eastAsia="宋体-简" w:ascii="宋体-简" w:hAnsi="宋体-简" w:cs="宋体-简"/>
          <w:b w:val="0"/>
          <w:color w:val="000000"/>
          <w:sz w:val="23"/>
        </w:rPr>
        <w:t>前置校验覆盖全单所有激活产品线，不允许存在任何空缺必填项；终审执行前再次对齐借测单状态。</w:t>
      </w:r>
    </w:p>
    <w:p>
      <w:pPr>
        <w:spacing w:before="80" w:after="40" w:line="276" w:lineRule="auto"/>
      </w:pPr>
      <w:r>
        <w:rPr>
          <w:rFonts w:eastAsia="宋体-简" w:ascii="宋体-简" w:hAnsi="宋体-简" w:cs="宋体-简"/>
          <w:b/>
          <w:color w:val="000000"/>
          <w:sz w:val="24"/>
        </w:rPr>
        <w:t>4、提交逻辑处理</w:t>
      </w:r>
    </w:p>
    <w:p>
      <w:pPr>
        <w:spacing w:before="0" w:after="80" w:line="276" w:lineRule="auto"/>
      </w:pPr>
      <w:r>
        <w:rPr>
          <w:rFonts w:eastAsia="宋体-简" w:ascii="宋体-简" w:hAnsi="宋体-简" w:cs="宋体-简"/>
          <w:b w:val="0"/>
          <w:color w:val="000000"/>
          <w:sz w:val="23"/>
        </w:rPr>
        <w:t>生成包含全套参数深复制快照的申请单据，维系统一全局事务 ID 用于回滚追踪。</w:t>
      </w:r>
    </w:p>
    <w:p>
      <w:pPr>
        <w:spacing w:before="80" w:after="40" w:line="276" w:lineRule="auto"/>
      </w:pPr>
      <w:r>
        <w:rPr>
          <w:rFonts w:eastAsia="宋体-简" w:ascii="宋体-简" w:hAnsi="宋体-简" w:cs="宋体-简"/>
          <w:b/>
          <w:color w:val="000000"/>
          <w:sz w:val="24"/>
        </w:rPr>
        <w:t>5、验收标准</w:t>
      </w:r>
    </w:p>
    <w:p>
      <w:pPr>
        <w:spacing w:before="0" w:after="80" w:line="276" w:lineRule="auto"/>
      </w:pPr>
      <w:r>
        <w:rPr>
          <w:rFonts w:eastAsia="宋体-简" w:ascii="宋体-简" w:hAnsi="宋体-简" w:cs="宋体-简"/>
          <w:b w:val="0"/>
          <w:color w:val="000000"/>
          <w:sz w:val="23"/>
        </w:rPr>
        <w:t>任意漏填必填项点击提交均能精准定位提示；提交后单据状态流转正确；失败整单回滚机制彻底杜绝残缺授权。</w:t>
      </w:r>
    </w:p>
    <w:p>
      <w:pPr>
        <w:pStyle w:val="00001e"/>
        <w:spacing w:after="40" w:before="200" w:line="276" w:lineRule="auto"/>
        <w:jc w:val="left"/>
      </w:pPr>
      <w:r>
        <w:rPr>
          <w:rFonts w:eastAsia="宋体-简" w:ascii="宋体-简" w:hAnsi="宋体-简" w:cs="宋体-简"/>
          <w:b w:val="0"/>
          <w:color w:val="000000"/>
          <w:sz w:val="26"/>
        </w:rPr>
        <w:t>4.3 授权记录展示与明细检索</w:t>
      </w:r>
    </w:p>
    <w:p>
      <w:pPr>
        <w:spacing w:before="80" w:after="40" w:line="276" w:lineRule="auto"/>
      </w:pPr>
      <w:r>
        <w:rPr>
          <w:rFonts w:eastAsia="宋体-简" w:ascii="宋体-简" w:hAnsi="宋体-简" w:cs="宋体-简"/>
          <w:b/>
          <w:color w:val="000000"/>
          <w:sz w:val="24"/>
        </w:rPr>
        <w:t>1、初始状态</w:t>
      </w:r>
    </w:p>
    <w:p>
      <w:pPr>
        <w:spacing w:before="0" w:after="80" w:line="276" w:lineRule="auto"/>
      </w:pPr>
      <w:r>
        <w:rPr>
          <w:rFonts w:eastAsia="宋体-简" w:ascii="宋体-简" w:hAnsi="宋体-简" w:cs="宋体-简"/>
          <w:b w:val="0"/>
          <w:color w:val="000000"/>
          <w:sz w:val="23"/>
        </w:rPr>
        <w:t>审批通过并完成授权下发后，统一授权记录列表中以方案为维度生成一条汇总主记录（SOL- 前缀），汇聚方案整体状态、客户信息、统一到期日及所含产品线总览，各产品线独立明细默认折叠归属在主记录下。</w:t>
      </w:r>
    </w:p>
    <w:p>
      <w:pPr>
        <w:spacing w:before="80" w:after="40" w:line="276" w:lineRule="auto"/>
      </w:pPr>
      <w:r>
        <w:rPr>
          <w:rFonts w:eastAsia="宋体-简" w:ascii="宋体-简" w:hAnsi="宋体-简" w:cs="宋体-简"/>
          <w:b/>
          <w:color w:val="000000"/>
          <w:sz w:val="24"/>
        </w:rPr>
        <w:t>2、交互逻辑说明</w:t>
      </w:r>
    </w:p>
    <w:p>
      <w:pPr>
        <w:spacing w:before="0" w:after="80" w:line="276" w:lineRule="auto"/>
      </w:pPr>
      <w:r>
        <w:rPr>
          <w:rFonts w:eastAsia="宋体-简" w:ascii="宋体-简" w:hAnsi="宋体-简" w:cs="宋体-简"/>
          <w:b w:val="0"/>
          <w:color w:val="000000"/>
          <w:sz w:val="23"/>
        </w:rPr>
        <w:t>主列表支持在类型筛选下拉中选择“解决方案”，精准过滤出所有解决方案主记录；输入设备 ID、云图 ID 或 SN 搜索均能命中并展示所属方案主行。点击主记录行或展开图标，可展开查看嵌套的明细子表格；再次点击收起。</w:t>
        <w:br/>
        <w:t>明细子表格中：设备产品线展示真实设备 ID 与序列号（包含申请时追加的额外设备行）；XaaS 产品线在“设备ID/云图ID”列展示“云图ID: [tenantId]”，在“设备SN”列展示破折号“—”。各产品行均展示方案统一的授权有效期与中台生成的真实授权码（如 LIC-HCI-806、LIC-SaaS-XDR-806）。</w:t>
        <w:br/>
        <w:t>多维穿透筛选与检索规格：</w:t>
        <w:br/>
        <w:t>（1）组合多维筛选：顶部筛选栏支持按「产品线」（涵盖传统设备线与 XaaS 产品线）、「授权类型」（解决方案型 / 产品授权）、「审批状态」（全部 / 已授权 / 审批中 / 待审批 / 已驳回 / 已撤销 / 已过期）进行组合过滤；</w:t>
        <w:br/>
        <w:t>（2）方案主子行穿透：当筛选条件命中某解决方案子产品的属性（如筛选 SASE-GA 或某个具体设备 ID / 云图 ID）时，系统穿透过滤并保留其所属的 SOL 主行，主行展开后该子产品明细清晰回显；</w:t>
        <w:br/>
        <w:t>（3）快捷搜索与一键重置：支持在搜索框输入方案编码（SOL-）、借测单号（BOR-）、客户名称、设备 ID/云图 ID、授权码进行跨字段模糊检索；提供扫帚图标一键重置所有筛选条件恢复默认视图；</w:t>
        <w:br/>
        <w:t>（4）多设备汇总与抽屉回显：针对包含多个追加设备的单据，主行设备 ID 列显示主设备并标明总设备数，悬浮或展开明细完整展示追加设备清单；在记录详情抽屉中，完整回显接收邮箱、客户联系人手机号、全局云图 ID 及多设备参数明细。</w:t>
      </w:r>
    </w:p>
    <w:p>
      <w:pPr>
        <w:spacing w:before="80" w:after="40" w:line="276" w:lineRule="auto"/>
      </w:pPr>
      <w:r>
        <w:rPr>
          <w:rFonts w:eastAsia="宋体-简" w:ascii="宋体-简" w:hAnsi="宋体-简" w:cs="宋体-简"/>
          <w:b/>
          <w:color w:val="000000"/>
          <w:sz w:val="24"/>
        </w:rPr>
        <w:t>3、字段校验规则</w:t>
      </w:r>
    </w:p>
    <w:p>
      <w:pPr>
        <w:spacing w:before="0" w:after="80" w:line="276" w:lineRule="auto"/>
      </w:pPr>
      <w:r>
        <w:rPr>
          <w:rFonts w:eastAsia="宋体-简" w:ascii="宋体-简" w:hAnsi="宋体-简" w:cs="宋体-简"/>
          <w:b w:val="0"/>
          <w:color w:val="000000"/>
          <w:sz w:val="23"/>
        </w:rPr>
        <w:t>主行设备总数必须与实际启用产品线数严格一致；主行有效期起止范围必须与方案统一到期日吻合；展开子行数量必须与申请时激活的产品线数完全相等；XaaS 产品线严禁展示伪设备 SN。</w:t>
      </w:r>
    </w:p>
    <w:p>
      <w:pPr>
        <w:spacing w:before="80" w:after="40" w:line="276" w:lineRule="auto"/>
      </w:pPr>
      <w:r>
        <w:rPr>
          <w:rFonts w:eastAsia="宋体-简" w:ascii="宋体-简" w:hAnsi="宋体-简" w:cs="宋体-简"/>
          <w:b/>
          <w:color w:val="000000"/>
          <w:sz w:val="24"/>
        </w:rPr>
        <w:t>4、提交逻辑处理</w:t>
      </w:r>
    </w:p>
    <w:p>
      <w:pPr>
        <w:spacing w:before="0" w:after="80" w:line="276" w:lineRule="auto"/>
      </w:pPr>
      <w:r>
        <w:rPr>
          <w:rFonts w:eastAsia="宋体-简" w:ascii="宋体-简" w:hAnsi="宋体-简" w:cs="宋体-简"/>
          <w:b w:val="0"/>
          <w:color w:val="000000"/>
          <w:sz w:val="23"/>
        </w:rPr>
        <w:t>数据层以一对多主子表架构存储，主行承载整单状态与统计指标，子表承载各产品 License 明细，随整单原子授权成功后一次性写入并绑定主行编号。</w:t>
      </w:r>
    </w:p>
    <w:p>
      <w:pPr>
        <w:spacing w:before="80" w:after="40" w:line="276" w:lineRule="auto"/>
      </w:pPr>
      <w:r>
        <w:rPr>
          <w:rFonts w:eastAsia="宋体-简" w:ascii="宋体-简" w:hAnsi="宋体-简" w:cs="宋体-简"/>
          <w:b/>
          <w:color w:val="000000"/>
          <w:sz w:val="24"/>
        </w:rPr>
        <w:t>5、验收标准</w:t>
      </w:r>
    </w:p>
    <w:p>
      <w:pPr>
        <w:spacing w:before="0" w:after="80" w:line="276" w:lineRule="auto"/>
      </w:pPr>
      <w:r>
        <w:rPr>
          <w:rFonts w:eastAsia="宋体-简" w:ascii="宋体-简" w:hAnsi="宋体-简" w:cs="宋体-简"/>
          <w:b w:val="0"/>
          <w:color w:val="000000"/>
          <w:sz w:val="23"/>
        </w:rPr>
        <w:t>解决方案展示为单条主行；主行指标统计准确；搜索与类型筛选联动精确；展开子表格排版整齐无错位；设备与 XaaS 产品线字段区分展示准确；所有产品授权码完整呈现。</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2015"/>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列名</w:t>
            </w:r>
          </w:p>
        </w:tc>
        <w:tc>
          <w:tcPr>
            <w:tcW w:type="dxa" w:w="2015"/>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适用产品类型</w:t>
            </w:r>
          </w:p>
        </w:tc>
        <w:tc>
          <w:tcPr>
            <w:tcW w:type="dxa" w:w="3311"/>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展示内容口径</w:t>
            </w:r>
          </w:p>
        </w:tc>
        <w:tc>
          <w:tcPr>
            <w:tcW w:type="dxa" w:w="3311"/>
            <w:tcBorders>
              <w:top w:val="single" w:color="CBCDD1" w:sz="4" w:space="0"/>
              <w:left w:val="single" w:color="CBCDD1" w:sz="4" w:space="0"/>
              <w:bottom w:val="single" w:color="CBCDD1" w:sz="4" w:space="0"/>
              <w:right w:val="single" w:color="CBCDD1" w:sz="4" w:space="0"/>
            </w:tcBorders>
            <w:shd w:val="clear" w:color="auto" w:fill="1F4E78"/>
            <w:vAlign w:val="center"/>
          </w:tcPr>
          <w:p>
            <w:pPr>
              <w:spacing w:before="40" w:after="40" w:line="276" w:lineRule="auto"/>
            </w:pPr>
            <w:r>
              <w:rPr>
                <w:rFonts w:eastAsia="宋体-简" w:ascii="宋体-简" w:hAnsi="宋体-简" w:cs="宋体-简"/>
                <w:b/>
                <w:color w:val="FFFFFF"/>
                <w:sz w:val="23"/>
              </w:rPr>
              <w:t>说明</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产品线</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所有产品</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产品线名称（如 HCI、AF、SaaS-XDR）</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方案下各产品独立成行</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版本号</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所有产品</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申请时确定的具体版本</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如 HCI-6.8.1-VKEY、SaaS-XDR 标准版</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设备ID / 云图ID</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设备线 / XaaS线</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设备线显示真实设备ID；XaaS显示云图ID</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XaaS 口径如 云图ID: YT-10010101</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设备SN</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设备线 / XaaS线</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设备线显示序列号；XaaS显示破折号 —</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XaaS 绝不展示虚假硬件序列号</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授权有效期</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所有产品</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至 [统一到期日]</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方案下所有产品严格统一到期时间</w:t>
            </w:r>
          </w:p>
        </w:tc>
      </w:tr>
      <w:tr>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授权码</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所有产品</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下游中台生成的 License 凭证码</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格式如 LIC-[产品线]-806</w:t>
            </w:r>
          </w:p>
        </w:tc>
      </w:tr>
    </w:tbl>
    <w:p>
      <w:pPr>
        <w:spacing w:before="0" w:after="80"/>
      </w:pPr>
    </w:p>
    <w:p>
      <w:pPr>
        <w:spacing w:before="80" w:after="120"/>
      </w:pPr>
      <w:r>
        <w:rPr>
          <w:rFonts w:eastAsia="宋体-简" w:ascii="宋体-简" w:hAnsi="宋体-简" w:cs="宋体-简"/>
          <w:b w:val="0"/>
          <w:color w:val="595959"/>
          <w:sz w:val="20"/>
        </w:rPr>
        <w:t>图 4  解决方案授权记录汇总与展开明细原型参考</w:t>
      </w:r>
    </w:p>
    <w:p>
      <w:pPr>
        <w:pStyle w:val="00001c"/>
        <w:spacing w:after="80" w:before="480" w:line="276" w:lineRule="auto"/>
        <w:jc w:val="left"/>
      </w:pPr>
      <w:r>
        <w:rPr>
          <w:rFonts w:eastAsia="宋体-简" w:ascii="宋体-简" w:hAnsi="宋体-简" w:cs="宋体-简"/>
          <w:b w:val="0"/>
          <w:color w:val="000000"/>
          <w:sz w:val="32"/>
        </w:rPr>
        <w:t>5. 外部协同与接口需求明细</w:t>
      </w:r>
    </w:p>
    <w:p>
      <w:pPr>
        <w:pStyle w:val="00001e"/>
        <w:spacing w:after="40" w:before="200" w:line="276" w:lineRule="auto"/>
        <w:jc w:val="left"/>
      </w:pPr>
      <w:r>
        <w:rPr>
          <w:rFonts w:eastAsia="宋体-简" w:ascii="宋体-简" w:hAnsi="宋体-简" w:cs="宋体-简"/>
          <w:b w:val="0"/>
          <w:color w:val="000000"/>
          <w:sz w:val="26"/>
        </w:rPr>
        <w:t>5.1 新资产系统协同</w:t>
      </w:r>
    </w:p>
    <w:p>
      <w:pPr>
        <w:spacing w:before="0" w:after="80" w:line="276" w:lineRule="auto"/>
      </w:pPr>
      <w:r>
        <w:rPr>
          <w:rFonts w:eastAsia="宋体-简" w:ascii="宋体-简" w:hAnsi="宋体-简" w:cs="宋体-简"/>
          <w:b w:val="0"/>
          <w:color w:val="000000"/>
          <w:sz w:val="23"/>
        </w:rPr>
        <w:t>5.1.1 W3 解决方案配置查询接口：新资产系统通过该接口获取 W3 处于启用状态的解决方案编码、名称、产品线类型列表（区分 device/xaas）及授权天数（authDays）。新资产系统仅在用户建借测单时读取，不嵌入 W3 配置页。</w:t>
      </w:r>
    </w:p>
    <w:p>
      <w:pPr>
        <w:spacing w:before="0" w:after="80" w:line="276" w:lineRule="auto"/>
      </w:pPr>
      <w:r>
        <w:rPr>
          <w:rFonts w:eastAsia="宋体-简" w:ascii="宋体-简" w:hAnsi="宋体-简" w:cs="宋体-简"/>
          <w:b w:val="0"/>
          <w:color w:val="000000"/>
          <w:sz w:val="23"/>
        </w:rPr>
        <w:t>5.1.2 借测单状态与快照查询接口：W3 申请人在关联借测单时调用新资产系统，获取借测单号、审批状态、客户、借测人、借测起止日、归还状态、撤销状态及已审批方案范围快照；若含 XaaS 线同步返回客户绑定的全局云图账号与云图ID。</w:t>
      </w:r>
    </w:p>
    <w:p>
      <w:pPr>
        <w:pStyle w:val="00001e"/>
        <w:spacing w:after="40" w:before="200" w:line="276" w:lineRule="auto"/>
        <w:jc w:val="left"/>
      </w:pPr>
      <w:r>
        <w:rPr>
          <w:rFonts w:eastAsia="宋体-简" w:ascii="宋体-简" w:hAnsi="宋体-简" w:cs="宋体-简"/>
          <w:b w:val="0"/>
          <w:color w:val="000000"/>
          <w:sz w:val="26"/>
        </w:rPr>
        <w:t>5.2 下游许可证平台与云图中台协同</w:t>
      </w:r>
    </w:p>
    <w:p>
      <w:pPr>
        <w:spacing w:before="0" w:after="80" w:line="276" w:lineRule="auto"/>
      </w:pPr>
      <w:r>
        <w:rPr>
          <w:rFonts w:eastAsia="宋体-简" w:ascii="宋体-简" w:hAnsi="宋体-简" w:cs="宋体-简"/>
          <w:b w:val="0"/>
          <w:color w:val="000000"/>
          <w:sz w:val="23"/>
        </w:rPr>
        <w:t>5.2.1 批量授权下发接口：整单审批通过后，W3 向下游中台派发批量开通任务，按各产品线参数生成 License 文件或激活云端租户实例。</w:t>
      </w:r>
    </w:p>
    <w:p>
      <w:pPr>
        <w:spacing w:before="0" w:after="80" w:line="276" w:lineRule="auto"/>
      </w:pPr>
      <w:r>
        <w:rPr>
          <w:rFonts w:eastAsia="宋体-简" w:ascii="宋体-简" w:hAnsi="宋体-简" w:cs="宋体-简"/>
          <w:b w:val="0"/>
          <w:color w:val="000000"/>
          <w:sz w:val="23"/>
        </w:rPr>
        <w:t>5.2.2 异常原子回滚接口：两阶段事务保障。任一产品开通失败，W3 立即调用中台作废接口撤销已开通的产品凭证，确保整套方案交付结果的一致性。</w:t>
      </w:r>
    </w:p>
    <w:p>
      <w:pPr>
        <w:pStyle w:val="00001c"/>
        <w:spacing w:after="80" w:before="480" w:line="276" w:lineRule="auto"/>
        <w:jc w:val="left"/>
      </w:pPr>
      <w:r>
        <w:rPr>
          <w:rFonts w:eastAsia="宋体-简" w:ascii="宋体-简" w:hAnsi="宋体-简" w:cs="宋体-简"/>
          <w:b w:val="0"/>
          <w:color w:val="000000"/>
          <w:sz w:val="32"/>
        </w:rPr>
        <w:t>6. 异常与一致性处理矩阵</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2160"/>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异常场景</w:t>
            </w:r>
          </w:p>
        </w:tc>
        <w:tc>
          <w:tcPr>
            <w:tcW w:type="dxa" w:w="2015"/>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触发时机</w:t>
            </w:r>
          </w:p>
        </w:tc>
        <w:tc>
          <w:tcPr>
            <w:tcW w:type="dxa" w:w="3311"/>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系统判定与处理机制</w:t>
            </w:r>
          </w:p>
        </w:tc>
        <w:tc>
          <w:tcPr>
            <w:tcW w:type="dxa" w:w="3168"/>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申请人提示文案与引导</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借测单号不存在</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点击查询并关联</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资产系统检索无此单号</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页面提示：未找到该借测单，请核对单号后重试。</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借测单未审批通过</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点击查询并关联</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approvalStatus !== 审批通过</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红色错误卡片：无法关联：该借测单尚未审批通过，当前状态为[状态]。</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借测设备已归还</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点击查询并关联</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returned === true</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红色错误卡片：无法关联：该借测单已归还。</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借测单已撤销</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点击查询并关联</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revoked === true</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红色错误卡片：无法关联：该借测单已撤销。</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未选择所属行业</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行业字段值为空</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提交栏报错：请选择客户所属行业。精准定位至行业下拉框。</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方案含 XaaS 缺云图身份</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客户名下无可用 tenantId</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提交栏报错：【阻断】方案包含 XaaS 产品线，客户需已关联云图账号和云图ID（未开户客户不可申请）。</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方案含 XaaS 手机号缺失或非法</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涉及 XaaS 且联系人手机号为空或非 11 位</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提交栏报错：方案包含 XaaS 产品线，必须填写客户联系人手机号以匹配云图账号。/ 请填写正确的11位客户联系人手机号。</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追加设备 ID 为空</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追加了额外设备行但未填设备 ID</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提交栏报错：[产品线名称] 追加的设备 ID 不能为空，请填写或删除空白追加项。</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未选客户直接选择借测单</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关联借测单入口</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客户未选定</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借测单下拉置灰禁用，提示“请先选择客户”，阻断越权关联。</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成对协同组件同时关闭</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多产品线导航切换</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成对组件均处于关闭状态</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系统守底联动：自动保持或开启另一组件，禁止两者同时关闭。</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必填业务申请信息缺失</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动态必填业务字段为空</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提交栏报错：请补全业务申请信息（[方案名称]）。精准定位至业务信息区块。</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常规产品线参数不全</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提交整单审批</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某激活产品漏填版本/规格</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提交栏报错：[产品线名称] 的授权参数未填写完整。精准定位至该产品。</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方案配置已被管理员停用</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纯软件本地申请</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方案状态为 disabled</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本地申请下拉列表中直接剔除，不可选；历史已审批借测单仍允许关联。</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单个产品授权下发失败</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审批通过下发时</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中台返回开通超时或失败</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立即触发整单回滚，作废已开通产品，整单标记“整单失败”，杜绝残缺交付。</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借测单方案与当前不同</w:t>
            </w:r>
          </w:p>
        </w:tc>
        <w:tc>
          <w:tcPr>
            <w:tcW w:type="dxa" w:w="2015"/>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点击查询并关联</w:t>
            </w:r>
          </w:p>
        </w:tc>
        <w:tc>
          <w:tcPr>
            <w:tcW w:type="dxa" w:w="3311"/>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资产已审批方案产品线被调整</w:t>
            </w:r>
          </w:p>
        </w:tc>
        <w:tc>
          <w:tcPr>
            <w:tcW w:type="dxa" w:w="3168"/>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以资产已审批快照为准只读带出，不按 W3 最新配置改写历史审批内容。</w:t>
            </w:r>
          </w:p>
        </w:tc>
      </w:tr>
    </w:tbl>
    <w:p>
      <w:pPr>
        <w:spacing w:before="0" w:after="80"/>
      </w:pPr>
    </w:p>
    <w:p>
      <w:pPr>
        <w:pStyle w:val="00001c"/>
        <w:spacing w:after="80" w:before="480" w:line="276" w:lineRule="auto"/>
        <w:jc w:val="left"/>
      </w:pPr>
      <w:r>
        <w:rPr>
          <w:rFonts w:eastAsia="宋体-简" w:ascii="宋体-简" w:hAnsi="宋体-简" w:cs="宋体-简"/>
          <w:b w:val="0"/>
          <w:color w:val="000000"/>
          <w:sz w:val="32"/>
        </w:rPr>
        <w:t>7. 业务方需求落地：业务申请信息与产品组合灵活配置规范</w:t>
      </w:r>
    </w:p>
    <w:p>
      <w:pPr>
        <w:pStyle w:val="00001e"/>
        <w:spacing w:after="40" w:before="200" w:line="276" w:lineRule="auto"/>
        <w:jc w:val="left"/>
      </w:pPr>
      <w:r>
        <w:rPr>
          <w:rFonts w:eastAsia="宋体-简" w:ascii="宋体-简" w:hAnsi="宋体-简" w:cs="宋体-简"/>
          <w:b w:val="0"/>
          <w:color w:val="000000"/>
          <w:sz w:val="26"/>
        </w:rPr>
        <w:t>7.1 架构设计背景与免代码开发原则</w:t>
      </w:r>
    </w:p>
    <w:p>
      <w:pPr>
        <w:spacing w:before="0" w:after="80" w:line="276" w:lineRule="auto"/>
      </w:pPr>
      <w:r>
        <w:rPr>
          <w:rFonts w:eastAsia="宋体-简" w:ascii="宋体-简" w:hAnsi="宋体-简" w:cs="宋体-简"/>
          <w:b w:val="0"/>
          <w:color w:val="000000"/>
          <w:sz w:val="23"/>
        </w:rPr>
        <w:t>业务方明确要求：“页面的业务申请信息、产品授权组合要考虑灵活配置。后续随方案推广，需要收集的信息和方案产品组合可能会有变化，不要每次调整都要开发”。</w:t>
      </w:r>
    </w:p>
    <w:p>
      <w:pPr>
        <w:spacing w:before="0" w:after="80" w:line="276" w:lineRule="auto"/>
      </w:pPr>
      <w:r>
        <w:rPr>
          <w:rFonts w:eastAsia="宋体-简" w:ascii="宋体-简" w:hAnsi="宋体-简" w:cs="宋体-简"/>
          <w:b w:val="0"/>
          <w:color w:val="000000"/>
          <w:sz w:val="23"/>
        </w:rPr>
        <w:t>针对该核心诉求，系统在架构上确立免代码开发扩展原则：底层实现方案元数据驱动模型（Metadata-Driven Model），将产品授权组合与业务调研表单与前端静态页面彻底解耦。推广新方案或微调调研字段时，无需进行全链路代码重新发版。</w:t>
      </w:r>
    </w:p>
    <w:p>
      <w:pPr>
        <w:pStyle w:val="00001e"/>
        <w:spacing w:after="40" w:before="200" w:line="276" w:lineRule="auto"/>
        <w:jc w:val="left"/>
      </w:pPr>
      <w:r>
        <w:rPr>
          <w:rFonts w:eastAsia="宋体-简" w:ascii="宋体-简" w:hAnsi="宋体-简" w:cs="宋体-简"/>
          <w:b w:val="0"/>
          <w:color w:val="000000"/>
          <w:sz w:val="26"/>
        </w:rPr>
        <w:t>7.2 产品组合元数据驱动方案</w:t>
      </w:r>
    </w:p>
    <w:p>
      <w:pPr>
        <w:spacing w:before="0" w:after="80" w:line="276" w:lineRule="auto"/>
      </w:pPr>
      <w:r>
        <w:rPr>
          <w:rFonts w:eastAsia="宋体-简" w:ascii="宋体-简" w:hAnsi="宋体-简" w:cs="宋体-简"/>
          <w:b w:val="0"/>
          <w:color w:val="000000"/>
          <w:sz w:val="23"/>
        </w:rPr>
        <w:t>方案与产品线的组合关系完全由 W3「解决方案配置」数据表驱动。管理员在抽屉中自由勾选产品目录并配置授权天数后，申请端根据接口返回的产品线动态构建左侧工作台导航，复用各产品的标准参数组件，产品组合调整 0 代码发版。</w:t>
      </w:r>
    </w:p>
    <w:p>
      <w:pPr>
        <w:pStyle w:val="00001e"/>
        <w:spacing w:after="40" w:before="200" w:line="276" w:lineRule="auto"/>
        <w:jc w:val="left"/>
      </w:pPr>
      <w:r>
        <w:rPr>
          <w:rFonts w:eastAsia="宋体-简" w:ascii="宋体-简" w:hAnsi="宋体-简" w:cs="宋体-简"/>
          <w:b w:val="0"/>
          <w:color w:val="000000"/>
          <w:sz w:val="26"/>
        </w:rPr>
        <w:t>7.3 业务申请信息自由配置字段引擎</w:t>
      </w:r>
    </w:p>
    <w:p>
      <w:pPr>
        <w:spacing w:before="0" w:after="80" w:line="276" w:lineRule="auto"/>
      </w:pPr>
      <w:r>
        <w:rPr>
          <w:rFonts w:eastAsia="宋体-简" w:ascii="宋体-简" w:hAnsi="宋体-简" w:cs="宋体-简"/>
          <w:b w:val="0"/>
          <w:color w:val="000000"/>
          <w:sz w:val="23"/>
        </w:rPr>
        <w:t>业务申请信息采用自由配置字段引擎（Field Engine）。管理员在配置方案时，既可选择标准预置模板，也可自定义扩展动态字段：</w:t>
        <w:br/>
        <w:t>1. 字段名称自由定义：管理员可按业务调研诉求自由命名字段（如“测试主打场景”、“PK友商”、“能否远程”、“客户交流纪要”等）；</w:t>
        <w:br/>
        <w:t>2. 控件类型丰富支持：支持单行文本（text）、多行文本（textarea）、单选下拉（select）、多选复选框（checkbox）、附件上传（file）及数字输入（number）；</w:t>
        <w:br/>
        <w:t>3. 选项列表自由增删改：对于单选下拉与多选复选框，管理员在配置界面录入以逗号隔开的候选值，引擎自适应解析为候选选项；</w:t>
        <w:br/>
        <w:t>4. 必填与删除控制：每个字段均可独立勾选“必填”属性，未补全时整单提交自动触发前置拦截校验；字段支持行级实时删除；</w:t>
        <w:br/>
        <w:t>5. 前端自适应渲染：申请端根据方案绑定的字段 Schema 动态生成表单与校验规则，业务规则直接以《安全方案测试申请规则.xlsx》为基准动态驱动，业务调研表单调整彻底告别代码开发。</w:t>
      </w:r>
    </w:p>
    <w:tbl>
      <w:tblPr>
        <w:tblStyle w:val="000047"/>
        <w:tblW w:type="auto" w:w="0"/>
        <w:jc w:val="center"/>
        <w:tblLook w:firstColumn="1" w:firstRow="1" w:lastColumn="0" w:lastRow="0" w:noHBand="0" w:noVBand="1" w:val="04A0"/>
        <w:tblBorders>
          <w:top w:val="single" w:color="CBCDD1" w:sz="4" w:space="0"/>
          <w:left w:val="single" w:color="CBCDD1" w:sz="4" w:space="0"/>
          <w:bottom w:val="single" w:color="CBCDD1" w:sz="4" w:space="0"/>
          <w:right w:val="single" w:color="CBCDD1" w:sz="4" w:space="0"/>
          <w:insideH w:val="single" w:color="CBCDD1" w:sz="4" w:space="0"/>
          <w:insideV w:val="single" w:color="CBCDD1" w:sz="4" w:space="0"/>
        </w:tblBorders>
        <w:tblCellMar>
          <w:top w:w="0" w:type="dxa"/>
          <w:left w:w="108" w:type="dxa"/>
          <w:bottom w:w="0" w:type="dxa"/>
          <w:right w:w="108" w:type="dxa"/>
        </w:tblCellMar>
        <w:tblLayout w:type="fixed"/>
      </w:tblPr>
      <w:tblGrid>
        <w:gridCol w:w="2464"/>
        <w:gridCol w:w="2464"/>
        <w:gridCol w:w="2464"/>
        <w:gridCol w:w="2464"/>
      </w:tblGrid>
      <w:tr>
        <w:tc>
          <w:tcPr>
            <w:tcW w:type="dxa" w:w="2160"/>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模板标识</w:t>
            </w:r>
          </w:p>
        </w:tc>
        <w:tc>
          <w:tcPr>
            <w:tcW w:type="dxa" w:w="2592"/>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适用方案</w:t>
            </w:r>
          </w:p>
        </w:tc>
        <w:tc>
          <w:tcPr>
            <w:tcW w:type="dxa" w:w="3600"/>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核心字段与组件</w:t>
            </w:r>
          </w:p>
        </w:tc>
        <w:tc>
          <w:tcPr>
            <w:tcW w:type="dxa" w:w="2304"/>
            <w:tcBorders>
              <w:top w:val="single" w:color="CBCDD1" w:sz="4" w:space="0"/>
              <w:left w:val="single" w:color="CBCDD1" w:sz="4" w:space="0"/>
              <w:bottom w:val="single" w:color="CBCDD1" w:sz="4" w:space="0"/>
              <w:right w:val="single" w:color="CBCDD1" w:sz="4" w:space="0"/>
            </w:tcBorders>
            <w:shd w:val="clear" w:color="auto" w:fill="E5F6FF"/>
            <w:vAlign w:val="center"/>
          </w:tcPr>
          <w:p>
            <w:pPr>
              <w:spacing w:before="40" w:after="40" w:line="276" w:lineRule="auto"/>
            </w:pPr>
            <w:r>
              <w:rPr>
                <w:rFonts w:eastAsia="宋体-简" w:ascii="宋体-简" w:hAnsi="宋体-简" w:cs="宋体-简"/>
                <w:b/>
                <w:color w:val="000000"/>
                <w:sz w:val="23"/>
              </w:rPr>
              <w:t>扩展方式</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NONE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通用解决方案（如企业云）</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无特殊业务信息，直接进入工作台</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标准开箱即用，无需配置</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DSOC_TEMPLATE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分布式安全运营方案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主打场景、驱动力、预期效果、调研文档上传、转销计划</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支持在配置界面自由增减多选选项及附件项</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ACCEL_TEMPLATE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全球加速方案（SaaS/本地版）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客户需求、项目规模、竞争对手、所在省份、备注</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支持配置字段条件显隐，满足不同子方案诉求</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NETWORK_TEMPLATE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全球组网方案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客户需求、项目规模、竞争对手（收起省份/备注）</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复用加速模板核心字段，自动屏蔽地域属性</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MSS_TEMPLATE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安全托管服务方案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所属行业、客户联系人、客户组件情况、本次测试PK范围</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支持在配置界面按现场调研诉求自由增减字段</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DSP_TEMPLATE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数据安全方案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关注价值、风险场景、PK友商、能否远程、预算、交流纪要</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包含多选、下拉与附件复合字段，自适应渲染</w:t>
            </w:r>
          </w:p>
        </w:tc>
      </w:tr>
      <w:tr>
        <w:tc>
          <w:tcPr>
            <w:tcW w:type="dxa" w:w="216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CUSTOM_TEMPLATE</w:t>
            </w:r>
          </w:p>
        </w:tc>
        <w:tc>
          <w:tcPr>
            <w:tcW w:type="dxa" w:w="2592"/>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未来推广新方案</w:t>
            </w:r>
          </w:p>
        </w:tc>
        <w:tc>
          <w:tcPr>
            <w:tcW w:type="dxa" w:w="3600"/>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按业务调研诉求自由组合文本、下拉、复选与文件控件</w:t>
            </w:r>
          </w:p>
        </w:tc>
        <w:tc>
          <w:tcPr>
            <w:tcW w:type="dxa" w:w="2304"/>
            <w:tcBorders>
              <w:top w:val="single" w:color="CBCDD1" w:sz="4" w:space="0"/>
              <w:left w:val="single" w:color="CBCDD1" w:sz="4" w:space="0"/>
              <w:bottom w:val="single" w:color="CBCDD1" w:sz="4" w:space="0"/>
              <w:right w:val="single" w:color="CBCDD1" w:sz="4" w:space="0"/>
            </w:tcBorders>
            <w:vAlign w:val="center"/>
          </w:tcPr>
          <w:p>
            <w:pPr>
              <w:spacing w:before="40" w:after="40" w:line="276" w:lineRule="auto"/>
            </w:pPr>
            <w:r>
              <w:rPr>
                <w:rFonts w:eastAsia="宋体-简" w:ascii="宋体-简" w:hAnsi="宋体-简" w:cs="宋体-简"/>
                <w:b w:val="0"/>
                <w:color w:val="000000"/>
                <w:sz w:val="22"/>
              </w:rPr>
              <w:t>直接在抽屉中自由新增字段，自适应校验与审批</w:t>
            </w:r>
          </w:p>
        </w:tc>
      </w:tr>
    </w:tbl>
    <w:p>
      <w:pPr>
        <w:spacing w:before="0" w:after="80"/>
      </w:pPr>
    </w:p>
    <w:p>
      <w:pPr>
        <w:pStyle w:val="00001e"/>
        <w:spacing w:after="40" w:before="200" w:line="276" w:lineRule="auto"/>
        <w:jc w:val="left"/>
      </w:pPr>
      <w:r>
        <w:rPr>
          <w:rFonts w:eastAsia="宋体-简" w:ascii="宋体-简" w:hAnsi="宋体-简" w:cs="宋体-简"/>
          <w:b w:val="0"/>
          <w:color w:val="000000"/>
          <w:sz w:val="26"/>
        </w:rPr>
        <w:t>7.4 客户全局云图身份与成对协同组件守底规范</w:t>
      </w:r>
    </w:p>
    <w:p>
      <w:pPr>
        <w:spacing w:before="0" w:after="80" w:line="276" w:lineRule="auto"/>
      </w:pPr>
      <w:r>
        <w:rPr>
          <w:rFonts w:eastAsia="宋体-简" w:ascii="宋体-简" w:hAnsi="宋体-简" w:cs="宋体-简"/>
          <w:b w:val="0"/>
          <w:color w:val="000000"/>
          <w:sz w:val="23"/>
        </w:rPr>
        <w:t>1. 客户全局云图身份规范：云图 ID（tenantId）作为客户顶层全局租户身份，由系统自动绑定并在客户信息区回显；方案包含任一 XaaS 产品线时，无云图 ID 全单强行阻断提交；</w:t>
        <w:br/>
        <w:t>2. 客户所属行业规范：客户基本信息区域必选「所属行业」，行业字典与平台 XaaS 字典保持严格 1:1 对齐；</w:t>
        <w:br/>
        <w:t>3. 成对协同组件守底规范：针对方案中具有成对互补关系的协同组件（如 STA 与 AF，或 AF 与 aES），交互上支持两者同时开启；若关闭其中一个，另一个必须自动开启，严禁两者同时处于关闭状态，防止关键交付组件脱节。</w:t>
      </w:r>
    </w:p>
    <w:p>
      <w:pPr>
        <w:pStyle w:val="00001e"/>
        <w:spacing w:after="40" w:before="200" w:line="276" w:lineRule="auto"/>
        <w:jc w:val="left"/>
      </w:pPr>
      <w:r>
        <w:rPr>
          <w:rFonts w:eastAsia="宋体-简" w:ascii="宋体-简" w:hAnsi="宋体-简" w:cs="宋体-简"/>
          <w:b w:val="0"/>
          <w:color w:val="000000"/>
          <w:sz w:val="26"/>
        </w:rPr>
        <w:t>7.5 借测设备继承防篡改、多设备追加、云图手机号及全链路筛选落地规范</w:t>
      </w:r>
    </w:p>
    <w:p>
      <w:pPr>
        <w:spacing w:before="0" w:after="80" w:line="276" w:lineRule="auto"/>
      </w:pPr>
      <w:r>
        <w:rPr>
          <w:rFonts w:eastAsia="宋体-简" w:ascii="宋体-简" w:hAnsi="宋体-简" w:cs="宋体-简"/>
          <w:b w:val="0"/>
          <w:color w:val="000000"/>
          <w:sz w:val="23"/>
        </w:rPr>
        <w:t>1. 借测单设备 ID 继承只读锁定与多设备动态追加机制：</w:t>
        <w:br/>
        <w:t xml:space="preserve">   - 资产实物防篡改：关联借测单后，若借测单已绑定具体设备硬件（如 AF 绑定 GW-AF-930），该设备 ID 作为资产审批基线强制锁定为只读状态（样式灰显且不可编辑），并展示“来自借测单，已锁定不可修改”提示，严禁申请人手工涂改借测设备；</w:t>
        <w:br/>
        <w:t xml:space="preserve">   - 多设备动态追加：在主设备右侧配置“+ 添加设备”按钮，支持申请人按测试组网需要动态追加 1 到多台额外测试设备 ID，每个追加项配独立删除按钮；纯软件本地申请模式下主设备可输入且同样支持追加；提交时强校验追加设备非空；生成的授权记录与展开明细完整展示所有追加设备。</w:t>
        <w:br/>
        <w:t>2. 客户联系人手机号云图匹配与 XaaS 场景强阻断规范：</w:t>
        <w:br/>
        <w:t xml:space="preserve">   - 手机号直连云图匹配：基础信息区新增联系人手机号字段，选定客户自动回填 CRM 手机号；手动录入 11 位手机号自动检索云图账号并即时更新全局云图身份 Badge；</w:t>
        <w:br/>
        <w:t xml:space="preserve">   - XaaS 场景强阻断：申请方案包含任一 XaaS 产品线时，联系人手机号作为云图开通必要凭证自动设为红色星号必填项，未填或格式非法强阻断提交；未涉及 XaaS 时为选填。</w:t>
        <w:br/>
        <w:t>3. 配置中心、借测单级联与授权记录列表多维筛选技术规范：</w:t>
        <w:br/>
        <w:t xml:space="preserve">   - 配置中心检索：支持按编码/名称关键字及启用状态快速过滤；</w:t>
        <w:br/>
        <w:t xml:space="preserve">   - 借测单客户级联筛选：搜索客户并选中后，借测单下拉仅展示该客户专属借测单；清空客户后借测单自动禁用清空，防止借测数据串单；</w:t>
        <w:br/>
        <w:t xml:space="preserve">   - 授权记录多维穿透筛选：支持产品线、授权类型、审批状态、时间范围与关键字组合查询，支持子产品属性向上穿透命中 SOL 主行，支持一键清空重置。</w:t>
      </w:r>
    </w:p>
    <w:p>
      <w:pPr>
        <w:pStyle w:val="00001c"/>
        <w:spacing w:after="80" w:before="480" w:line="276" w:lineRule="auto"/>
        <w:jc w:val="left"/>
      </w:pPr>
      <w:r>
        <w:rPr>
          <w:rFonts w:eastAsia="宋体-简" w:ascii="宋体-简" w:hAnsi="宋体-简" w:cs="宋体-简"/>
          <w:b w:val="0"/>
          <w:color w:val="000000"/>
          <w:sz w:val="32"/>
        </w:rPr>
        <w:t>8. 待开发确认项</w:t>
      </w:r>
    </w:p>
    <w:p>
      <w:pPr>
        <w:spacing w:before="0" w:after="80" w:line="276" w:lineRule="auto"/>
      </w:pPr>
      <w:r>
        <w:rPr>
          <w:rFonts w:eastAsia="宋体-简" w:ascii="宋体-简" w:hAnsi="宋体-简" w:cs="宋体-简"/>
          <w:b w:val="0"/>
          <w:color w:val="000000"/>
          <w:sz w:val="23"/>
        </w:rPr>
        <w:t>1. 确认 W3 整单审批的正式节点数量、审批人角色映射及超时自动审批规则。</w:t>
      </w:r>
    </w:p>
    <w:p>
      <w:pPr>
        <w:spacing w:before="0" w:after="80" w:line="276" w:lineRule="auto"/>
      </w:pPr>
      <w:r>
        <w:rPr>
          <w:rFonts w:eastAsia="宋体-简" w:ascii="宋体-简" w:hAnsi="宋体-简" w:cs="宋体-简"/>
          <w:b w:val="0"/>
          <w:color w:val="000000"/>
          <w:sz w:val="23"/>
        </w:rPr>
        <w:t>2. 确认新资产系统与 W3 配置同步接口的认证鉴权方式、心跳刷新频率与超时熔断策略。</w:t>
      </w:r>
    </w:p>
    <w:p>
      <w:pPr>
        <w:spacing w:before="0" w:after="80" w:line="276" w:lineRule="auto"/>
      </w:pPr>
      <w:r>
        <w:rPr>
          <w:rFonts w:eastAsia="宋体-简" w:ascii="宋体-简" w:hAnsi="宋体-简" w:cs="宋体-简"/>
          <w:b w:val="0"/>
          <w:color w:val="000000"/>
          <w:sz w:val="23"/>
        </w:rPr>
        <w:t>3. 确认新资产系统借测单撤销或设备归还后，W3 对已下发有效授权的自动作废与联动清理机制。</w:t>
      </w:r>
    </w:p>
    <w:p>
      <w:pPr>
        <w:spacing w:before="0" w:after="80" w:line="276" w:lineRule="auto"/>
      </w:pPr>
      <w:r>
        <w:rPr>
          <w:rFonts w:eastAsia="宋体-简" w:ascii="宋体-简" w:hAnsi="宋体-简" w:cs="宋体-简"/>
          <w:b w:val="0"/>
          <w:color w:val="000000"/>
          <w:sz w:val="23"/>
        </w:rPr>
        <w:t>4. 确认下游许可证平台针对各产品线批量撤销/作废接口的事务一致性与幂等性保障能力。</w:t>
      </w:r>
    </w:p>
    <w:p>
      <w:pPr>
        <w:spacing w:before="0" w:after="80" w:line="276" w:lineRule="auto"/>
      </w:pPr>
      <w:r>
        <w:rPr>
          <w:rFonts w:eastAsia="宋体-简" w:ascii="宋体-简" w:hAnsi="宋体-简" w:cs="宋体-简"/>
          <w:b w:val="0"/>
          <w:color w:val="000000"/>
          <w:sz w:val="23"/>
        </w:rPr>
        <w:t>5. 确认多云图账号客户在前端申请时的下拉点选交互原型与默认关联规则。</w:t>
      </w:r>
    </w:p>
    <w:p>
      <w:pPr>
        <w:spacing w:before="0" w:after="80" w:line="276" w:lineRule="auto"/>
      </w:pPr>
      <w:r>
        <w:rPr>
          <w:rFonts w:eastAsia="宋体-简" w:ascii="宋体-简" w:hAnsi="宋体-简" w:cs="宋体-简"/>
          <w:b w:val="0"/>
          <w:color w:val="000000"/>
          <w:sz w:val="23"/>
        </w:rPr>
        <w:t>6. 确认业务申请信息自由配置字段的持久化存储 Schema 与数据版本管理规范。</w:t>
      </w:r>
    </w:p>
    <w:sectPr>
      <w:footerReference r:id="rId7" w:type="default"/>
      <w:pgSz w:w="12240" w:h="15840"/>
      <w:pgMar w:top="1134" w:right="1191" w:bottom="1134" w:left="1191" w:header="720" w:footer="720" w:gutter="0"/>
      <w:cols w:space="720" w:num="1"/>
      <w:docGrid w:linePitch="360" w:charSpace="0"/>
    </w:sectPr>
  </w:body>
</w:document>
</file>

<file path=word/endnotes.xml><?xml version="1.0" encoding="utf-8"?>
<w:endnotes xmlns:w="http://schemas.openxmlformats.org/wordprocessingml/2006/main">
  <w:endnote w:type="continuationSeparator" w:id="0">
    <w:p>
      <w:pPr>
        <w:spacing w:line="240" w:lineRule="auto"/>
        <w:rPr/>
      </w:pPr>
      <w:r>
        <w:rPr/>
        <w:continuationSeparator/>
      </w:r>
    </w:p>
  </w:endnote>
  <w:endnote w:type="separator" w:id="1">
    <w:p>
      <w:pPr>
        <w:spacing w:line="240" w:lineRule="auto"/>
        <w:rPr/>
      </w:pPr>
      <w:r>
        <w:rPr/>
        <w:separator/>
      </w:r>
    </w:p>
  </w:endnote>
</w:endnotes>
</file>

<file path=word/fontTable.xml><?xml version="1.0" encoding="utf-8"?>
<w:fonts xmlns:w="http://schemas.openxmlformats.org/wordprocessingml/2006/main">
  <w:font w:name="黑体">
    <w:altName w:val="汉仪中黑KW"/>
    <w:panose1 w:val="02010609060101010101"/>
    <w:charset w:val="86" w:characterSet="ISO-8859-1"/>
    <w:family w:val="auto"/>
    <w:pitch w:val="default"/>
    <w:sig w:usb0="800002BF" w:usb1="38CF7CFA" w:usb2="00000016" w:usb3="00000000" w:csb0="00040001" w:csb1="00000000"/>
  </w:font>
  <w:font w:name="Microsoft YaHei">
    <w:altName w:val="汉仪旗黑"/>
    <w:panose1 w:val="00000000000000000000"/>
    <w:charset w:val="00" w:characterSet="ISO-8859-1"/>
    <w:family w:val="auto"/>
    <w:pitch w:val="default"/>
    <w:sig w:usb0="00000000" w:usb1="00000000" w:usb2="00000000" w:usb3="00000000" w:csb0="00000000" w:csb1="00000000"/>
  </w:font>
  <w:font w:name="Calibri">
    <w:altName w:val="Helvetica Neue"/>
    <w:panose1 w:val="020F0502020204030204"/>
    <w:charset w:val="00" w:characterSet="ISO-8859-1"/>
    <w:family w:val="swiss"/>
    <w:pitch w:val="default"/>
    <w:sig w:usb0="00000000" w:usb1="00000000" w:usb2="00000001" w:usb3="00000000" w:csb0="0000019F" w:csb1="00000000"/>
  </w:font>
  <w:font w:name="苹方-简">
    <w:altName w:val="Times New Roman"/>
    <w:panose1 w:val="020B0600000000000000"/>
    <w:charset w:val="00" w:characterSet="ISO-8859-1"/>
    <w:family w:val="auto"/>
    <w:pitch w:val="default"/>
    <w:sig w:usb0="A00002FF" w:usb1="7ACFFDFB" w:usb2="00000017" w:usb3="00000000" w:csb0="00040001" w:csb1="00000000"/>
  </w:font>
  <w:font w:name="宋体">
    <w:altName w:val="SimSun"/>
    <w:panose1 w:val="02010600030101010101"/>
    <w:charset w:val="86" w:characterSet="ISO-8859-1"/>
    <w:family w:val="auto"/>
    <w:pitch w:val="variable"/>
    <w:sig w:usb0="00000003" w:usb1="080E0000" w:usb2="00000010"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Helvetica Neue">
    <w:panose1 w:val="02000503000000020004"/>
    <w:charset w:val="00" w:characterSet="ISO-8859-1"/>
    <w:family w:val="auto"/>
    <w:pitch w:val="default"/>
    <w:sig w:usb0="E50002FF" w:usb1="500079DB" w:usb2="00000010" w:usb3="00000000" w:csb0="00000000" w:csb1="00000000"/>
  </w:font>
  <w:font w:name="ＭＳ ゴシック">
    <w:altName w:val="Hiragino Sans"/>
    <w:panose1 w:val="00000000000000000000"/>
    <w:charset w:val="80" w:characterSet="ISO-8859-1"/>
    <w:family w:val="modern"/>
    <w:pitch w:val="default"/>
    <w:sig w:usb0="00000000" w:usb1="00000000" w:usb2="00000010" w:usb3="00000000" w:csb0="00020000" w:csb1="00000000"/>
  </w:font>
  <w:font w:name="宋体-简">
    <w:panose1 w:val="02010800040101010101"/>
    <w:charset w:val="86" w:characterSet="ISO-8859-1"/>
    <w:family w:val="auto"/>
    <w:pitch w:val="default"/>
    <w:sig w:usb0="00000001" w:usb1="080F0000" w:usb2="00000000" w:usb3="00000000" w:csb0="00040000"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Courier">
    <w:altName w:val="苹方-简"/>
    <w:panose1 w:val="02000500000000000000"/>
    <w:charset w:val="00" w:characterSet="ISO-8859-1"/>
    <w:family w:val="auto"/>
    <w:pitch w:val="default"/>
    <w:sig w:usb0="00000000" w:usb1="00000000" w:usb2="00000000" w:usb3="00000000" w:csb0="00000001" w:csb1="00000000"/>
  </w:font>
  <w:font w:name="Cambria">
    <w:altName w:val="苹方-简"/>
    <w:panose1 w:val="02040503050406030204"/>
    <w:charset w:val="00" w:characterSet="ISO-8859-1"/>
    <w:family w:val="auto"/>
    <w:pitch w:val="default"/>
    <w:sig w:usb0="00000000" w:usb1="00000000" w:usb2="00000000" w:usb3="00000000" w:csb0="0000019F" w:csb1="00000000"/>
  </w:font>
  <w:font w:name="Hiragino Sans">
    <w:panose1 w:val="020B0700000000000000"/>
    <w:charset w:val="80" w:characterSet="ISO-8859-1"/>
    <w:family w:val="auto"/>
    <w:pitch w:val="default"/>
    <w:sig w:usb0="800002CF" w:usb1="6AC7FCFC" w:usb2="00000012" w:usb3="00000000" w:csb0="0002000D" w:csb1="00000000"/>
  </w:font>
  <w:font w:name="SimSun">
    <w:altName w:val="汉仪书宋二KW"/>
    <w:panose1 w:val="00000000000000000000"/>
    <w:charset w:val="86" w:characterSet="ISO-8859-1"/>
    <w:family w:val="auto"/>
    <w:pitch w:val="default"/>
    <w:sig w:usb0="00000000" w:usb1="00000000" w:usb2="00000000" w:usb3="00000000" w:csb0="00000000" w:csb1="00000000"/>
  </w:font>
  <w:font w:name="Arial">
    <w:panose1 w:val="020B0704020202020204"/>
    <w:charset w:val="01" w:characterSet="ISO-8859-1"/>
    <w:family w:val="swiss"/>
    <w:pitch w:val="default"/>
    <w:sig w:usb0="E0002AFF" w:usb1="C0007843" w:usb2="00000009" w:usb3="00000000" w:csb0="400001FF" w:csb1="FFFF0000"/>
  </w:font>
  <w:font w:name="Courier New">
    <w:panose1 w:val="02070609020205020404"/>
    <w:charset w:val="01" w:characterSet="ISO-8859-1"/>
    <w:family w:val="modern"/>
    <w:pitch w:val="default"/>
    <w:sig w:usb0="E0002AFF" w:usb1="C0007843" w:usb2="00000009" w:usb3="00000000" w:csb0="400001FF" w:csb1="FFFF0000"/>
  </w:font>
  <w:font w:name="汉仪旗黑">
    <w:panose1 w:val="00020600040101010101"/>
    <w:charset w:val="86" w:characterSet="ISO-8859-1"/>
    <w:family w:val="auto"/>
    <w:pitch w:val="default"/>
    <w:sig w:usb0="A00002BF" w:usb1="1ACF7CFA" w:usb2="00000016" w:usb3="00000000" w:csb0="0004009F" w:csb1="DFD70000"/>
  </w:font>
  <w:font w:name="ＭＳ 明朝">
    <w:altName w:val="Hiragino Sans"/>
    <w:panose1 w:val="00000000000000000000"/>
    <w:charset w:val="80" w:characterSet="ISO-8859-1"/>
    <w:family w:val="roman"/>
    <w:pitch w:val="default"/>
    <w:sig w:usb0="00000000" w:usb1="00000000" w:usb2="00000010" w:usb3="00000000" w:csb0="00020000" w:csb1="00000000"/>
  </w:font>
</w:fonts>
</file>

<file path=word/footer1.xml><?xml version="1.0" encoding="utf-8"?>
<w:ftr xmlns:w="http://schemas.openxmlformats.org/wordprocessingml/2006/main">
  <w:p>
    <w:pPr>
      <w:pStyle w:val="00003a"/>
      <w:jc w:val="center"/>
      <w:rPr/>
    </w:pPr>
    <w:r>
      <w:rPr>
        <w:rFonts w:eastAsia="Microsoft YaHei" w:ascii="Microsoft YaHei" w:hAnsi="Microsoft YaHei" w:cs="Microsoft YaHei"/>
        <w:b w:val="0"/>
        <w:color w:val="595959"/>
        <w:sz w:val="18"/>
      </w:rPr>
      <w:t>解决方案型测试授权需求文档</w:t>
    </w:r>
  </w:p>
</w:ftr>
</file>

<file path=word/footnotes.xml><?xml version="1.0" encoding="utf-8"?>
<w:footnotes xmlns:w="http://schemas.openxmlformats.org/wordprocessingml/2006/main">
  <w:footnote w:type="continuationSeparator" w:id="0">
    <w:p>
      <w:pPr>
        <w:spacing w:before="0" w:after="0" w:line="276" w:lineRule="auto"/>
        <w:rPr/>
      </w:pPr>
      <w:r>
        <w:rPr/>
        <w:continuationSeparator/>
      </w:r>
    </w:p>
  </w:footnote>
  <w:footnote w:type="separator" w:id="1">
    <w:p>
      <w:pPr>
        <w:spacing w:before="0" w:after="0" w:line="276" w:lineRule="auto"/>
        <w:rPr/>
      </w:pPr>
      <w:r>
        <w:rPr/>
        <w:separator/>
      </w:r>
    </w:p>
  </w:footnote>
</w:footnotes>
</file>

<file path=word/numbering.xml><?xml version="1.0" encoding="utf-8"?>
<w:numbering xmlns:w="http://schemas.openxmlformats.org/wordprocessingml/2006/main">
  <w:abstractNum w:abstractNumId="1">
    <w:lvl w:ilvl="7">
      <w:start w:val="1"/>
      <w:numFmt w:val="lowerLetter"/>
      <w:lvlText w:val="%8)"/>
      <w:lvlJc w:val="left"/>
      <w:pPr>
        <w:ind w:left="3276" w:hanging="336"/>
      </w:pPr>
    </w:lvl>
    <w:lvl w:ilvl="2">
      <w:start w:val="1"/>
      <w:numFmt w:val="lowerRoman"/>
      <w:lvlText w:val="%3)"/>
      <w:lvlJc w:val="left"/>
      <w:pPr>
        <w:ind w:left="117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0">
      <w:start w:val="1"/>
      <w:numFmt w:val="decimal"/>
      <w:lvlText w:val="%1、"/>
      <w:lvlJc w:val="left"/>
      <w:pPr>
        <w:ind w:left="336" w:hanging="336"/>
      </w:pPr>
      <w:rPr>
        <w:rFonts w:hint="default" w:ascii="" w:hAnsi="" w:cs=""/>
      </w:rPr>
    </w:lvl>
    <w:lvl w:ilvl="3">
      <w:start w:val="1"/>
      <w:numFmt w:val="decimal"/>
      <w:lvlText w:val="%4、"/>
      <w:lvlJc w:val="left"/>
      <w:pPr>
        <w:ind w:left="1596" w:hanging="336"/>
      </w:pPr>
    </w:lvl>
    <w:lvl w:ilvl="1">
      <w:start w:val="1"/>
      <w:numFmt w:val="lowerLetter"/>
      <w:lvlText w:val="%2)"/>
      <w:lvlJc w:val="left"/>
      <w:pPr>
        <w:ind w:left="756" w:hanging="336"/>
      </w:pPr>
    </w:lvl>
    <w:lvl w:ilvl="8">
      <w:start w:val="1"/>
      <w:numFmt w:val="lowerRoman"/>
      <w:lvlText w:val="%9)"/>
      <w:lvlJc w:val="left"/>
      <w:pPr>
        <w:ind w:left="3696" w:hanging="336"/>
      </w:pPr>
    </w:lvl>
  </w:abstractNum>
  <w:abstractNum w:abstractNumId="2">
    <w:lvl w:ilvl="7">
      <w:start w:val="1"/>
      <w:numFmt w:val="lowerLetter"/>
      <w:lvlText w:val="%8)"/>
      <w:lvlJc w:val="left"/>
      <w:pPr>
        <w:ind w:left="3276" w:hanging="336"/>
      </w:pPr>
    </w:lvl>
    <w:lvl w:ilvl="1">
      <w:start w:val="1"/>
      <w:numFmt w:val="lowerLetter"/>
      <w:lvlText w:val="%2)"/>
      <w:lvlJc w:val="left"/>
      <w:pPr>
        <w:ind w:left="756" w:hanging="336"/>
      </w:pPr>
    </w:lvl>
    <w:lvl w:ilvl="5">
      <w:start w:val="1"/>
      <w:numFmt w:val="lowerRoman"/>
      <w:lvlText w:val="%6)"/>
      <w:lvlJc w:val="left"/>
      <w:pPr>
        <w:ind w:left="2436" w:hanging="336"/>
      </w:pPr>
    </w:lvl>
    <w:lvl w:ilvl="4">
      <w:start w:val="1"/>
      <w:numFmt w:val="lowerLetter"/>
      <w:lvlText w:val="%5)"/>
      <w:lvlJc w:val="left"/>
      <w:pPr>
        <w:ind w:left="2016" w:hanging="336"/>
      </w:pPr>
    </w:lvl>
    <w:lvl w:ilvl="6">
      <w:start w:val="1"/>
      <w:numFmt w:val="decimal"/>
      <w:lvlText w:val="%7、"/>
      <w:lvlJc w:val="left"/>
      <w:pPr>
        <w:ind w:left="2856" w:hanging="336"/>
      </w:pPr>
    </w:lvl>
    <w:lvl w:ilvl="3">
      <w:start w:val="1"/>
      <w:numFmt w:val="decimal"/>
      <w:lvlText w:val="%4、"/>
      <w:lvlJc w:val="left"/>
      <w:pPr>
        <w:ind w:left="1596" w:hanging="336"/>
      </w:pPr>
    </w:lvl>
    <w:lvl w:ilvl="0">
      <w:start w:val="1"/>
      <w:numFmt w:val="decimal"/>
      <w:lvlText w:val="%1、"/>
      <w:lvlJc w:val="left"/>
      <w:pPr>
        <w:ind w:left="336" w:hanging="336"/>
      </w:pPr>
      <w:rPr>
        <w:rFonts w:hint="default" w:ascii="" w:hAnsi="" w:cs=""/>
      </w:rPr>
    </w:lvl>
    <w:lvl w:ilvl="8">
      <w:start w:val="1"/>
      <w:numFmt w:val="lowerRoman"/>
      <w:lvlText w:val="%9)"/>
      <w:lvlJc w:val="left"/>
      <w:pPr>
        <w:ind w:left="3696" w:hanging="336"/>
      </w:pPr>
    </w:lvl>
    <w:lvl w:ilvl="2">
      <w:start w:val="1"/>
      <w:numFmt w:val="lowerRoman"/>
      <w:lvlText w:val="%3)"/>
      <w:lvlJc w:val="left"/>
      <w:pPr>
        <w:ind w:left="1176" w:hanging="336"/>
      </w:pPr>
    </w:lvl>
  </w:abstractNum>
  <w:abstractNum w:abstractNumId="3">
    <w:lvl w:ilvl="2">
      <w:start w:val="1"/>
      <w:numFmt w:val="lowerRoman"/>
      <w:lvlText w:val="%3."/>
      <w:lvlJc w:val="left"/>
      <w:pPr>
        <w:ind w:left="1176" w:hanging="336"/>
      </w:pPr>
    </w:lvl>
    <w:lvl w:ilvl="3">
      <w:start w:val="1"/>
      <w:numFmt w:val="decimal"/>
      <w:lvlText w:val="%4."/>
      <w:lvlJc w:val="left"/>
      <w:pPr>
        <w:ind w:left="1596" w:hanging="336"/>
      </w:pPr>
    </w:lvl>
    <w:lvl w:ilvl="6">
      <w:start w:val="1"/>
      <w:numFmt w:val="decimal"/>
      <w:lvlText w:val="%7."/>
      <w:lvlJc w:val="left"/>
      <w:pPr>
        <w:ind w:left="2856" w:hanging="336"/>
      </w:pPr>
    </w:lvl>
    <w:lvl w:ilvl="7">
      <w:start w:val="1"/>
      <w:numFmt w:val="lowerLetter"/>
      <w:lvlText w:val="%8."/>
      <w:lvlJc w:val="left"/>
      <w:pPr>
        <w:ind w:left="3276" w:hanging="336"/>
      </w:pPr>
    </w:lvl>
    <w:lvl w:ilvl="0">
      <w:start w:val="1"/>
      <w:numFmt w:val="decimal"/>
      <w:lvlText w:val="%1."/>
      <w:lvlJc w:val="left"/>
      <w:pPr>
        <w:ind w:left="336" w:hanging="336"/>
      </w:pPr>
      <w:rPr>
        <w:rFonts w:hint="default" w:ascii="" w:hAnsi="" w:cs=""/>
      </w:rPr>
    </w:lvl>
    <w:lvl w:ilvl="5">
      <w:start w:val="1"/>
      <w:numFmt w:val="lowerRoman"/>
      <w:lvlText w:val="%6."/>
      <w:lvlJc w:val="left"/>
      <w:pPr>
        <w:ind w:left="2436" w:hanging="336"/>
      </w:pPr>
    </w:lvl>
    <w:lvl w:ilvl="8">
      <w:start w:val="1"/>
      <w:numFmt w:val="lowerRoman"/>
      <w:lvlText w:val="%9."/>
      <w:lvlJc w:val="left"/>
      <w:pPr>
        <w:ind w:left="3696" w:hanging="336"/>
      </w:pPr>
    </w:lvl>
    <w:lvl w:ilvl="1">
      <w:start w:val="1"/>
      <w:numFmt w:val="lowerLetter"/>
      <w:lvlText w:val="%2."/>
      <w:lvlJc w:val="left"/>
      <w:pPr>
        <w:ind w:left="756" w:hanging="336"/>
      </w:pPr>
    </w:lvl>
    <w:lvl w:ilvl="4">
      <w:start w:val="1"/>
      <w:numFmt w:val="lowerLetter"/>
      <w:lvlText w:val="%5."/>
      <w:lvlJc w:val="left"/>
      <w:pPr>
        <w:ind w:left="2016" w:hanging="336"/>
      </w:pPr>
    </w:lvl>
  </w:abstractNum>
  <w:abstractNum w:abstractNumId="4">
    <w:nsid w:val="DF3D22F0"/>
    <w:multiLevelType w:val="multilevel"/>
    <w:tmpl w:val="DF3D22F0"/>
    <w:lvl w:ilvl="6" w:tentative="false">
      <w:start w:val="1"/>
      <w:numFmt w:val="decimal"/>
      <w:lvlText w:val="%7."/>
      <w:lvlJc w:val="left"/>
      <w:pPr>
        <w:ind w:left="2856" w:hanging="336"/>
      </w:pPr>
    </w:lvl>
    <w:lvl w:ilvl="3" w:tentative="false">
      <w:start w:val="1"/>
      <w:numFmt w:val="decimal"/>
      <w:lvlText w:val="%4."/>
      <w:lvlJc w:val="left"/>
      <w:pPr>
        <w:ind w:left="1596" w:hanging="336"/>
      </w:pPr>
    </w:lvl>
    <w:lvl w:ilvl="0" w:tentative="false">
      <w:start w:val="1"/>
      <w:numFmt w:val="decimal"/>
      <w:lvlText w:val="%1."/>
      <w:lvlJc w:val="left"/>
      <w:pPr>
        <w:ind w:left="336" w:hanging="336"/>
      </w:pPr>
      <w:rPr>
        <w:rFonts w:hint="default"/>
      </w:rPr>
    </w:lvl>
    <w:lvl w:ilvl="7" w:tentative="false">
      <w:start w:val="1"/>
      <w:numFmt w:val="lowerLetter"/>
      <w:lvlText w:val="%8."/>
      <w:lvlJc w:val="left"/>
      <w:pPr>
        <w:ind w:left="3276" w:hanging="336"/>
      </w:pPr>
    </w:lvl>
    <w:lvl w:ilvl="8" w:tentative="false">
      <w:start w:val="1"/>
      <w:numFmt w:val="lowerRoman"/>
      <w:lvlText w:val="%9."/>
      <w:lvlJc w:val="left"/>
      <w:pPr>
        <w:ind w:left="3696" w:hanging="336"/>
      </w:pPr>
    </w:lvl>
    <w:lvl w:ilvl="5" w:tentative="false">
      <w:start w:val="1"/>
      <w:numFmt w:val="lowerRoman"/>
      <w:lvlText w:val="%6."/>
      <w:lvlJc w:val="left"/>
      <w:pPr>
        <w:ind w:left="2436" w:hanging="336"/>
      </w:pPr>
    </w:lvl>
    <w:lvl w:ilvl="2" w:tentative="false">
      <w:start w:val="1"/>
      <w:numFmt w:val="lowerRoman"/>
      <w:lvlText w:val="%3."/>
      <w:lvlJc w:val="left"/>
      <w:pPr>
        <w:ind w:left="1176" w:hanging="336"/>
      </w:pPr>
    </w:lvl>
    <w:lvl w:ilvl="4" w:tentative="false">
      <w:start w:val="1"/>
      <w:numFmt w:val="lowerLetter"/>
      <w:lvlText w:val="%5."/>
      <w:lvlJc w:val="left"/>
      <w:pPr>
        <w:ind w:left="2016" w:hanging="336"/>
      </w:pPr>
    </w:lvl>
    <w:lvl w:ilvl="1" w:tentative="false">
      <w:start w:val="1"/>
      <w:numFmt w:val="lowerLetter"/>
      <w:lvlText w:val="%2."/>
      <w:lvlJc w:val="left"/>
      <w:pPr>
        <w:ind w:left="756" w:hanging="336"/>
      </w:pPr>
    </w:lvl>
  </w:abstractNum>
  <w:abstractNum w:abstractNumId="5">
    <w:nsid w:val="BFFB7CE3"/>
    <w:multiLevelType w:val="multilevel"/>
    <w:tmpl w:val="BFFB7CE3"/>
    <w:lvl w:ilvl="1" w:tentative="false">
      <w:start w:val="1"/>
      <w:numFmt w:val="lowerLetter"/>
      <w:lvlText w:val="%2."/>
      <w:lvlJc w:val="left"/>
      <w:pPr>
        <w:ind w:left="756" w:hanging="336"/>
      </w:pPr>
    </w:lvl>
    <w:lvl w:ilvl="7" w:tentative="false">
      <w:start w:val="1"/>
      <w:numFmt w:val="lowerLetter"/>
      <w:lvlText w:val="%8."/>
      <w:lvlJc w:val="left"/>
      <w:pPr>
        <w:ind w:left="3276" w:hanging="336"/>
      </w:pPr>
    </w:lvl>
    <w:lvl w:ilvl="5" w:tentative="false">
      <w:start w:val="1"/>
      <w:numFmt w:val="lowerRoman"/>
      <w:lvlText w:val="%6."/>
      <w:lvlJc w:val="left"/>
      <w:pPr>
        <w:ind w:left="2436" w:hanging="336"/>
      </w:pPr>
    </w:lvl>
    <w:lvl w:ilvl="4" w:tentative="false">
      <w:start w:val="1"/>
      <w:numFmt w:val="lowerLetter"/>
      <w:lvlText w:val="%5."/>
      <w:lvlJc w:val="left"/>
      <w:pPr>
        <w:ind w:left="2016" w:hanging="336"/>
      </w:pPr>
    </w:lvl>
    <w:lvl w:ilvl="8" w:tentative="false">
      <w:start w:val="1"/>
      <w:numFmt w:val="lowerRoman"/>
      <w:lvlText w:val="%9."/>
      <w:lvlJc w:val="left"/>
      <w:pPr>
        <w:ind w:left="3696" w:hanging="336"/>
      </w:pPr>
    </w:lvl>
    <w:lvl w:ilvl="0" w:tentative="false">
      <w:start w:val="1"/>
      <w:numFmt w:val="decimal"/>
      <w:lvlText w:val="%1."/>
      <w:lvlJc w:val="left"/>
      <w:pPr>
        <w:ind w:left="336" w:hanging="336"/>
      </w:pPr>
      <w:rPr>
        <w:rFonts w:hint="default"/>
      </w:rPr>
    </w:lvl>
    <w:lvl w:ilvl="3" w:tentative="false">
      <w:start w:val="1"/>
      <w:numFmt w:val="decimal"/>
      <w:lvlText w:val="%4."/>
      <w:lvlJc w:val="left"/>
      <w:pPr>
        <w:ind w:left="1596" w:hanging="336"/>
      </w:pPr>
    </w:lvl>
    <w:lvl w:ilvl="2" w:tentative="false">
      <w:start w:val="1"/>
      <w:numFmt w:val="lowerRoman"/>
      <w:lvlText w:val="%3."/>
      <w:lvlJc w:val="left"/>
      <w:pPr>
        <w:ind w:left="1176" w:hanging="336"/>
      </w:pPr>
    </w:lvl>
    <w:lvl w:ilvl="6" w:tentative="false">
      <w:start w:val="1"/>
      <w:numFmt w:val="decimal"/>
      <w:lvlText w:val="%7."/>
      <w:lvlJc w:val="left"/>
      <w:pPr>
        <w:ind w:left="2856" w:hanging="336"/>
      </w:pPr>
    </w:lvl>
  </w:abstractNum>
  <w:abstractNum w:abstractNumId="6">
    <w:lvl w:ilvl="7">
      <w:start w:val="1"/>
      <w:numFmt w:val="lowerLetter"/>
      <w:lvlText w:val="%8)"/>
      <w:lvlJc w:val="left"/>
      <w:pPr>
        <w:ind w:left="3276" w:hanging="336"/>
      </w:pPr>
    </w:lvl>
    <w:lvl w:ilvl="0">
      <w:start w:val="5"/>
      <w:numFmt w:val="decimal"/>
      <w:lvlText w:val="%1、"/>
      <w:lvlJc w:val="left"/>
      <w:pPr>
        <w:ind w:left="336" w:hanging="336"/>
      </w:pPr>
      <w:rPr>
        <w:rFonts w:hint="default" w:ascii="" w:hAnsi="" w:cs=""/>
      </w:rPr>
    </w:lvl>
    <w:lvl w:ilvl="3">
      <w:start w:val="1"/>
      <w:numFmt w:val="decimal"/>
      <w:lvlText w:val="%4、"/>
      <w:lvlJc w:val="left"/>
      <w:pPr>
        <w:ind w:left="1596" w:hanging="336"/>
      </w:pPr>
    </w:lvl>
    <w:lvl w:ilvl="6">
      <w:start w:val="1"/>
      <w:numFmt w:val="decimal"/>
      <w:lvlText w:val="%7、"/>
      <w:lvlJc w:val="left"/>
      <w:pPr>
        <w:ind w:left="2856" w:hanging="336"/>
      </w:pPr>
    </w:lvl>
    <w:lvl w:ilvl="5">
      <w:start w:val="1"/>
      <w:numFmt w:val="lowerRoman"/>
      <w:lvlText w:val="%6)"/>
      <w:lvlJc w:val="left"/>
      <w:pPr>
        <w:ind w:left="2436" w:hanging="336"/>
      </w:pPr>
    </w:lvl>
    <w:lvl w:ilvl="1">
      <w:start w:val="1"/>
      <w:numFmt w:val="lowerLetter"/>
      <w:lvlText w:val="%2)"/>
      <w:lvlJc w:val="left"/>
      <w:pPr>
        <w:ind w:left="756" w:hanging="336"/>
      </w:pPr>
    </w:lvl>
    <w:lvl w:ilvl="4">
      <w:start w:val="1"/>
      <w:numFmt w:val="lowerLetter"/>
      <w:lvlText w:val="%5)"/>
      <w:lvlJc w:val="left"/>
      <w:pPr>
        <w:ind w:left="2016" w:hanging="336"/>
      </w:pPr>
    </w:lvl>
    <w:lvl w:ilvl="2">
      <w:start w:val="1"/>
      <w:numFmt w:val="lowerRoman"/>
      <w:lvlText w:val="%3)"/>
      <w:lvlJc w:val="left"/>
      <w:pPr>
        <w:ind w:left="1176" w:hanging="336"/>
      </w:pPr>
    </w:lvl>
    <w:lvl w:ilvl="8">
      <w:start w:val="1"/>
      <w:numFmt w:val="lowerRoman"/>
      <w:lvlText w:val="%9)"/>
      <w:lvlJc w:val="left"/>
      <w:pPr>
        <w:ind w:left="3696" w:hanging="336"/>
      </w:pPr>
    </w:lvl>
  </w:abstractNum>
  <w:abstractNum w:abstractNumId="7">
    <w:lvl w:ilvl="4">
      <w:start w:val="1"/>
      <w:numFmt w:val="lowerLetter"/>
      <w:lvlText w:val="%5."/>
      <w:lvlJc w:val="left"/>
      <w:pPr>
        <w:ind w:left="2016" w:hanging="336"/>
      </w:pPr>
    </w:lvl>
    <w:lvl w:ilvl="8">
      <w:start w:val="1"/>
      <w:numFmt w:val="lowerRoman"/>
      <w:lvlText w:val="%9."/>
      <w:lvlJc w:val="left"/>
      <w:pPr>
        <w:ind w:left="3696" w:hanging="336"/>
      </w:pPr>
    </w:lvl>
    <w:lvl w:ilvl="5">
      <w:start w:val="1"/>
      <w:numFmt w:val="lowerRoman"/>
      <w:lvlText w:val="%6."/>
      <w:lvlJc w:val="left"/>
      <w:pPr>
        <w:ind w:left="2436" w:hanging="336"/>
      </w:pPr>
    </w:lvl>
    <w:lvl w:ilvl="2">
      <w:start w:val="1"/>
      <w:numFmt w:val="lowerRoman"/>
      <w:lvlText w:val="%3."/>
      <w:lvlJc w:val="left"/>
      <w:pPr>
        <w:ind w:left="1176" w:hanging="336"/>
      </w:pPr>
    </w:lvl>
    <w:lvl w:ilvl="3">
      <w:start w:val="1"/>
      <w:numFmt w:val="decimal"/>
      <w:lvlText w:val="%4."/>
      <w:lvlJc w:val="left"/>
      <w:pPr>
        <w:ind w:left="1596" w:hanging="336"/>
      </w:pPr>
    </w:lvl>
    <w:lvl w:ilvl="6">
      <w:start w:val="1"/>
      <w:numFmt w:val="decimal"/>
      <w:lvlText w:val="%7."/>
      <w:lvlJc w:val="left"/>
      <w:pPr>
        <w:ind w:left="2856" w:hanging="336"/>
      </w:pPr>
    </w:lvl>
    <w:lvl w:ilvl="7">
      <w:start w:val="1"/>
      <w:numFmt w:val="lowerLetter"/>
      <w:lvlText w:val="%8."/>
      <w:lvlJc w:val="left"/>
      <w:pPr>
        <w:ind w:left="3276" w:hanging="336"/>
      </w:pPr>
    </w:lvl>
    <w:lvl w:ilvl="0">
      <w:start w:val="3"/>
      <w:numFmt w:val="decimal"/>
      <w:lvlText w:val="%1."/>
      <w:lvlJc w:val="left"/>
      <w:pPr>
        <w:ind w:left="336" w:hanging="336"/>
      </w:pPr>
      <w:rPr>
        <w:rFonts w:hint="default" w:ascii="" w:hAnsi="" w:cs=""/>
      </w:rPr>
    </w:lvl>
    <w:lvl w:ilvl="1">
      <w:start w:val="1"/>
      <w:numFmt w:val="lowerLetter"/>
      <w:lvlText w:val="%2."/>
      <w:lvlJc w:val="left"/>
      <w:pPr>
        <w:ind w:left="756" w:hanging="336"/>
      </w:pPr>
    </w:lvl>
  </w:abstractNum>
  <w:abstractNum w:abstractNumId="8">
    <w:nsid w:val="FFFFFF82"/>
    <w:multiLevelType w:val="singleLevel"/>
    <w:tmpl w:val="FFFFFF82"/>
    <w:lvl w:ilvl="0" w:tentative="false">
      <w:start w:val="1"/>
      <w:numFmt w:val="bullet"/>
      <w:pStyle w:val="00000c"/>
      <w:lvlText w:val=""/>
      <w:lvlJc w:val="left"/>
      <w:pPr>
        <w:tabs>
          <w:tab w:val="left" w:pos="1080"/>
        </w:tabs>
        <w:ind w:left="1080" w:hanging="360"/>
      </w:pPr>
      <w:rPr>
        <w:rFonts w:hint="default" w:ascii="Symbol" w:hAnsi="Symbol"/>
      </w:rPr>
    </w:lvl>
  </w:abstractNum>
  <w:abstractNum w:abstractNumId="9">
    <w:nsid w:val="FFFFFF7F"/>
    <w:multiLevelType w:val="singleLevel"/>
    <w:tmpl w:val="FFFFFF7F"/>
    <w:lvl w:ilvl="0" w:tentative="false">
      <w:start w:val="1"/>
      <w:numFmt w:val="decimal"/>
      <w:pStyle w:val="00000a"/>
      <w:lvlText w:val="%1."/>
      <w:lvlJc w:val="left"/>
      <w:pPr>
        <w:tabs>
          <w:tab w:val="left" w:pos="720"/>
        </w:tabs>
        <w:ind w:left="720" w:hanging="360"/>
      </w:pPr>
    </w:lvl>
  </w:abstractNum>
  <w:abstractNum w:abstractNumId="10">
    <w:lvl w:ilvl="3">
      <w:start w:val="1"/>
      <w:numFmt w:val="decimal"/>
      <w:lvlText w:val="%4、"/>
      <w:lvlJc w:val="left"/>
      <w:pPr>
        <w:ind w:left="1596" w:hanging="336"/>
      </w:pPr>
    </w:lvl>
    <w:lvl w:ilvl="5">
      <w:start w:val="1"/>
      <w:numFmt w:val="lowerRoman"/>
      <w:lvlText w:val="%6)"/>
      <w:lvlJc w:val="left"/>
      <w:pPr>
        <w:ind w:left="2436" w:hanging="336"/>
      </w:pPr>
    </w:lvl>
    <w:lvl w:ilvl="6">
      <w:start w:val="1"/>
      <w:numFmt w:val="decimal"/>
      <w:lvlText w:val="%7、"/>
      <w:lvlJc w:val="left"/>
      <w:pPr>
        <w:ind w:left="2856" w:hanging="336"/>
      </w:pPr>
    </w:lvl>
    <w:lvl w:ilvl="0">
      <w:start w:val="1"/>
      <w:numFmt w:val="decimal"/>
      <w:lvlText w:val="%1、"/>
      <w:lvlJc w:val="left"/>
      <w:pPr>
        <w:ind w:left="336" w:hanging="336"/>
      </w:pPr>
      <w:rPr>
        <w:rFonts w:hint="default" w:ascii="" w:hAnsi="" w:cs=""/>
      </w:rPr>
    </w:lvl>
    <w:lvl w:ilvl="2">
      <w:start w:val="1"/>
      <w:numFmt w:val="lowerRoman"/>
      <w:lvlText w:val="%3)"/>
      <w:lvlJc w:val="left"/>
      <w:pPr>
        <w:ind w:left="1176" w:hanging="336"/>
      </w:pPr>
    </w:lvl>
    <w:lvl w:ilvl="8">
      <w:start w:val="1"/>
      <w:numFmt w:val="lowerRoman"/>
      <w:lvlText w:val="%9)"/>
      <w:lvlJc w:val="left"/>
      <w:pPr>
        <w:ind w:left="3696" w:hanging="336"/>
      </w:pPr>
    </w:lvl>
    <w:lvl w:ilvl="4">
      <w:start w:val="1"/>
      <w:numFmt w:val="lowerLetter"/>
      <w:lvlText w:val="%5)"/>
      <w:lvlJc w:val="left"/>
      <w:pPr>
        <w:ind w:left="2016" w:hanging="336"/>
      </w:pPr>
    </w:lvl>
    <w:lvl w:ilvl="7">
      <w:start w:val="1"/>
      <w:numFmt w:val="lowerLetter"/>
      <w:lvlText w:val="%8)"/>
      <w:lvlJc w:val="left"/>
      <w:pPr>
        <w:ind w:left="3276" w:hanging="336"/>
      </w:pPr>
    </w:lvl>
    <w:lvl w:ilvl="1">
      <w:start w:val="1"/>
      <w:numFmt w:val="lowerLetter"/>
      <w:lvlText w:val="%2)"/>
      <w:lvlJc w:val="left"/>
      <w:pPr>
        <w:ind w:left="756" w:hanging="336"/>
      </w:pPr>
    </w:lvl>
  </w:abstractNum>
  <w:abstractNum w:abstractNumId="11">
    <w:nsid w:val="FFFFFF7E"/>
    <w:multiLevelType w:val="singleLevel"/>
    <w:tmpl w:val="FFFFFF7E"/>
    <w:lvl w:ilvl="0" w:tentative="false">
      <w:start w:val="1"/>
      <w:numFmt w:val="decimal"/>
      <w:pStyle w:val="000008"/>
      <w:lvlText w:val="%1."/>
      <w:lvlJc w:val="left"/>
      <w:pPr>
        <w:tabs>
          <w:tab w:val="left" w:pos="1080"/>
        </w:tabs>
        <w:ind w:left="1080" w:hanging="360"/>
      </w:pPr>
    </w:lvl>
  </w:abstractNum>
  <w:abstractNum w:abstractNumId="12">
    <w:lvl w:ilvl="0">
      <w:start w:val="1"/>
      <w:numFmt w:val="decimal"/>
      <w:lvlText w:val="%1、"/>
      <w:lvlJc w:val="left"/>
      <w:pPr>
        <w:ind w:left="336" w:hanging="336"/>
      </w:pPr>
      <w:rPr>
        <w:rFonts w:hint="default" w:ascii="" w:hAnsi="" w:cs=""/>
      </w:rPr>
    </w:lvl>
    <w:lvl w:ilvl="2">
      <w:start w:val="1"/>
      <w:numFmt w:val="lowerRoman"/>
      <w:lvlText w:val="%3)"/>
      <w:lvlJc w:val="left"/>
      <w:pPr>
        <w:ind w:left="1176" w:hanging="336"/>
      </w:pPr>
    </w:lvl>
    <w:lvl w:ilvl="8">
      <w:start w:val="1"/>
      <w:numFmt w:val="lowerRoman"/>
      <w:lvlText w:val="%9)"/>
      <w:lvlJc w:val="left"/>
      <w:pPr>
        <w:ind w:left="3696" w:hanging="336"/>
      </w:pPr>
    </w:lvl>
    <w:lvl w:ilvl="4">
      <w:start w:val="1"/>
      <w:numFmt w:val="lowerLetter"/>
      <w:lvlText w:val="%5)"/>
      <w:lvlJc w:val="left"/>
      <w:pPr>
        <w:ind w:left="2016" w:hanging="336"/>
      </w:pPr>
    </w:lvl>
    <w:lvl w:ilvl="6">
      <w:start w:val="1"/>
      <w:numFmt w:val="decimal"/>
      <w:lvlText w:val="%7、"/>
      <w:lvlJc w:val="left"/>
      <w:pPr>
        <w:ind w:left="2856" w:hanging="336"/>
      </w:pPr>
    </w:lvl>
    <w:lvl w:ilvl="7">
      <w:start w:val="1"/>
      <w:numFmt w:val="lowerLetter"/>
      <w:lvlText w:val="%8)"/>
      <w:lvlJc w:val="left"/>
      <w:pPr>
        <w:ind w:left="3276" w:hanging="336"/>
      </w:pPr>
    </w:lvl>
    <w:lvl w:ilvl="1">
      <w:start w:val="1"/>
      <w:numFmt w:val="lowerLetter"/>
      <w:lvlText w:val="%2)"/>
      <w:lvlJc w:val="left"/>
      <w:pPr>
        <w:ind w:left="756" w:hanging="336"/>
      </w:pPr>
    </w:lvl>
    <w:lvl w:ilvl="5">
      <w:start w:val="1"/>
      <w:numFmt w:val="lowerRoman"/>
      <w:lvlText w:val="%6)"/>
      <w:lvlJc w:val="left"/>
      <w:pPr>
        <w:ind w:left="2436" w:hanging="336"/>
      </w:pPr>
    </w:lvl>
    <w:lvl w:ilvl="3">
      <w:start w:val="1"/>
      <w:numFmt w:val="decimal"/>
      <w:lvlText w:val="%4、"/>
      <w:lvlJc w:val="left"/>
      <w:pPr>
        <w:ind w:left="1596" w:hanging="336"/>
      </w:pPr>
    </w:lvl>
  </w:abstractNum>
  <w:abstractNum w:abstractNumId="13">
    <w:nsid w:val="FFFFFF89"/>
    <w:multiLevelType w:val="singleLevel"/>
    <w:tmpl w:val="FFFFFF89"/>
    <w:lvl w:ilvl="0" w:tentative="false">
      <w:start w:val="1"/>
      <w:numFmt w:val="bullet"/>
      <w:pStyle w:val="000012"/>
      <w:lvlText w:val=""/>
      <w:lvlJc w:val="left"/>
      <w:pPr>
        <w:tabs>
          <w:tab w:val="left" w:pos="360"/>
        </w:tabs>
        <w:ind w:left="360" w:hanging="360"/>
      </w:pPr>
      <w:rPr>
        <w:rFonts w:hint="default" w:ascii="Symbol" w:hAnsi="Symbol"/>
      </w:rPr>
    </w:lvl>
  </w:abstractNum>
  <w:abstractNum w:abstractNumId="14">
    <w:lvl w:ilvl="3">
      <w:start w:val="1"/>
      <w:numFmt w:val="decimal"/>
      <w:lvlText w:val="%4、"/>
      <w:lvlJc w:val="left"/>
      <w:pPr>
        <w:ind w:left="1596" w:hanging="336"/>
      </w:pPr>
    </w:lvl>
    <w:lvl w:ilvl="1">
      <w:start w:val="1"/>
      <w:numFmt w:val="lowerLetter"/>
      <w:lvlText w:val="%2)"/>
      <w:lvlJc w:val="left"/>
      <w:pPr>
        <w:ind w:left="756" w:hanging="336"/>
      </w:pPr>
    </w:lvl>
    <w:lvl w:ilvl="7">
      <w:start w:val="1"/>
      <w:numFmt w:val="lowerLetter"/>
      <w:lvlText w:val="%8)"/>
      <w:lvlJc w:val="left"/>
      <w:pPr>
        <w:ind w:left="3276" w:hanging="336"/>
      </w:pPr>
    </w:lvl>
    <w:lvl w:ilvl="8">
      <w:start w:val="1"/>
      <w:numFmt w:val="lowerRoman"/>
      <w:lvlText w:val="%9)"/>
      <w:lvlJc w:val="left"/>
      <w:pPr>
        <w:ind w:left="3696" w:hanging="336"/>
      </w:pPr>
    </w:lvl>
    <w:lvl w:ilvl="5">
      <w:start w:val="1"/>
      <w:numFmt w:val="lowerRoman"/>
      <w:lvlText w:val="%6)"/>
      <w:lvlJc w:val="left"/>
      <w:pPr>
        <w:ind w:left="2436" w:hanging="336"/>
      </w:pPr>
    </w:lvl>
    <w:lvl w:ilvl="6">
      <w:start w:val="1"/>
      <w:numFmt w:val="decimal"/>
      <w:lvlText w:val="%7、"/>
      <w:lvlJc w:val="left"/>
      <w:pPr>
        <w:ind w:left="2856" w:hanging="336"/>
      </w:pPr>
    </w:lvl>
    <w:lvl w:ilvl="4">
      <w:start w:val="1"/>
      <w:numFmt w:val="lowerLetter"/>
      <w:lvlText w:val="%5)"/>
      <w:lvlJc w:val="left"/>
      <w:pPr>
        <w:ind w:left="2016" w:hanging="336"/>
      </w:pPr>
    </w:lvl>
    <w:lvl w:ilvl="2">
      <w:start w:val="1"/>
      <w:numFmt w:val="lowerRoman"/>
      <w:lvlText w:val="%3)"/>
      <w:lvlJc w:val="left"/>
      <w:pPr>
        <w:ind w:left="1176" w:hanging="336"/>
      </w:pPr>
    </w:lvl>
    <w:lvl w:ilvl="0">
      <w:start w:val="2"/>
      <w:numFmt w:val="decimal"/>
      <w:lvlText w:val="%1、"/>
      <w:lvlJc w:val="left"/>
      <w:pPr>
        <w:ind w:left="336" w:hanging="336"/>
      </w:pPr>
      <w:rPr>
        <w:rFonts w:hint="default" w:ascii="" w:hAnsi="" w:cs=""/>
      </w:rPr>
    </w:lvl>
  </w:abstractNum>
  <w:abstractNum w:abstractNumId="15">
    <w:lvl w:ilvl="8">
      <w:start w:val="1"/>
      <w:numFmt w:val="lowerRoman"/>
      <w:lvlText w:val="%9)"/>
      <w:lvlJc w:val="left"/>
      <w:pPr>
        <w:ind w:left="3696" w:hanging="336"/>
      </w:pPr>
    </w:lvl>
    <w:lvl w:ilvl="3">
      <w:start w:val="1"/>
      <w:numFmt w:val="decimal"/>
      <w:lvlText w:val="%4、"/>
      <w:lvlJc w:val="left"/>
      <w:pPr>
        <w:ind w:left="1596" w:hanging="336"/>
      </w:pPr>
    </w:lvl>
    <w:lvl w:ilvl="4">
      <w:start w:val="1"/>
      <w:numFmt w:val="lowerLetter"/>
      <w:lvlText w:val="%5)"/>
      <w:lvlJc w:val="left"/>
      <w:pPr>
        <w:ind w:left="2016" w:hanging="336"/>
      </w:pPr>
    </w:lvl>
    <w:lvl w:ilvl="7">
      <w:start w:val="1"/>
      <w:numFmt w:val="lowerLetter"/>
      <w:lvlText w:val="%8)"/>
      <w:lvlJc w:val="left"/>
      <w:pPr>
        <w:ind w:left="3276" w:hanging="336"/>
      </w:pPr>
    </w:lvl>
    <w:lvl w:ilvl="2">
      <w:start w:val="1"/>
      <w:numFmt w:val="lowerRoman"/>
      <w:lvlText w:val="%3)"/>
      <w:lvlJc w:val="left"/>
      <w:pPr>
        <w:ind w:left="1176" w:hanging="336"/>
      </w:pPr>
    </w:lvl>
    <w:lvl w:ilvl="1">
      <w:start w:val="1"/>
      <w:numFmt w:val="lowerLetter"/>
      <w:lvlText w:val="%2)"/>
      <w:lvlJc w:val="left"/>
      <w:pPr>
        <w:ind w:left="756" w:hanging="336"/>
      </w:pPr>
    </w:lvl>
    <w:lvl w:ilvl="0">
      <w:start w:val="1"/>
      <w:numFmt w:val="decimal"/>
      <w:lvlText w:val="%1、"/>
      <w:lvlJc w:val="left"/>
      <w:pPr>
        <w:ind w:left="336" w:hanging="336"/>
      </w:pPr>
      <w:rPr>
        <w:rFonts w:hint="default" w:ascii="" w:hAnsi="" w:cs=""/>
      </w:rPr>
    </w:lvl>
    <w:lvl w:ilvl="6">
      <w:start w:val="1"/>
      <w:numFmt w:val="decimal"/>
      <w:lvlText w:val="%7、"/>
      <w:lvlJc w:val="left"/>
      <w:pPr>
        <w:ind w:left="2856" w:hanging="336"/>
      </w:pPr>
    </w:lvl>
    <w:lvl w:ilvl="5">
      <w:start w:val="1"/>
      <w:numFmt w:val="lowerRoman"/>
      <w:lvlText w:val="%6)"/>
      <w:lvlJc w:val="left"/>
      <w:pPr>
        <w:ind w:left="2436" w:hanging="336"/>
      </w:pPr>
    </w:lvl>
  </w:abstractNum>
  <w:abstractNum w:abstractNumId="16">
    <w:lvl w:ilvl="5">
      <w:start w:val="1"/>
      <w:numFmt w:val="lowerRoman"/>
      <w:lvlText w:val="%6)"/>
      <w:lvlJc w:val="left"/>
      <w:pPr>
        <w:ind w:left="2436" w:hanging="336"/>
      </w:pPr>
    </w:lvl>
    <w:lvl w:ilvl="4">
      <w:start w:val="1"/>
      <w:numFmt w:val="lowerLetter"/>
      <w:lvlText w:val="%5)"/>
      <w:lvlJc w:val="left"/>
      <w:pPr>
        <w:ind w:left="2016" w:hanging="336"/>
      </w:pPr>
    </w:lvl>
    <w:lvl w:ilvl="0">
      <w:start w:val="1"/>
      <w:numFmt w:val="decimal"/>
      <w:lvlText w:val="%1、"/>
      <w:lvlJc w:val="left"/>
      <w:pPr>
        <w:tabs/>
        <w:ind w:left="336" w:hanging="336"/>
      </w:pPr>
      <w:rPr>
        <w:rFonts w:hint="default" w:ascii="" w:hAnsi="" w:cs=""/>
      </w:rPr>
    </w:lvl>
    <w:lvl w:ilvl="8">
      <w:start w:val="1"/>
      <w:numFmt w:val="lowerRoman"/>
      <w:lvlText w:val="%9)"/>
      <w:lvlJc w:val="left"/>
      <w:pPr>
        <w:ind w:left="3696" w:hanging="336"/>
      </w:pPr>
    </w:lvl>
    <w:lvl w:ilvl="3">
      <w:start w:val="1"/>
      <w:numFmt w:val="decimal"/>
      <w:lvlText w:val="%4、"/>
      <w:lvlJc w:val="left"/>
      <w:pPr>
        <w:ind w:left="1596" w:hanging="336"/>
      </w:pPr>
    </w:lvl>
    <w:lvl w:ilvl="2">
      <w:start w:val="1"/>
      <w:numFmt w:val="lowerRoman"/>
      <w:lvlText w:val="%3)"/>
      <w:lvlJc w:val="left"/>
      <w:pPr>
        <w:ind w:left="1176" w:hanging="336"/>
      </w:pPr>
    </w:lvl>
    <w:lvl w:ilvl="6">
      <w:start w:val="1"/>
      <w:numFmt w:val="decimal"/>
      <w:lvlText w:val="%7、"/>
      <w:lvlJc w:val="left"/>
      <w:pPr>
        <w:ind w:left="2856" w:hanging="336"/>
      </w:pPr>
    </w:lvl>
    <w:lvl w:ilvl="1">
      <w:start w:val="1"/>
      <w:numFmt w:val="lowerLetter"/>
      <w:lvlText w:val="%2)"/>
      <w:lvlJc w:val="left"/>
      <w:pPr>
        <w:tabs/>
        <w:ind w:left="756" w:hanging="336"/>
      </w:pPr>
      <w:rPr/>
    </w:lvl>
    <w:lvl w:ilvl="7">
      <w:start w:val="1"/>
      <w:numFmt w:val="lowerLetter"/>
      <w:lvlText w:val="%8)"/>
      <w:lvlJc w:val="left"/>
      <w:pPr>
        <w:ind w:left="3276" w:hanging="336"/>
      </w:pPr>
    </w:lvl>
  </w:abstractNum>
  <w:abstractNum w:abstractNumId="17">
    <w:nsid w:val="FFFFFF83"/>
    <w:multiLevelType w:val="singleLevel"/>
    <w:tmpl w:val="FFFFFF83"/>
    <w:lvl w:ilvl="0" w:tentative="false">
      <w:start w:val="1"/>
      <w:numFmt w:val="bullet"/>
      <w:pStyle w:val="00000e"/>
      <w:lvlText w:val=""/>
      <w:lvlJc w:val="left"/>
      <w:pPr>
        <w:tabs>
          <w:tab w:val="left" w:pos="720"/>
        </w:tabs>
        <w:ind w:left="720" w:hanging="360"/>
      </w:pPr>
      <w:rPr>
        <w:rFonts w:hint="default" w:ascii="Symbol" w:hAnsi="Symbol"/>
      </w:rPr>
    </w:lvl>
  </w:abstractNum>
  <w:abstractNum w:abstractNumId="18">
    <w:lvl w:ilvl="1">
      <w:start w:val="1"/>
      <w:numFmt w:val="decimal"/>
      <w:lvlText w:val="%1.%2."/>
      <w:lvlJc w:val="left"/>
      <w:pPr>
        <w:ind w:left="924" w:hanging="504"/>
      </w:pPr>
    </w:lvl>
    <w:lvl w:ilvl="2">
      <w:start w:val="1"/>
      <w:numFmt w:val="decimal"/>
      <w:lvlText w:val="%1.%2.%3."/>
      <w:lvlJc w:val="left"/>
      <w:pPr>
        <w:ind w:left="1512" w:hanging="672"/>
      </w:pPr>
    </w:lvl>
    <w:lvl w:ilvl="5">
      <w:start w:val="1"/>
      <w:numFmt w:val="decimal"/>
      <w:lvlText w:val="%1.%2.%3.%4.%5.%6."/>
      <w:lvlJc w:val="left"/>
      <w:pPr>
        <w:ind w:left="3276" w:hanging="1176"/>
      </w:pPr>
    </w:lvl>
    <w:lvl w:ilvl="6">
      <w:start w:val="1"/>
      <w:numFmt w:val="decimal"/>
      <w:lvlText w:val="%1.%2.%3.%4.%5.%6.%7."/>
      <w:lvlJc w:val="left"/>
      <w:pPr>
        <w:ind w:left="3864" w:hanging="1344"/>
      </w:pPr>
    </w:lvl>
    <w:lvl w:ilvl="4">
      <w:start w:val="1"/>
      <w:numFmt w:val="decimal"/>
      <w:lvlText w:val="%1.%2.%3.%4.%5."/>
      <w:lvlJc w:val="left"/>
      <w:pPr>
        <w:ind w:left="2688" w:hanging="1008"/>
      </w:pPr>
    </w:lvl>
    <w:lvl w:ilvl="7">
      <w:start w:val="1"/>
      <w:numFmt w:val="decimal"/>
      <w:lvlText w:val="%1.%2.%3.%4.%5.%6.%7.%8."/>
      <w:lvlJc w:val="left"/>
      <w:pPr>
        <w:ind w:left="4452" w:hanging="1512"/>
      </w:pPr>
    </w:lvl>
    <w:lvl w:ilvl="8">
      <w:start w:val="1"/>
      <w:numFmt w:val="decimal"/>
      <w:lvlText w:val="%1.%2.%3.%4.%5.%6.%7.%8.%9."/>
      <w:lvlJc w:val="left"/>
      <w:pPr>
        <w:ind w:left="5040" w:hanging="1680"/>
      </w:pPr>
    </w:lvl>
    <w:lvl w:ilvl="0">
      <w:start w:val="8"/>
      <w:numFmt w:val="decimal"/>
      <w:lvlText w:val="%1."/>
      <w:lvlJc w:val="left"/>
      <w:pPr>
        <w:ind w:left="336" w:hanging="336"/>
      </w:pPr>
      <w:rPr>
        <w:rFonts w:hint="default" w:ascii="" w:hAnsi="" w:cs=""/>
      </w:rPr>
    </w:lvl>
    <w:lvl w:ilvl="3">
      <w:start w:val="1"/>
      <w:numFmt w:val="decimal"/>
      <w:lvlText w:val="%1.%2.%3.%4."/>
      <w:lvlJc w:val="left"/>
      <w:pPr>
        <w:ind w:left="2100" w:hanging="840"/>
      </w:pPr>
    </w:lvl>
  </w:abstractNum>
  <w:abstractNum w:abstractNumId="19">
    <w:nsid w:val="FFFFFF88"/>
    <w:multiLevelType w:val="singleLevel"/>
    <w:tmpl w:val="FFFFFF88"/>
    <w:lvl w:ilvl="0" w:tentative="false">
      <w:start w:val="1"/>
      <w:numFmt w:val="decimal"/>
      <w:pStyle w:val="000010"/>
      <w:lvlText w:val="%1."/>
      <w:lvlJc w:val="left"/>
      <w:pPr>
        <w:tabs>
          <w:tab w:val="left" w:pos="360"/>
        </w:tabs>
        <w:ind w:left="360" w:hanging="360"/>
      </w:pPr>
    </w:lvl>
  </w:abstractNum>
  <w:num w:numId="2">
    <w:abstractNumId w:val="5"/>
  </w:num>
  <w:num w:numId="10">
    <w:abstractNumId w:val="6"/>
  </w:num>
  <w:num w:numId="11">
    <w:abstractNumId w:val="18"/>
  </w:num>
  <w:num w:numId="4">
    <w:abstractNumId w:val="2"/>
  </w:num>
  <w:num w:numId="3">
    <w:abstractNumId w:val="16"/>
  </w:num>
  <w:num w:numId="7">
    <w:abstractNumId w:val="1"/>
  </w:num>
  <w:num w:numId="13">
    <w:abstractNumId w:val="7"/>
  </w:num>
  <w:num w:numId="5">
    <w:abstractNumId w:val="14"/>
  </w:num>
  <w:num w:numId="12">
    <w:abstractNumId w:val="3"/>
  </w:num>
  <w:num w:numId="8">
    <w:abstractNumId w:val="10"/>
  </w:num>
  <w:num w:numId="18">
    <w:abstractNumId w:val="8"/>
  </w:num>
  <w:num w:numId="16">
    <w:abstractNumId w:val="13"/>
  </w:num>
  <w:num w:numId="1">
    <w:abstractNumId w:val="4"/>
  </w:num>
  <w:num w:numId="19">
    <w:abstractNumId w:val="9"/>
  </w:num>
  <w:num w:numId="9">
    <w:abstractNumId w:val="12"/>
  </w:num>
  <w:num w:numId="6">
    <w:abstractNumId w:val="15"/>
  </w:num>
  <w:num w:numId="17">
    <w:abstractNumId w:val="11"/>
  </w:num>
  <w:num w:numId="14">
    <w:abstractNumId w:val="19"/>
  </w:num>
  <w:num w:numId="15">
    <w:abstractNumId w:val="17"/>
  </w:num>
</w:numbering>
</file>

<file path=word/settings.xml><?xml version="1.0" encoding="utf-8"?>
<w:settings xmlns:w="http://schemas.openxmlformats.org/wordprocessingml/2006/main">
  <w:zoom w:percent="136"/>
  <w:documentProtection w:enforcement="false"/>
  <w:defaultTabStop w:val="720"/>
  <w:characterSpacingControl w:val="doNotCompress"/>
  <w:footnotePr>
    <w:footnote w:id="0"/>
    <w:footnote w:id="1"/>
  </w:footnotePr>
  <w:endnotePr>
    <w:endnote w:id="0"/>
    <w:endnote w:id="1"/>
  </w:endnotePr>
  <w:compat>
    <w:useFELayout/>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
  <w:docVars>
    <w:docVar w:name="commondata" w:val="eyJoZGlkIjoiOWFjZWUxMzE1OWQ2NTY4Mjg1MjJlMWIwODE5NWJlODIifQ=="/>
  </w:docVars>
  <w:rsids>
    <w:rsidRoot w:val="00B47730"/>
    <w:rsid w:val="00034616"/>
    <w:rsid w:val="0006063C"/>
    <w:rsid w:val="0015074B"/>
    <w:rsid w:val="0029639D"/>
    <w:rsid w:val="00326F90"/>
    <w:rsid w:val="00AA1D8D"/>
    <w:rsid w:val="00B47730"/>
    <w:rsid w:val="00CB0664"/>
    <w:rsid w:val="00FC693F"/>
    <w:rsid w:val="BF6F3030"/>
    <w:rsid w:val="CFE2C891"/>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rPr>
    </w:rPrDefault>
    <w:pPrDefault/>
  </w:docDefaults>
  <w:latentStyles w:defLockedState="false" w:defUIPriority="99" w:defSemiHidden="true" w:defUnhideWhenUsed="true" w:defQFormat="false" w:count="260">
    <w:lsdException w:name="Medium Grid 1 Accent 5" w:uiPriority="67" w:semiHidden="false" w:unhideWhenUsed="false"/>
    <w:lsdException w:name="Body Text First Indent 2" w:uiPriority="99"/>
    <w:lsdException w:name="header" w:uiPriority="99" w:semiHidden="false"/>
    <w:lsdException w:name="HTML Keyboard" w:uiPriority="99"/>
    <w:lsdException w:name="List Number 5" w:uiPriority="99"/>
    <w:lsdException w:name="Table Grid 7" w:uiPriority="99"/>
    <w:lsdException w:name="Light Grid Accent 5" w:uiPriority="62" w:semiHidden="false" w:unhideWhenUsed="false"/>
    <w:lsdException w:name="Medium Grid 3 Accent 6" w:uiPriority="69" w:semiHidden="false" w:unhideWhenUsed="false"/>
    <w:lsdException w:name="Medium Shading 1 Accent 6" w:uiPriority="63" w:semiHidden="false" w:unhideWhenUsed="false"/>
    <w:lsdException w:name="Table Grid 5" w:uiPriority="99"/>
    <w:lsdException w:name="Colorful Grid Accent 1" w:uiPriority="73" w:semiHidden="false" w:unhideWhenUsed="false"/>
    <w:lsdException w:name="Table List 5" w:uiPriority="99"/>
    <w:lsdException w:name="Body Text First Indent" w:uiPriority="99"/>
    <w:lsdException w:name="List Continue 4" w:uiPriority="99"/>
    <w:lsdException w:name="toc 3" w:uiPriority="39"/>
    <w:lsdException w:name="toc 1" w:uiPriority="39"/>
    <w:lsdException w:name="List Bullet 2" w:uiPriority="99" w:semiHidden="false"/>
    <w:lsdException w:name="index 7" w:uiPriority="99"/>
    <w:lsdException w:name="List Continue" w:uiPriority="99" w:semiHidden="false"/>
    <w:lsdException w:name="HTML Variable" w:uiPriority="99"/>
    <w:lsdException w:name="Table List 3" w:uiPriority="99"/>
    <w:lsdException w:name="Dark List Accent 1" w:uiPriority="70" w:semiHidden="false" w:unhideWhenUsed="false"/>
    <w:lsdException w:name="Medium Shading 1 Accent 2" w:uiPriority="63" w:semiHidden="false" w:unhideWhenUsed="false"/>
    <w:lsdException w:name="Table Colorful 2" w:uiPriority="99"/>
    <w:lsdException w:name="Table Professional" w:uiPriority="99"/>
    <w:lsdException w:name="Medium List 2 Accent 4" w:uiPriority="66" w:semiHidden="false" w:unhideWhenUsed="false"/>
    <w:lsdException w:name="Medium Grid 1 Accent 3" w:uiPriority="67" w:semiHidden="false" w:unhideWhenUsed="false"/>
    <w:lsdException w:name="Table List 6" w:uiPriority="99"/>
    <w:lsdException w:name="Light List Accent 4" w:uiPriority="61" w:semiHidden="false" w:unhideWhenUsed="false"/>
    <w:lsdException w:name="Table List 4" w:uiPriority="99"/>
    <w:lsdException w:name="HTML Cite" w:uiPriority="99"/>
    <w:lsdException w:name="index 6" w:uiPriority="99"/>
    <w:lsdException w:name="Light Shading Accent 3" w:uiPriority="60" w:semiHidden="false" w:unhideWhenUsed="false"/>
    <w:lsdException w:name="Table 3D effects 3" w:uiPriority="99"/>
    <w:lsdException w:name="index 4" w:uiPriority="99"/>
    <w:lsdException w:name="Medium Grid 3" w:uiPriority="69" w:semiHidden="false" w:unhideWhenUsed="false"/>
    <w:lsdException w:name="Table Subtle 2" w:uiPriority="99"/>
    <w:lsdException w:name="Quote" w:uiPriority="29" w:semiHidden="false" w:unhideWhenUsed="false" w:qFormat="true"/>
    <w:lsdException w:name="Medium List 2 Accent 5" w:uiPriority="66" w:semiHidden="false" w:unhideWhenUsed="false"/>
    <w:lsdException w:name="List Bullet 5" w:uiPriority="99"/>
    <w:lsdException w:name="footnote reference" w:uiPriority="99"/>
    <w:lsdException w:name="Light Shading Accent 1" w:uiPriority="60" w:semiHidden="false" w:unhideWhenUsed="false"/>
    <w:lsdException w:name="HTML Acronym" w:uiPriority="99"/>
    <w:lsdException w:name="List 4" w:uiPriority="99"/>
    <w:lsdException w:name="Table Theme" w:uiPriority="99"/>
    <w:lsdException w:name="List Continue 5" w:uiPriority="99"/>
    <w:lsdException w:name="Body Text 2" w:uiPriority="99" w:semiHidden="false"/>
    <w:lsdException w:name="Colorful Shading Accent 4" w:uiPriority="71" w:semiHidden="false" w:unhideWhenUsed="false"/>
    <w:lsdException w:name="Colorful Shading Accent 3" w:uiPriority="71" w:semiHidden="false" w:unhideWhenUsed="false"/>
    <w:lsdException w:name="table of authorities" w:uiPriority="99"/>
    <w:lsdException w:name="Body Text Indent 3" w:uiPriority="99"/>
    <w:lsdException w:name="Body Text" w:uiPriority="99" w:semiHidden="false"/>
    <w:lsdException w:name="Table Simple 2" w:uiPriority="99"/>
    <w:lsdException w:name="Normal Table" w:uiPriority="99"/>
    <w:lsdException w:name="Medium List 2" w:uiPriority="66" w:semiHidden="false" w:unhideWhenUsed="false"/>
    <w:lsdException w:name="index 1" w:uiPriority="99"/>
    <w:lsdException w:name="Table Columns 1" w:uiPriority="99"/>
    <w:lsdException w:name="Hyperlink" w:uiPriority="99"/>
    <w:lsdException w:name="Table Contemporary" w:uiPriority="99"/>
    <w:lsdException w:name="Light Grid Accent 2" w:uiPriority="62" w:semiHidden="false" w:unhideWhenUsed="false"/>
    <w:lsdException w:name="Colorful Grid" w:uiPriority="73" w:semiHidden="false" w:unhideWhenUsed="false"/>
    <w:lsdException w:name="Light List Accent 6" w:uiPriority="61" w:semiHidden="false" w:unhideWhenUsed="false"/>
    <w:lsdException w:name="Colorful Shading" w:uiPriority="71" w:semiHidden="false" w:unhideWhenUsed="false"/>
    <w:lsdException w:name="heading 8" w:uiPriority="9" w:qFormat="true"/>
    <w:lsdException w:name="line number" w:uiPriority="99"/>
    <w:lsdException w:name="Light Shading" w:uiPriority="60" w:semiHidden="false" w:unhideWhenUsed="false"/>
    <w:lsdException w:name="Medium Shading 2 Accent 3" w:uiPriority="64" w:semiHidden="false" w:unhideWhenUsed="false"/>
    <w:lsdException w:name="Medium Shading 1 Accent 5" w:uiPriority="63" w:semiHidden="false" w:unhideWhenUsed="false"/>
    <w:lsdException w:name="Body Text Indent 2" w:uiPriority="99"/>
    <w:lsdException w:name="HTML Address" w:uiPriority="99"/>
    <w:lsdException w:name="Table Subtle 1" w:uiPriority="99"/>
    <w:lsdException w:name="Table Classic 2" w:uiPriority="99"/>
    <w:lsdException w:name="HTML Typewriter" w:uiPriority="99"/>
    <w:lsdException w:name="toc 9" w:uiPriority="39"/>
    <w:lsdException w:name="Date" w:uiPriority="99"/>
    <w:lsdException w:name="List 5" w:uiPriority="99"/>
    <w:lsdException w:name="Table Grid 3" w:uiPriority="99"/>
    <w:lsdException w:name="Light Grid Accent 3" w:uiPriority="62" w:semiHidden="false" w:unhideWhenUsed="false"/>
    <w:lsdException w:name="Medium Grid 2 Accent 1" w:uiPriority="68" w:semiHidden="false" w:unhideWhenUsed="false"/>
    <w:lsdException w:name="Body Text Indent" w:uiPriority="99"/>
    <w:lsdException w:name="E-mail Signature" w:uiPriority="99"/>
    <w:lsdException w:name="Medium List 1 Accent 3" w:uiPriority="65" w:semiHidden="false" w:unhideWhenUsed="false"/>
    <w:lsdException w:name="Table Web 2" w:uiPriority="99"/>
    <w:lsdException w:name="toc 2" w:uiPriority="39"/>
    <w:lsdException w:name="List Number" w:uiPriority="99" w:semiHidden="false"/>
    <w:lsdException w:name="Light List Accent 2" w:uiPriority="61" w:semiHidden="false" w:unhideWhenUsed="false"/>
    <w:lsdException w:name="envelope address" w:uiPriority="99"/>
    <w:lsdException w:name="toa heading" w:uiPriority="99"/>
    <w:lsdException w:name="Body Text 3" w:uiPriority="99" w:semiHidden="false"/>
    <w:lsdException w:name="heading 3" w:uiPriority="9" w:semiHidden="false" w:qFormat="true"/>
    <w:lsdException w:name="Dark List Accent 2" w:uiPriority="70" w:semiHidden="false" w:unhideWhenUsed="false"/>
    <w:lsdException w:name="Medium Shading 2 Accent 1" w:uiPriority="64" w:semiHidden="false" w:unhideWhenUsed="false"/>
    <w:lsdException w:name="HTML Sample" w:uiPriority="99"/>
    <w:lsdException w:name="index 2" w:uiPriority="99"/>
    <w:lsdException w:name="Medium Grid 1 Accent 4" w:uiPriority="67" w:semiHidden="false" w:unhideWhenUsed="false"/>
    <w:lsdException w:name="Light Grid Accent 1" w:uiPriority="62" w:semiHidden="false" w:unhideWhenUsed="false"/>
    <w:lsdException w:name="Colorful Shading Accent 1" w:uiPriority="71" w:semiHidden="false" w:unhideWhenUsed="false"/>
    <w:lsdException w:name="List 3" w:uiPriority="99" w:semiHidden="false"/>
    <w:lsdException w:name="Table List 2" w:uiPriority="99"/>
    <w:lsdException w:name="List Number 2" w:uiPriority="99" w:semiHidden="false"/>
    <w:lsdException w:name="Table Grid" w:uiPriority="59" w:semiHidden="false" w:unhideWhenUsed="false"/>
    <w:lsdException w:name="toc 5" w:uiPriority="39"/>
    <w:lsdException w:name="page number" w:uiPriority="99"/>
    <w:lsdException w:name="Colorful List Accent 4" w:uiPriority="72" w:semiHidden="false" w:unhideWhenUsed="false"/>
    <w:lsdException w:name="Medium Grid 2" w:uiPriority="68" w:semiHidden="false" w:unhideWhenUsed="false"/>
    <w:lsdException w:name="Colorful Grid Accent 5" w:uiPriority="73" w:semiHidden="false" w:unhideWhenUsed="false"/>
    <w:lsdException w:name="Dark List Accent 3" w:uiPriority="70" w:semiHidden="false" w:unhideWhenUsed="false"/>
    <w:lsdException w:name="Table List 7" w:uiPriority="99"/>
    <w:lsdException w:name="Medium List 2 Accent 1" w:uiPriority="66" w:semiHidden="false" w:unhideWhenUsed="false"/>
    <w:lsdException w:name="index 5" w:uiPriority="99"/>
    <w:lsdException w:name="Light Grid Accent 6" w:uiPriority="62" w:semiHidden="false" w:unhideWhenUsed="false"/>
    <w:lsdException w:name="List Number 3" w:uiPriority="99" w:semiHidden="false"/>
    <w:lsdException w:name="Table Grid 1" w:uiPriority="99"/>
    <w:lsdException w:name="Table Grid 6" w:uiPriority="99"/>
    <w:lsdException w:name="Table Classic 4" w:uiPriority="99"/>
    <w:lsdException w:name="Light Shading Accent 6" w:uiPriority="60" w:semiHidden="false" w:unhideWhenUsed="false"/>
    <w:lsdException w:name="Table Web 1" w:uiPriority="99"/>
    <w:lsdException w:name="Colorful Shading Accent 6" w:uiPriority="71" w:semiHidden="false" w:unhideWhenUsed="false"/>
    <w:lsdException w:name="Table Columns 3" w:uiPriority="99"/>
    <w:lsdException w:name="envelope return" w:uiPriority="99"/>
    <w:lsdException w:name="Light List" w:uiPriority="61" w:semiHidden="false" w:unhideWhenUsed="false"/>
    <w:lsdException w:name="Medium Grid 1 Accent 2" w:uiPriority="67" w:semiHidden="false" w:unhideWhenUsed="false"/>
    <w:lsdException w:name="table of figures" w:uiPriority="99"/>
    <w:lsdException w:name="Table Simple 3" w:uiPriority="99"/>
    <w:lsdException w:name="Table Grid 4" w:uiPriority="99"/>
    <w:lsdException w:name="Medium List 1 Accent 4" w:uiPriority="65" w:semiHidden="false" w:unhideWhenUsed="false"/>
    <w:lsdException w:name="Table Grid 8" w:uiPriority="99"/>
    <w:lsdException w:name="Table 3D effects 1" w:uiPriority="99"/>
    <w:lsdException w:name="Medium Shading 2 Accent 4" w:uiPriority="64" w:semiHidden="false" w:unhideWhenUsed="false"/>
    <w:lsdException w:name="Medium Grid 1 Accent 1" w:uiPriority="67" w:semiHidden="false" w:unhideWhenUsed="false"/>
    <w:lsdException w:name="List Continue 3" w:uiPriority="99" w:semiHidden="false"/>
    <w:lsdException w:name="Document Map" w:uiPriority="99"/>
    <w:lsdException w:name="Light List Accent 5" w:uiPriority="61" w:semiHidden="false" w:unhideWhenUsed="false"/>
    <w:lsdException w:name="List Bullet 3" w:uiPriority="99" w:semiHidden="false"/>
    <w:lsdException w:name="Medium Grid 3 Accent 5" w:uiPriority="69" w:semiHidden="false" w:unhideWhenUsed="false"/>
    <w:lsdException w:name="HTML Definition" w:uiPriority="99"/>
    <w:lsdException w:name="Message Header" w:uiPriority="99"/>
    <w:lsdException w:name="heading 1" w:uiPriority="9" w:semiHidden="false" w:unhideWhenUsed="false" w:qFormat="true"/>
    <w:lsdException w:name="heading 7" w:uiPriority="9" w:qFormat="true"/>
    <w:lsdException w:name="Dark List Accent 4" w:uiPriority="70" w:semiHidden="false" w:unhideWhenUsed="false"/>
    <w:lsdException w:name="Colorful List Accent 5" w:uiPriority="72" w:semiHidden="false" w:unhideWhenUsed="false"/>
    <w:lsdException w:name="Table Columns 5" w:uiPriority="99"/>
    <w:lsdException w:name="Light Shading Accent 2" w:uiPriority="60" w:semiHidden="false" w:unhideWhenUsed="false"/>
    <w:lsdException w:name="Medium Grid 3 Accent 2" w:uiPriority="69" w:semiHidden="false" w:unhideWhenUsed="false"/>
    <w:lsdException w:name="Medium Grid 2 Accent 3" w:uiPriority="68" w:semiHidden="false" w:unhideWhenUsed="false"/>
    <w:lsdException w:name="List Paragraph" w:uiPriority="34" w:semiHidden="false" w:unhideWhenUsed="false" w:qFormat="true"/>
    <w:lsdException w:name="Signature" w:uiPriority="99"/>
    <w:lsdException w:name="Medium List 2 Accent 6" w:uiPriority="66" w:semiHidden="false" w:unhideWhenUsed="false"/>
    <w:lsdException w:name="Medium List 1" w:uiPriority="65" w:semiHidden="false" w:unhideWhenUsed="false"/>
    <w:lsdException w:name="Table Web 3" w:uiPriority="99"/>
    <w:lsdException w:name="Medium List 1 Accent 1" w:uiPriority="65" w:semiHidden="false" w:unhideWhenUsed="false"/>
    <w:lsdException w:name="Medium Grid 2 Accent 6" w:uiPriority="68" w:semiHidden="false" w:unhideWhenUsed="false"/>
    <w:lsdException w:name="Medium Shading 2 Accent 2" w:uiPriority="64" w:semiHidden="false" w:unhideWhenUsed="false"/>
    <w:lsdException w:name="Dark List Accent 6" w:uiPriority="70" w:semiHidden="false" w:unhideWhenUsed="false"/>
    <w:lsdException w:name="Normal" w:uiPriority="0" w:semiHidden="false" w:unhideWhenUsed="false" w:qFormat="true"/>
    <w:lsdException w:name="heading 9" w:uiPriority="9" w:qFormat="true"/>
    <w:lsdException w:name="List Bullet 4" w:uiPriority="99"/>
    <w:lsdException w:name="Emphasis" w:uiPriority="20" w:semiHidden="false" w:unhideWhenUsed="false" w:qFormat="true"/>
    <w:lsdException w:name="Medium List 1 Accent 5" w:uiPriority="65" w:semiHidden="false" w:unhideWhenUsed="false"/>
    <w:lsdException w:name="Medium Grid 3 Accent 3" w:uiPriority="69" w:semiHidden="false" w:unhideWhenUsed="false"/>
    <w:lsdException w:name="caption" w:uiPriority="35" w:qFormat="true"/>
    <w:lsdException w:name="heading 5" w:uiPriority="9" w:qFormat="true"/>
    <w:lsdException w:name="Colorful Grid Accent 4" w:uiPriority="73" w:semiHidden="false" w:unhideWhenUsed="false"/>
    <w:lsdException w:name="Note Heading" w:uiPriority="99"/>
    <w:lsdException w:name="Colorful Grid Accent 3" w:uiPriority="73" w:semiHidden="false" w:unhideWhenUsed="false"/>
    <w:lsdException w:name="Table Simple 1" w:uiPriority="99"/>
    <w:lsdException w:name="Medium Grid 1 Accent 6" w:uiPriority="67" w:semiHidden="false" w:unhideWhenUsed="false"/>
    <w:lsdException w:name="Table Elegant" w:uiPriority="99"/>
    <w:lsdException w:name="Medium Shading 2 Accent 6" w:uiPriority="64" w:semiHidden="false" w:unhideWhenUsed="false"/>
    <w:lsdException w:name="Table Columns 2" w:uiPriority="99"/>
    <w:lsdException w:name="Light Shading Accent 4" w:uiPriority="60" w:semiHidden="false" w:unhideWhenUsed="false"/>
    <w:lsdException w:name="Dark List" w:uiPriority="70" w:semiHidden="false" w:unhideWhenUsed="false"/>
    <w:lsdException w:name="Table Classic 1" w:uiPriority="99"/>
    <w:lsdException w:name="endnote text" w:uiPriority="99"/>
    <w:lsdException w:name="List" w:uiPriority="99" w:semiHidden="false"/>
    <w:lsdException w:name="index heading" w:uiPriority="99"/>
    <w:lsdException w:name="Dark List Accent 5" w:uiPriority="70" w:semiHidden="false" w:unhideWhenUsed="false"/>
    <w:lsdException w:name="Subtitle" w:uiPriority="11" w:semiHidden="false" w:unhideWhenUsed="false" w:qFormat="true"/>
    <w:lsdException w:name="Salutation" w:uiPriority="99"/>
    <w:lsdException w:name="Medium Grid 1" w:uiPriority="67" w:semiHidden="false" w:unhideWhenUsed="false"/>
    <w:lsdException w:name="toc 6" w:uiPriority="39"/>
    <w:lsdException w:name="Table List 8" w:uiPriority="99"/>
    <w:lsdException w:name="toc 7" w:uiPriority="39"/>
    <w:lsdException w:name="Medium List 2 Accent 3" w:uiPriority="66" w:semiHidden="false" w:unhideWhenUsed="false"/>
    <w:lsdException w:name="Table Classic 3" w:uiPriority="99"/>
    <w:lsdException w:name="Table Columns 4" w:uiPriority="99"/>
    <w:lsdException w:name="Intense Quote" w:uiPriority="30" w:semiHidden="false" w:unhideWhenUsed="false" w:qFormat="true"/>
    <w:lsdException w:name="footnote text" w:uiPriority="99"/>
    <w:lsdException w:name="Plain Text" w:uiPriority="99"/>
    <w:lsdException w:name="HTML Code" w:uiPriority="99"/>
    <w:lsdException w:name="Medium Shading 1 Accent 3" w:uiPriority="63" w:semiHidden="false" w:unhideWhenUsed="false"/>
    <w:lsdException w:name="Default Paragraph Font" w:uiPriority="1"/>
    <w:lsdException w:name="Light Grid Accent 4" w:uiPriority="62" w:semiHidden="false" w:unhideWhenUsed="false"/>
    <w:lsdException w:name="Table Grid 2" w:uiPriority="99"/>
    <w:lsdException w:name="Medium Grid 3 Accent 4" w:uiPriority="69" w:semiHidden="false" w:unhideWhenUsed="false"/>
    <w:lsdException w:name="Closing" w:uiPriority="99"/>
    <w:lsdException w:name="List Bullet" w:uiPriority="99" w:semiHidden="false"/>
    <w:lsdException w:name="Block Text" w:uiPriority="99"/>
    <w:lsdException w:name="Light Grid" w:uiPriority="62" w:semiHidden="false" w:unhideWhenUsed="false"/>
    <w:lsdException w:name="heading 4" w:uiPriority="9" w:qFormat="true"/>
    <w:lsdException w:name="Colorful Shading Accent 5" w:uiPriority="71" w:semiHidden="false" w:unhideWhenUsed="false"/>
    <w:lsdException w:name="Light List Accent 3" w:uiPriority="61" w:semiHidden="false" w:unhideWhenUsed="false"/>
    <w:lsdException w:name="Normal (Web)" w:uiPriority="99"/>
    <w:lsdException w:name="Colorful Shading Accent 2" w:uiPriority="71" w:semiHidden="false" w:unhideWhenUsed="false"/>
    <w:lsdException w:name="Medium Shading 2 Accent 5" w:uiPriority="64" w:semiHidden="false" w:unhideWhenUsed="false"/>
    <w:lsdException w:name="Colorful List Accent 2" w:uiPriority="72" w:semiHidden="false" w:unhideWhenUsed="false"/>
    <w:lsdException w:name="Colorful List" w:uiPriority="72" w:semiHidden="false" w:unhideWhenUsed="false"/>
    <w:lsdException w:name="annotation text" w:uiPriority="99"/>
    <w:lsdException w:name="Medium Grid 3 Accent 1" w:uiPriority="69" w:semiHidden="false" w:unhideWhenUsed="false"/>
    <w:lsdException w:name="Medium List 1 Accent 6" w:uiPriority="65" w:semiHidden="false" w:unhideWhenUsed="false"/>
    <w:lsdException w:name="Table List 1" w:uiPriority="99"/>
    <w:lsdException w:name="Colorful List Accent 1" w:uiPriority="72" w:semiHidden="false" w:unhideWhenUsed="false"/>
    <w:lsdException w:name="Light Shading Accent 5" w:uiPriority="60" w:semiHidden="false" w:unhideWhenUsed="false"/>
    <w:lsdException w:name="heading 6" w:uiPriority="9" w:qFormat="true"/>
    <w:lsdException w:name="Balloon Text" w:uiPriority="99"/>
    <w:lsdException w:name="annotation subject" w:uiPriority="99"/>
    <w:lsdException w:name="toc 8" w:uiPriority="39"/>
    <w:lsdException w:name="macro" w:uiPriority="99" w:semiHidden="false"/>
    <w:lsdException w:name="List Continue 2" w:uiPriority="99" w:semiHidden="false"/>
    <w:lsdException w:name="heading 2" w:uiPriority="9" w:semiHidden="false" w:qFormat="true"/>
    <w:lsdException w:name="annotation reference" w:uiPriority="99"/>
    <w:lsdException w:name="Light List Accent 1" w:uiPriority="61" w:semiHidden="false" w:unhideWhenUsed="false"/>
    <w:lsdException w:name="Medium Grid 2 Accent 2" w:uiPriority="68" w:semiHidden="false" w:unhideWhenUsed="false"/>
    <w:lsdException w:name="Medium List 2 Accent 2" w:uiPriority="66" w:semiHidden="false" w:unhideWhenUsed="false"/>
    <w:lsdException w:name="Table 3D effects 2" w:uiPriority="99"/>
    <w:lsdException w:name="Colorful List Accent 6" w:uiPriority="72" w:semiHidden="false" w:unhideWhenUsed="false"/>
    <w:lsdException w:name="toc 4" w:uiPriority="39"/>
    <w:lsdException w:name="Medium Grid 2 Accent 4" w:uiPriority="68" w:semiHidden="false" w:unhideWhenUsed="false"/>
    <w:lsdException w:name="Medium Shading 1 Accent 4" w:uiPriority="63" w:semiHidden="false" w:unhideWhenUsed="false"/>
    <w:lsdException w:name="List Number 4" w:uiPriority="99"/>
    <w:lsdException w:name="Table Colorful 1" w:uiPriority="99"/>
    <w:lsdException w:name="Medium Shading 1 Accent 1" w:uiPriority="63" w:semiHidden="false" w:unhideWhenUsed="false"/>
    <w:lsdException w:name="Medium Shading 2" w:uiPriority="64" w:semiHidden="false" w:unhideWhenUsed="false"/>
    <w:lsdException w:name="footer" w:uiPriority="99" w:semiHidden="false"/>
    <w:lsdException w:name="Medium List 1 Accent 2" w:uiPriority="65" w:semiHidden="false" w:unhideWhenUsed="false"/>
    <w:lsdException w:name="index 8" w:uiPriority="99"/>
    <w:lsdException w:name="Medium Shading 1" w:uiPriority="63" w:semiHidden="false" w:unhideWhenUsed="false"/>
    <w:lsdException w:name="Table Colorful 3" w:uiPriority="99"/>
    <w:lsdException w:name="No Spacing" w:uiPriority="1" w:semiHidden="false" w:unhideWhenUsed="false" w:qFormat="true"/>
    <w:lsdException w:name="List 2" w:uiPriority="99" w:semiHidden="false"/>
    <w:lsdException w:name="index 9" w:uiPriority="99"/>
    <w:lsdException w:name="endnote reference" w:uiPriority="99"/>
    <w:lsdException w:name="Colorful List Accent 3" w:uiPriority="72" w:semiHidden="false" w:unhideWhenUsed="false"/>
    <w:lsdException w:name="Colorful Grid Accent 2" w:uiPriority="73" w:semiHidden="false" w:unhideWhenUsed="false"/>
    <w:lsdException w:name="Colorful Grid Accent 6" w:uiPriority="73" w:semiHidden="false" w:unhideWhenUsed="false"/>
    <w:lsdException w:name="Strong" w:uiPriority="22" w:semiHidden="false" w:unhideWhenUsed="false" w:qFormat="true"/>
    <w:lsdException w:name="Medium Grid 2 Accent 5" w:uiPriority="68" w:semiHidden="false" w:unhideWhenUsed="false"/>
    <w:lsdException w:name="HTML Preformatted" w:uiPriority="99"/>
    <w:lsdException w:name="Title" w:uiPriority="10" w:semiHidden="false" w:unhideWhenUsed="false" w:qFormat="true"/>
    <w:lsdException w:name="Normal Indent" w:uiPriority="99"/>
    <w:lsdException w:name="FollowedHyperlink" w:uiPriority="99"/>
    <w:lsdException w:name="index 3" w:uiPriority="99"/>
  </w:latentStyles>
  <w:style w:type="character" w:styleId="000046" w:customStyle="true">
    <w:name w:val="Title Char"/>
    <w:basedOn w:val="00002e"/>
    <w:link w:val="000045"/>
    <w:uiPriority w:val="10"/>
    <w:rPr>
      <w:rFonts w:asciiTheme="majorHAnsi" w:hAnsiTheme="majorHAnsi" w:eastAsiaTheme="majorEastAsia" w:cstheme="majorBidi"/>
      <w:color w:val="17375E" w:themeColor="text2" w:themeShade="BF"/>
      <w:spacing w:val="5"/>
      <w:kern w:val="28"/>
      <w:sz w:val="52"/>
      <w:szCs w:val="52"/>
    </w:rPr>
  </w:style>
  <w:style w:type="paragraph" w:styleId="000028">
    <w:name w:val="heading 7"/>
    <w:basedOn w:val="00001b"/>
    <w:next w:val="00001b"/>
    <w:link w:val="000029"/>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table" w:styleId="000068">
    <w:name w:val="Medium Shading 2 Accent 4"/>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89">
    <w:name w:val="Medium Grid 3 Accent 2"/>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085">
    <w:name w:val="Medium Grid 2 Accent 5"/>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firstRow">
      <w:rPr>
        <w:b/>
        <w:bCs/>
        <w:color w:val="000000" w:themeColor="text1"/>
        <w14:textFill>
          <w14:solidFill>
            <w14:schemeClr w14:val="tx1"/>
          </w14:solidFill>
        </w14:textFill>
      </w:rPr>
      <w:tblPr/>
      <w:tcPr>
        <w:shd w:val="clear" w:color="auto" w:fill="EDF6F9" w:themeFill="accent5" w:themeFillTint="19"/>
      </w:tcPr>
    </w:tblStylePr>
    <w:tblStylePr w:type="band1Horz">
      <w:tblPr/>
      <w:tcPr>
        <w:tcBorders>
          <w:insideH w:val="single" w:sz="6" w:space="0"/>
          <w:insideV w:val="single" w:sz="6" w:space="0"/>
        </w:tcBorders>
        <w:shd w:val="clear" w:color="auto" w:fill="A5D5E2" w:themeFill="accent5" w:themeFillTint="7F"/>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style>
  <w:style w:type="table" w:styleId="0000a3">
    <w:name w:val="Colorful Grid"/>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14:textFill>
          <w14:solidFill>
            <w14:schemeClr w14:val="bg1"/>
          </w14:solidFill>
        </w14:textFill>
      </w:rPr>
      <w:tblPr/>
      <w:tcPr>
        <w:shd w:val="clear" w:color="auto" w:fill="000000" w:themeFill="text1" w:themeFillShade="BF"/>
      </w:tcPr>
    </w:tblStylePr>
    <w:tblStylePr w:type="firstRow">
      <w:rPr>
        <w:b/>
        <w:bCs/>
      </w:rPr>
      <w:tblPr/>
      <w:tcPr>
        <w:shd w:val="clear" w:color="auto" w:fill="999999" w:themeFill="text1" w:themeFillTint="66"/>
      </w:tcPr>
    </w:tblStylePr>
    <w:tblStylePr w:type="band1Horz">
      <w:tblPr/>
      <w:tcPr>
        <w:shd w:val="clear" w:color="auto" w:fill="7F7F7F" w:themeFill="text1" w:themeFillTint="7F"/>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style>
  <w:style w:type="paragraph" w:styleId="000033">
    <w:name w:val="caption"/>
    <w:basedOn w:val="00001b"/>
    <w:next w:val="00001b"/>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000027" w:customStyle="true">
    <w:name w:val="Heading 6 Char"/>
    <w:basedOn w:val="00002e"/>
    <w:link w:val="000026"/>
    <w:uiPriority w:val="9"/>
    <w:semiHidden/>
    <w:rPr>
      <w:rFonts w:asciiTheme="majorHAnsi" w:hAnsiTheme="majorHAnsi" w:eastAsiaTheme="majorEastAsia" w:cstheme="majorBidi"/>
      <w:i/>
      <w:iCs/>
      <w:color w:val="254061" w:themeColor="accent1" w:themeShade="80"/>
    </w:rPr>
  </w:style>
  <w:style w:type="table" w:styleId="00008a">
    <w:name w:val="Medium Grid 3 Accent 3"/>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style>
  <w:style w:type="table" w:styleId="000064">
    <w:name w:val="Medium Shading 2"/>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style>
  <w:style w:type="paragraph" w:styleId="000036">
    <w:name w:val="Body Text"/>
    <w:basedOn w:val="00001b"/>
    <w:link w:val="000037"/>
    <w:uiPriority w:val="99"/>
    <w:unhideWhenUsed/>
    <w:pPr>
      <w:spacing w:after="120"/>
    </w:pPr>
  </w:style>
  <w:style w:type="table" w:styleId="00005d">
    <w:name w:val="Medium Shading 1"/>
    <w:basedOn w:val="00002f"/>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Col">
      <w:rPr>
        <w:b/>
        <w:bCs/>
      </w:rPr>
    </w:tblStylePr>
    <w:tblStylePr w:type="band2Horz">
      <w:tblPr/>
      <w:tcPr>
        <w:tcBorders>
          <w:insideH w:val="nil"/>
          <w:insideV w:val="nil"/>
        </w:tcBorders>
      </w:tcPr>
    </w:tblStylePr>
    <w:tblStylePr w:type="band1Vert">
      <w:tblPr/>
      <w:tcPr>
        <w:shd w:val="clear" w:color="auto" w:fill="BFBFBF" w:themeFill="text1" w:themeFillTint="3F"/>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lastCol">
      <w:rPr>
        <w:b/>
        <w:bCs/>
      </w:rPr>
    </w:tblStylePr>
    <w:tblStylePr w:type="band1Horz">
      <w:tblPr/>
      <w:tcPr>
        <w:tcBorders>
          <w:insideH w:val="nil"/>
          <w:insideV w:val="nil"/>
        </w:tcBorders>
        <w:shd w:val="clear" w:color="auto" w:fill="BFBFBF" w:themeFill="text1" w:themeFillTint="3F"/>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style>
  <w:style w:type="paragraph" w:styleId="00003c">
    <w:name w:val="header"/>
    <w:basedOn w:val="00001b"/>
    <w:link w:val="00003d"/>
    <w:uiPriority w:val="99"/>
    <w:unhideWhenUsed/>
    <w:pPr>
      <w:tabs>
        <w:tab w:val="center" w:pos="4680"/>
        <w:tab w:val="right" w:pos="9360"/>
      </w:tabs>
      <w:spacing w:after="0" w:line="240" w:lineRule="auto"/>
    </w:pPr>
  </w:style>
  <w:style w:type="character" w:styleId="000031" w:customStyle="true">
    <w:name w:val="Macro Text Char"/>
    <w:basedOn w:val="00002e"/>
    <w:link w:val="000030"/>
    <w:uiPriority w:val="99"/>
    <w:rPr>
      <w:rFonts w:ascii="Courier" w:hAnsi="Courier"/>
      <w:sz w:val="20"/>
      <w:szCs w:val="20"/>
    </w:rPr>
  </w:style>
  <w:style w:type="table" w:styleId="00009b">
    <w:name w:val="Colorful Shading Accent 6"/>
    <w:basedOn w:val="00002f"/>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band1Horz">
      <w:tblPr/>
      <w:tcPr>
        <w:shd w:val="clear" w:color="auto" w:fill="FBCAA2" w:themeFill="accent6" w:themeFillTint="7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nwCell">
      <w:rPr>
        <w:color w:val="000000" w:themeColor="text1"/>
        <w14:textFill>
          <w14:solidFill>
            <w14:schemeClr w14:val="tx1"/>
          </w14:solidFill>
        </w14:textFill>
      </w:rPr>
    </w:tblStylePr>
  </w:style>
  <w:style w:type="paragraph" w:styleId="000034">
    <w:name w:val="Body Text 3"/>
    <w:basedOn w:val="00001b"/>
    <w:link w:val="000035"/>
    <w:uiPriority w:val="99"/>
    <w:unhideWhenUsed/>
    <w:pPr>
      <w:spacing w:after="120"/>
    </w:pPr>
    <w:rPr>
      <w:sz w:val="16"/>
      <w:szCs w:val="16"/>
    </w:rPr>
  </w:style>
  <w:style w:type="table" w:styleId="000087">
    <w:name w:val="Medium Grid 3"/>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style>
  <w:style w:type="paragraph" w:styleId="000024">
    <w:name w:val="heading 5"/>
    <w:basedOn w:val="00001b"/>
    <w:next w:val="00001b"/>
    <w:link w:val="000025"/>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000044">
    <w:name w:val="List Continue 3"/>
    <w:basedOn w:val="00001b"/>
    <w:uiPriority w:val="99"/>
    <w:unhideWhenUsed/>
    <w:pPr>
      <w:spacing w:after="120"/>
      <w:ind w:left="1080"/>
      <w:contextualSpacing/>
    </w:pPr>
  </w:style>
  <w:style w:type="character" w:styleId="0000af" w:customStyle="true">
    <w:name w:val="Book Title"/>
    <w:basedOn w:val="00002e"/>
    <w:uiPriority w:val="33"/>
    <w:qFormat/>
    <w:rPr>
      <w:b/>
      <w:bCs/>
      <w:smallCaps/>
      <w:spacing w:val="5"/>
    </w:rPr>
  </w:style>
  <w:style w:type="character" w:styleId="00002d" w:customStyle="true">
    <w:name w:val="Heading 9 Char"/>
    <w:basedOn w:val="00002e"/>
    <w:link w:val="00002c"/>
    <w:uiPriority w:val="9"/>
    <w:semiHidden/>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table" w:styleId="00004b">
    <w:name w:val="Light Shading Accent 3"/>
    <w:basedOn w:val="00002f"/>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Col">
      <w:rPr>
        <w:b/>
        <w:bCs/>
      </w:rPr>
    </w:tblStylePr>
    <w:tblStylePr w:type="firstCol">
      <w:rPr>
        <w:b/>
        <w:bCs/>
      </w:r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a5">
    <w:name w:val="Colorful Grid Accent 2"/>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Row">
      <w:rPr>
        <w:b/>
        <w:bCs/>
        <w:color w:val="000000" w:themeColor="text1"/>
        <w14:textFill>
          <w14:solidFill>
            <w14:schemeClr w14:val="tx1"/>
          </w14:solidFill>
        </w14:textFill>
      </w:rPr>
      <w:tblPr/>
      <w:tcPr>
        <w:shd w:val="clear" w:color="auto" w:fill="E5B8B7" w:themeFill="accent2" w:themeFillTint="66"/>
      </w:tcPr>
    </w:tblStylePr>
  </w:style>
  <w:style w:type="character" w:styleId="00002b" w:customStyle="true">
    <w:name w:val="Heading 8 Char"/>
    <w:basedOn w:val="00002e"/>
    <w:link w:val="00002a"/>
    <w:uiPriority w:val="9"/>
    <w:semiHidden/>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000010">
    <w:name w:val="List Number"/>
    <w:basedOn w:val="00001b"/>
    <w:uiPriority w:val="99"/>
    <w:unhideWhenUsed/>
    <w:pPr>
      <w:numPr>
        <w:ilvl w:val="0"/>
        <w:numId w:val="14"/>
      </w:numPr>
      <w:contextualSpacing/>
    </w:pPr>
  </w:style>
  <w:style w:type="table" w:styleId="000095">
    <w:name w:val="Colorful Shading"/>
    <w:basedOn w:val="00002f"/>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14:textFill>
          <w14:solidFill>
            <w14:schemeClr w14:val="tx1"/>
          </w14:solidFill>
        </w14:textFill>
      </w:r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7F7F7F" w:themeFill="text1" w:themeFillTint="7F"/>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style>
  <w:style w:type="table" w:styleId="00006b">
    <w:name w:val="Medium List 1"/>
    <w:basedOn w:val="00002f"/>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Horz">
      <w:tblPr/>
      <w:tcPr>
        <w:shd w:val="clear" w:color="auto" w:fill="BFBFBF" w:themeFill="text1" w:themeFillTint="3F"/>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paragraph" w:styleId="000020">
    <w:name w:val="heading 3"/>
    <w:basedOn w:val="00001b"/>
    <w:next w:val="00001b"/>
    <w:link w:val="000021"/>
    <w:uiPriority w:val="9"/>
    <w:unhideWhenUsed/>
    <w:qFormat/>
    <w:pPr>
      <w:keepNext/>
      <w:keepLines/>
      <w:spacing w:before="200" w:after="0"/>
      <w:outlineLvl w:val="2"/>
    </w:pPr>
    <w:rPr>
      <w:rFonts w:asciiTheme="majorHAnsi" w:hAnsiTheme="majorHAnsi" w:eastAsiaTheme="majorEastAsia" w:cstheme="majorBidi"/>
      <w:b/>
      <w:bCs/>
      <w:color w:val="1F4E78"/>
      <w:sz w:val="23"/>
    </w:rPr>
  </w:style>
  <w:style w:type="table" w:styleId="000084">
    <w:name w:val="Medium Grid 2 Accent 4"/>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style>
  <w:style w:type="table" w:styleId="000078">
    <w:name w:val="Medium List 2 Accent 6"/>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5D1"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character" w:styleId="000023" w:customStyle="true">
    <w:name w:val="Heading 4 Char"/>
    <w:basedOn w:val="00002e"/>
    <w:link w:val="000022"/>
    <w:uiPriority w:val="9"/>
    <w:semiHidden/>
    <w:rPr>
      <w:rFonts w:asciiTheme="majorHAnsi" w:hAnsiTheme="majorHAnsi" w:eastAsiaTheme="majorEastAsia" w:cstheme="majorBidi"/>
      <w:b/>
      <w:bCs/>
      <w:i/>
      <w:iCs/>
      <w:color w:val="4F81BD" w:themeColor="accent1"/>
      <w14:textFill>
        <w14:solidFill>
          <w14:schemeClr w14:val="accent1"/>
        </w14:solidFill>
      </w14:textFill>
    </w:rPr>
  </w:style>
  <w:style w:type="table" w:styleId="00007d">
    <w:name w:val="Medium Grid 1 Accent 4"/>
    <w:basedOn w:val="00002f"/>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bCs/>
      </w:rPr>
    </w:tblStylePr>
    <w:tblStylePr w:type="band1Horz">
      <w:tblPr/>
      <w:tcPr>
        <w:shd w:val="clear" w:color="auto" w:fill="BFB1D0" w:themeFill="accent4" w:themeFillTint="7F"/>
      </w:tcPr>
    </w:tblStylePr>
    <w:tblStylePr w:type="firstRow">
      <w:rPr>
        <w:b/>
        <w:bCs/>
      </w:rPr>
    </w:tblStylePr>
    <w:tblStylePr w:type="lastCol">
      <w:rPr>
        <w:b/>
        <w:bCs/>
      </w:rPr>
    </w:tblStylePr>
    <w:tblStylePr w:type="band1Vert">
      <w:tblPr/>
      <w:tcPr>
        <w:shd w:val="clear" w:color="auto" w:fill="BFB1D0" w:themeFill="accent4" w:themeFillTint="7F"/>
      </w:tcPr>
    </w:tblStylePr>
    <w:tblStylePr w:type="lastRow">
      <w:rPr>
        <w:b/>
        <w:bCs/>
      </w:rPr>
      <w:tblPr/>
      <w:tcPr>
        <w:tcBorders>
          <w:top w:val="single" w:color="9F8AB9" w:themeColor="accent4" w:themeTint="BF" w:sz="18" w:space="0"/>
        </w:tcBorders>
      </w:tcPr>
    </w:tblStylePr>
  </w:style>
  <w:style w:type="table" w:styleId="000059">
    <w:name w:val="Light Grid Accent 3"/>
    <w:basedOn w:val="00002f"/>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character" w:styleId="00002e" w:default="true">
    <w:name w:val="Default Paragraph Font"/>
    <w:uiPriority w:val="1"/>
    <w:semiHidden/>
    <w:unhideWhenUsed/>
  </w:style>
  <w:style w:type="paragraph" w:styleId="0000b5">
    <w:name w:val="List Paragraph"/>
    <w:basedOn w:val="00001b"/>
    <w:uiPriority w:val="34"/>
    <w:qFormat/>
    <w:pPr>
      <w:ind w:left="720"/>
      <w:contextualSpacing/>
    </w:pPr>
  </w:style>
  <w:style w:type="character" w:styleId="0000ae" w:customStyle="true">
    <w:name w:val="Subtle Emphasis"/>
    <w:basedOn w:val="00002e"/>
    <w:uiPriority w:val="19"/>
    <w:qFormat/>
    <w:rPr>
      <w:i/>
      <w:iCs/>
      <w:color w:val="808080" w:themeColor="text1" w:themeTint="80"/>
      <w14:textFill>
        <w14:solidFill>
          <w14:schemeClr w14:val="tx1">
            <w14:lumMod w14:val="50000"/>
            <w14:lumOff w14:val="50000"/>
          </w14:schemeClr>
        </w14:solidFill>
      </w14:textFill>
    </w:rPr>
  </w:style>
  <w:style w:type="table" w:styleId="000049">
    <w:name w:val="Light Shading Accent 1"/>
    <w:basedOn w:val="00002f"/>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lastCol">
      <w:rPr>
        <w:b/>
        <w:bCs/>
      </w:rPr>
    </w:tblStyle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firstCol">
      <w:rPr>
        <w:b/>
        <w:bCs/>
      </w:r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e">
    <w:name w:val="Medium Shading 1 Accent 1"/>
    <w:basedOn w:val="00002f"/>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firstCol">
      <w:rPr>
        <w:b/>
        <w:bCs/>
      </w:rPr>
    </w:tblStylePr>
    <w:tblStylePr w:type="lastCol">
      <w:rPr>
        <w:b/>
        <w:bCs/>
      </w:rPr>
    </w:tblStylePr>
    <w:tblStylePr w:type="band2Horz">
      <w:tblPr/>
      <w:tcPr>
        <w:tcBorders>
          <w:insideH w:val="nil"/>
          <w:insideV w:val="nil"/>
        </w:tcBorders>
      </w:tcPr>
    </w:tblStylePr>
  </w:style>
  <w:style w:type="table" w:styleId="000099">
    <w:name w:val="Colorful Shading Accent 4"/>
    <w:basedOn w:val="00002f"/>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nwCell">
      <w:rPr>
        <w:color w:val="000000" w:themeColor="text1"/>
        <w14:textFill>
          <w14:solidFill>
            <w14:schemeClr w14:val="tx1"/>
          </w14:solidFill>
        </w14:textFill>
      </w:rPr>
    </w:tblStylePr>
    <w:tblStylePr w:type="band1Horz">
      <w:tblPr/>
      <w:tcPr>
        <w:shd w:val="clear" w:color="auto" w:fill="BFB1D0" w:themeFill="accent4"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band1Vert">
      <w:tblPr/>
      <w:tcPr>
        <w:shd w:val="clear" w:color="auto" w:fill="CCC0D9" w:themeFill="accent4" w:themeFillTint="66"/>
      </w:tcPr>
    </w:tblStylePr>
    <w:tblStylePr w:type="neCell">
      <w:rPr>
        <w:color w:val="000000" w:themeColor="text1"/>
        <w14:textFill>
          <w14:solidFill>
            <w14:schemeClr w14:val="tx1"/>
          </w14:solidFill>
        </w14:textFill>
      </w:r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4f">
    <w:name w:val="Light List"/>
    <w:basedOn w:val="00002f"/>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style>
  <w:style w:type="table" w:styleId="000086">
    <w:name w:val="Medium Grid 2 Accent 6"/>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sz="6" w:space="0"/>
          <w:insideV w:val="single" w:sz="6" w:space="0"/>
        </w:tcBorders>
        <w:shd w:val="clear" w:color="auto" w:fill="FBCAA2" w:themeFill="accent6" w:themeFillTint="7F"/>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style>
  <w:style w:type="table" w:styleId="00007b">
    <w:name w:val="Medium Grid 1 Accent 2"/>
    <w:basedOn w:val="00002f"/>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lastRow">
      <w:rPr>
        <w:b/>
        <w:bCs/>
      </w:rPr>
      <w:tblPr/>
      <w:tcPr>
        <w:tcBorders>
          <w:top w:val="single" w:color="CF7B79" w:themeColor="accent2" w:themeTint="BF" w:sz="18" w:space="0"/>
        </w:tcBorders>
      </w:tcPr>
    </w:tblStylePr>
    <w:tblStylePr w:type="firstCol">
      <w:rPr>
        <w:b/>
        <w:bCs/>
      </w:rPr>
    </w:tblStylePr>
    <w:tblStylePr w:type="firstRow">
      <w:rPr>
        <w:b/>
        <w:bCs/>
      </w:rPr>
    </w:tblStylePr>
    <w:tblStylePr w:type="band1Vert">
      <w:tblPr/>
      <w:tcPr>
        <w:shd w:val="clear" w:color="auto" w:fill="DFA7A6" w:themeFill="accent2" w:themeFillTint="7F"/>
      </w:tcPr>
    </w:tblStylePr>
    <w:tblStylePr w:type="lastCol">
      <w:rPr>
        <w:b/>
        <w:bCs/>
      </w:rPr>
    </w:tblStylePr>
    <w:tblStylePr w:type="band1Horz">
      <w:tblPr/>
      <w:tcPr>
        <w:shd w:val="clear" w:color="auto" w:fill="DFA7A6" w:themeFill="accent2" w:themeFillTint="7F"/>
      </w:tcPr>
    </w:tblStylePr>
  </w:style>
  <w:style w:type="paragraph" w:styleId="000041">
    <w:name w:val="Body Text 2"/>
    <w:basedOn w:val="00001b"/>
    <w:link w:val="000042"/>
    <w:uiPriority w:val="99"/>
    <w:unhideWhenUsed/>
    <w:pPr>
      <w:spacing w:after="120" w:line="480" w:lineRule="auto"/>
    </w:pPr>
  </w:style>
  <w:style w:type="paragraph" w:styleId="0000b0" w:customStyle="true">
    <w:name w:val="TOC Heading"/>
    <w:basedOn w:val="00001c"/>
    <w:next w:val="00001b"/>
    <w:uiPriority w:val="39"/>
    <w:semiHidden/>
    <w:unhideWhenUsed/>
    <w:qFormat/>
    <w:pPr>
      <w:outlineLvl w:val="9"/>
    </w:pPr>
  </w:style>
  <w:style w:type="table" w:styleId="000097">
    <w:name w:val="Colorful Shading Accent 2"/>
    <w:basedOn w:val="00002f"/>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14:textFill>
          <w14:solidFill>
            <w14:schemeClr w14:val="tx1"/>
          </w14:solidFill>
        </w14:textFill>
      </w:r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nwCell">
      <w:rPr>
        <w:color w:val="000000" w:themeColor="text1"/>
        <w14:textFill>
          <w14:solidFill>
            <w14:schemeClr w14:val="tx1"/>
          </w14:solidFill>
        </w14:textFill>
      </w:rPr>
    </w:tblStylePr>
    <w:tblStylePr w:type="band1Vert">
      <w:tblPr/>
      <w:tcPr>
        <w:shd w:val="clear" w:color="auto" w:fill="E5B8B7" w:themeFill="accent2"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DFA7A6" w:themeFill="accent2" w:themeFillTint="7F"/>
      </w:tcPr>
    </w:tblStylePr>
  </w:style>
  <w:style w:type="table" w:styleId="00009d">
    <w:name w:val="Colorful List Accent 1"/>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lastCol">
      <w:rPr>
        <w:b/>
        <w:bCs/>
      </w:r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bCs/>
      </w:r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style>
  <w:style w:type="table" w:styleId="000047">
    <w:name w:val="Table Grid"/>
    <w:basedOn w:val="00002f"/>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ab">
    <w:name w:val="Emphasis"/>
    <w:basedOn w:val="00002e"/>
    <w:uiPriority w:val="20"/>
    <w:qFormat/>
    <w:rPr>
      <w:i/>
      <w:iCs/>
    </w:rPr>
  </w:style>
  <w:style w:type="table" w:styleId="00006c">
    <w:name w:val="Medium List 1 Accent 1"/>
    <w:basedOn w:val="00002f"/>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firstCol">
      <w:rPr>
        <w:b/>
        <w:bCs/>
      </w:rPr>
    </w:tblStylePr>
  </w:style>
  <w:style w:type="table" w:styleId="00005b">
    <w:name w:val="Light Grid Accent 5"/>
    <w:basedOn w:val="00002f"/>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style>
  <w:style w:type="table" w:styleId="00008c">
    <w:name w:val="Medium Grid 3 Accent 5"/>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style>
  <w:style w:type="table" w:styleId="000056">
    <w:name w:val="Light Grid"/>
    <w:basedOn w:val="00002f"/>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style>
  <w:style w:type="paragraph" w:styleId="000038">
    <w:name w:val="List 2"/>
    <w:basedOn w:val="00001b"/>
    <w:uiPriority w:val="99"/>
    <w:unhideWhenUsed/>
    <w:pPr>
      <w:ind w:left="720" w:hanging="360"/>
      <w:contextualSpacing/>
    </w:pPr>
  </w:style>
  <w:style w:type="paragraph" w:styleId="00000e">
    <w:name w:val="List Bullet 2"/>
    <w:basedOn w:val="00001b"/>
    <w:uiPriority w:val="99"/>
    <w:unhideWhenUsed/>
    <w:pPr>
      <w:numPr>
        <w:ilvl w:val="0"/>
        <w:numId w:val="15"/>
      </w:numPr>
      <w:contextualSpacing/>
    </w:pPr>
  </w:style>
  <w:style w:type="paragraph" w:styleId="000030">
    <w:name w:val="macro"/>
    <w:link w:val="000031"/>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table" w:styleId="000050">
    <w:name w:val="Light List Accent 1"/>
    <w:basedOn w:val="00002f"/>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Col">
      <w:rPr>
        <w:b/>
        <w:bCs/>
      </w:rPr>
    </w:tblStylePr>
    <w:tblStylePr w:type="firstCol">
      <w:rPr>
        <w:b/>
        <w:bCs/>
      </w:r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62">
    <w:name w:val="Medium Shading 1 Accent 5"/>
    <w:basedOn w:val="00002f"/>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0" w:themeFill="accent5" w:themeFillTint="3F"/>
      </w:tcPr>
    </w:tblStylePr>
    <w:tblStylePr w:type="lastCol">
      <w:rPr>
        <w:b/>
        <w:bCs/>
      </w:rPr>
    </w:tblStylePr>
    <w:tblStylePr w:type="band2Horz">
      <w:tblPr/>
      <w:tcPr>
        <w:tcBorders>
          <w:insideH w:val="nil"/>
          <w:insideV w:val="nil"/>
        </w:tcBorders>
      </w:tcPr>
    </w:tblStylePr>
    <w:tblStylePr w:type="band1Horz">
      <w:tblPr/>
      <w:tcPr>
        <w:tcBorders>
          <w:insideH w:val="nil"/>
          <w:insideV w:val="nil"/>
        </w:tcBorders>
        <w:shd w:val="clear" w:color="auto" w:fill="D2EAF0" w:themeFill="accent5" w:themeFillTint="3F"/>
      </w:tcPr>
    </w:tblStylePr>
    <w:tblStylePr w:type="firstCol">
      <w:rPr>
        <w:b/>
        <w:bCs/>
      </w:r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aa">
    <w:name w:val="Strong"/>
    <w:basedOn w:val="00002e"/>
    <w:uiPriority w:val="22"/>
    <w:qFormat/>
    <w:rPr>
      <w:b/>
      <w:bCs/>
    </w:rPr>
  </w:style>
  <w:style w:type="table" w:styleId="000055">
    <w:name w:val="Light List Accent 6"/>
    <w:basedOn w:val="00002f"/>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firstCol">
      <w:rPr>
        <w:b/>
        <w:bCs/>
      </w:r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bCs/>
      </w:rPr>
    </w:tblStylePr>
  </w:style>
  <w:style w:type="table" w:styleId="000081">
    <w:name w:val="Medium Grid 2 Accent 1"/>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A7C0DE" w:themeFill="accent1" w:themeFillTint="7F"/>
      </w:tcPr>
    </w:tblStyle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band1Vert">
      <w:tblPr/>
      <w:tcPr>
        <w:shd w:val="clear" w:color="auto" w:fill="A7C0DE" w:themeFill="accent1" w:themeFillTint="7F"/>
      </w:tcPr>
    </w:tblStylePr>
  </w:style>
  <w:style w:type="table" w:styleId="000091">
    <w:name w:val="Dark List Accent 3"/>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paragraph" w:styleId="000012">
    <w:name w:val="List Bullet"/>
    <w:basedOn w:val="00001b"/>
    <w:uiPriority w:val="99"/>
    <w:unhideWhenUsed/>
    <w:pPr>
      <w:numPr>
        <w:ilvl w:val="0"/>
        <w:numId w:val="16"/>
      </w:numPr>
      <w:contextualSpacing/>
    </w:pPr>
  </w:style>
  <w:style w:type="table" w:styleId="000076">
    <w:name w:val="Medium List 2 Accent 4"/>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style>
  <w:style w:type="table" w:styleId="000088">
    <w:name w:val="Medium Grid 3 Accent 1"/>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00007a">
    <w:name w:val="Medium Grid 1 Accent 1"/>
    <w:basedOn w:val="00002f"/>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bCs/>
      </w:rPr>
      <w:tblPr/>
      <w:tcPr>
        <w:tcBorders>
          <w:top w:val="single" w:color="7BA0CD" w:themeColor="accent1" w:themeTint="BF" w:sz="18" w:space="0"/>
        </w:tcBorders>
      </w:tcPr>
    </w:tblStylePr>
    <w:tblStylePr w:type="firstRow">
      <w:rPr>
        <w:b/>
        <w:bCs/>
      </w:rPr>
    </w:tblStylePr>
    <w:tblStylePr w:type="firstCol">
      <w:rPr>
        <w:b/>
        <w:bCs/>
      </w:rPr>
    </w:tblStylePr>
    <w:tblStylePr w:type="lastCol">
      <w:rPr>
        <w:b/>
        <w:bCs/>
      </w:rPr>
    </w:tblStylePr>
    <w:tblStylePr w:type="band1Horz">
      <w:tblPr/>
      <w:tcPr>
        <w:shd w:val="clear" w:color="auto" w:fill="A7C0DE" w:themeFill="accent1" w:themeFillTint="7F"/>
      </w:tcPr>
    </w:tblStylePr>
    <w:tblStylePr w:type="band1Vert">
      <w:tblPr/>
      <w:tcPr>
        <w:shd w:val="clear" w:color="auto" w:fill="A7C0DE" w:themeFill="accent1" w:themeFillTint="7F"/>
      </w:tcPr>
    </w:tblStylePr>
  </w:style>
  <w:style w:type="paragraph" w:styleId="00002a">
    <w:name w:val="heading 8"/>
    <w:basedOn w:val="00001b"/>
    <w:next w:val="00001b"/>
    <w:link w:val="00002b"/>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00003f" w:customStyle="true">
    <w:name w:val="Subtitle Char"/>
    <w:basedOn w:val="00002e"/>
    <w:link w:val="00003e"/>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styleId="0000b6" w:customStyle="true">
    <w:name w:val="Subtle Reference"/>
    <w:basedOn w:val="00002e"/>
    <w:uiPriority w:val="31"/>
    <w:qFormat/>
    <w:rPr>
      <w:smallCaps/>
      <w:color w:val="C0504D" w:themeColor="accent2"/>
      <w:u w:val="single"/>
      <w14:textFill>
        <w14:solidFill>
          <w14:schemeClr w14:val="accent2"/>
        </w14:solidFill>
      </w14:textFill>
    </w:rPr>
  </w:style>
  <w:style w:type="table" w:styleId="00005c">
    <w:name w:val="Light Grid Accent 6"/>
    <w:basedOn w:val="00002f"/>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style>
  <w:style w:type="character" w:styleId="0000b4" w:customStyle="true">
    <w:name w:val="Intense Reference"/>
    <w:basedOn w:val="00002e"/>
    <w:uiPriority w:val="32"/>
    <w:qFormat/>
    <w:rPr>
      <w:b/>
      <w:bCs/>
      <w:smallCaps/>
      <w:color w:val="C0504D" w:themeColor="accent2"/>
      <w:spacing w:val="5"/>
      <w:u w:val="single"/>
      <w14:textFill>
        <w14:solidFill>
          <w14:schemeClr w14:val="accent2"/>
        </w14:solidFill>
      </w14:textFill>
    </w:rPr>
  </w:style>
  <w:style w:type="table" w:styleId="000079">
    <w:name w:val="Medium Grid 1"/>
    <w:basedOn w:val="00002f"/>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band1Vert">
      <w:tblPr/>
      <w:tcPr>
        <w:shd w:val="clear" w:color="auto" w:fill="7F7F7F" w:themeFill="text1" w:themeFillTint="7F"/>
      </w:tcPr>
    </w:tblStylePr>
    <w:tblStylePr w:type="firstRow">
      <w:rPr>
        <w:b/>
        <w:bCs/>
      </w:rPr>
    </w:tblStylePr>
    <w:tblStylePr w:type="lastCol">
      <w:rPr>
        <w:b/>
        <w:bCs/>
      </w:rPr>
    </w:tblStylePr>
    <w:tblStylePr w:type="band1Horz">
      <w:tblPr/>
      <w:tcPr>
        <w:shd w:val="clear" w:color="auto" w:fill="7F7F7F" w:themeFill="text1" w:themeFillTint="7F"/>
      </w:tcPr>
    </w:tblStylePr>
    <w:tblStylePr w:type="firstCol">
      <w:rPr>
        <w:b/>
        <w:bCs/>
      </w:rPr>
    </w:tblStylePr>
    <w:tblStylePr w:type="lastRow">
      <w:rPr>
        <w:b/>
        <w:bCs/>
      </w:rPr>
      <w:tblPr/>
      <w:tcPr>
        <w:tcBorders>
          <w:top w:val="single" w:color="3F3F3F" w:themeColor="text1" w:themeTint="BF" w:sz="18" w:space="0"/>
        </w:tcBorders>
      </w:tcPr>
    </w:tblStylePr>
  </w:style>
  <w:style w:type="character" w:styleId="0000b7" w:customStyle="true">
    <w:name w:val="Intense Emphasis"/>
    <w:basedOn w:val="00002e"/>
    <w:uiPriority w:val="21"/>
    <w:qFormat/>
    <w:rPr>
      <w:b/>
      <w:bCs/>
      <w:i/>
      <w:iCs/>
      <w:color w:val="4F81BD" w:themeColor="accent1"/>
      <w14:textFill>
        <w14:solidFill>
          <w14:schemeClr w14:val="accent1"/>
        </w14:solidFill>
      </w14:textFill>
    </w:rPr>
  </w:style>
  <w:style w:type="table" w:styleId="000061">
    <w:name w:val="Medium Shading 1 Accent 4"/>
    <w:basedOn w:val="00002f"/>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bCs/>
      </w:rPr>
    </w:tblStylePr>
    <w:tblStylePr w:type="band1Horz">
      <w:tblPr/>
      <w:tcPr>
        <w:tcBorders>
          <w:insideH w:val="nil"/>
          <w:insideV w:val="nil"/>
        </w:tcBorders>
        <w:shd w:val="clear" w:color="auto" w:fill="DFD8E8" w:themeFill="accent4" w:themeFillTint="3F"/>
      </w:tcPr>
    </w:tblStylePr>
    <w:tblStylePr w:type="firstCol">
      <w:rPr>
        <w:b/>
        <w:bCs/>
      </w:rPr>
    </w:tblStyle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band1Vert">
      <w:tblPr/>
      <w:tcPr>
        <w:shd w:val="clear" w:color="auto" w:fill="DFD8E8" w:themeFill="accent4" w:themeFillTint="3F"/>
      </w:tcPr>
    </w:tblStylePr>
  </w:style>
  <w:style w:type="paragraph" w:styleId="00001c">
    <w:name w:val="heading 1"/>
    <w:basedOn w:val="00001b"/>
    <w:next w:val="00001b"/>
    <w:link w:val="00001d"/>
    <w:uiPriority w:val="9"/>
    <w:qFormat/>
    <w:pPr>
      <w:keepNext/>
      <w:keepLines/>
      <w:spacing w:before="480" w:after="0"/>
      <w:outlineLvl w:val="0"/>
    </w:pPr>
    <w:rPr>
      <w:rFonts w:asciiTheme="majorHAnsi" w:hAnsiTheme="majorHAnsi" w:eastAsiaTheme="majorEastAsia" w:cstheme="majorBidi"/>
      <w:b/>
      <w:bCs/>
      <w:color w:val="1F4E78"/>
      <w:sz w:val="32"/>
      <w:szCs w:val="28"/>
    </w:rPr>
  </w:style>
  <w:style w:type="table" w:styleId="000096">
    <w:name w:val="Colorful Shading Accent 1"/>
    <w:basedOn w:val="00002f"/>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14:textFill>
          <w14:solidFill>
            <w14:schemeClr w14:val="tx1"/>
          </w14:solidFill>
        </w14:textFill>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C0DE" w:themeFill="accent1" w:themeFillTint="7F"/>
      </w:tcPr>
    </w:tblStylePr>
    <w:tblStylePr w:type="band1Vert">
      <w:tblPr/>
      <w:tcPr>
        <w:shd w:val="clear" w:color="auto" w:fill="B8CCE4" w:themeFill="accent1" w:themeFillTint="66"/>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neCell">
      <w:rPr>
        <w:color w:val="000000" w:themeColor="text1"/>
        <w14:textFill>
          <w14:solidFill>
            <w14:schemeClr w14:val="tx1"/>
          </w14:solidFill>
        </w14:textFill>
      </w:r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style>
  <w:style w:type="table" w:styleId="000067">
    <w:name w:val="Medium Shading 2 Accent 3"/>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style>
  <w:style w:type="character" w:styleId="00001f" w:customStyle="true">
    <w:name w:val="Heading 2 Char"/>
    <w:basedOn w:val="00002e"/>
    <w:link w:val="00001e"/>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table" w:styleId="000060">
    <w:name w:val="Medium Shading 1 Accent 3"/>
    <w:basedOn w:val="00002f"/>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Col">
      <w:rPr>
        <w:b/>
        <w:bCs/>
      </w:rPr>
    </w:tblStylePr>
    <w:tblStylePr w:type="band2Horz">
      <w:tblPr/>
      <w:tcPr>
        <w:tcBorders>
          <w:insideH w:val="nil"/>
          <w:insideV w:val="nil"/>
        </w:tcBorders>
      </w:tcPr>
    </w:tblStylePr>
    <w:tblStylePr w:type="lastCol">
      <w:rPr>
        <w:b/>
        <w:bCs/>
      </w:rPr>
    </w:tblStylePr>
    <w:tblStylePr w:type="band1Vert">
      <w:tblPr/>
      <w:tcPr>
        <w:shd w:val="clear" w:color="auto" w:fill="E6EED5" w:themeFill="accent3" w:themeFillTint="3F"/>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style>
  <w:style w:type="character" w:styleId="000029" w:customStyle="true">
    <w:name w:val="Heading 7 Char"/>
    <w:basedOn w:val="00002e"/>
    <w:link w:val="000028"/>
    <w:uiPriority w:val="9"/>
    <w:semiHidden/>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table" w:styleId="000052">
    <w:name w:val="Light List Accent 3"/>
    <w:basedOn w:val="00002f"/>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94">
    <w:name w:val="Dark List Accent 6"/>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style>
  <w:style w:type="paragraph" w:styleId="000032">
    <w:name w:val="List 3"/>
    <w:basedOn w:val="00001b"/>
    <w:uiPriority w:val="99"/>
    <w:unhideWhenUsed/>
    <w:pPr>
      <w:ind w:left="1080" w:hanging="360"/>
      <w:contextualSpacing/>
    </w:pPr>
  </w:style>
  <w:style w:type="table" w:styleId="00004c">
    <w:name w:val="Light Shading Accent 4"/>
    <w:basedOn w:val="00002f"/>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bCs/>
      </w:rPr>
    </w:tblStylePr>
  </w:style>
  <w:style w:type="table" w:styleId="00009c">
    <w:name w:val="Colorful List"/>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BFBFBF" w:themeFill="text1" w:themeFillTint="3F"/>
      </w:tcPr>
    </w:tblStylePr>
    <w:tblStylePr w:type="lastCol">
      <w:rPr>
        <w:b/>
        <w:bCs/>
      </w:rPr>
    </w:tblStylePr>
    <w:tblStylePr w:type="firstCol">
      <w:rPr>
        <w:b/>
        <w:bCs/>
      </w:r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style>
  <w:style w:type="table" w:styleId="000082">
    <w:name w:val="Medium Grid 2 Accent 2"/>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nwCell">
      <w:tblPr/>
      <w:tcPr>
        <w:shd w:val="clear" w:color="auto" w:fill="FFFFFF" w:themeFill="background1"/>
      </w:tcPr>
    </w:tblStyle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3a">
    <w:name w:val="footer"/>
    <w:basedOn w:val="00001b"/>
    <w:link w:val="00003b"/>
    <w:uiPriority w:val="99"/>
    <w:unhideWhenUsed/>
    <w:pPr>
      <w:tabs>
        <w:tab w:val="center" w:pos="4680"/>
        <w:tab w:val="right" w:pos="9360"/>
      </w:tabs>
      <w:spacing w:after="0" w:line="240" w:lineRule="auto"/>
    </w:pPr>
  </w:style>
  <w:style w:type="character" w:styleId="000021" w:customStyle="true">
    <w:name w:val="Heading 3 Char"/>
    <w:basedOn w:val="00002e"/>
    <w:link w:val="000020"/>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000035" w:customStyle="true">
    <w:name w:val="Body Text 3 Char"/>
    <w:basedOn w:val="00002e"/>
    <w:link w:val="000034"/>
    <w:uiPriority w:val="99"/>
    <w:rPr>
      <w:sz w:val="16"/>
      <w:szCs w:val="16"/>
    </w:rPr>
  </w:style>
  <w:style w:type="table" w:styleId="00007e">
    <w:name w:val="Medium Grid 1 Accent 5"/>
    <w:basedOn w:val="00002f"/>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Col">
      <w:rPr>
        <w:b/>
        <w:bCs/>
      </w:rPr>
    </w:tblStylePr>
    <w:tblStylePr w:type="band1Horz">
      <w:tblPr/>
      <w:tcPr>
        <w:shd w:val="clear" w:color="auto" w:fill="A5D5E2" w:themeFill="accent5" w:themeFillTint="7F"/>
      </w:tcPr>
    </w:tblStylePr>
    <w:tblStylePr w:type="firstRow">
      <w:rPr>
        <w:b/>
        <w:bCs/>
      </w:rPr>
    </w:tblStylePr>
    <w:tblStylePr w:type="lastCol">
      <w:rPr>
        <w:b/>
        <w:bCs/>
      </w:rPr>
    </w:tblStylePr>
    <w:tblStylePr w:type="lastRow">
      <w:rPr>
        <w:b/>
        <w:bCs/>
      </w:rPr>
      <w:tblPr/>
      <w:tcPr>
        <w:tcBorders>
          <w:top w:val="single" w:color="78C0D4" w:themeColor="accent5" w:themeTint="BF" w:sz="18" w:space="0"/>
        </w:tcBorders>
      </w:tcPr>
    </w:tblStylePr>
    <w:tblStylePr w:type="band1Vert">
      <w:tblPr/>
      <w:tcPr>
        <w:shd w:val="clear" w:color="auto" w:fill="A5D5E2" w:themeFill="accent5" w:themeFillTint="7F"/>
      </w:tcPr>
    </w:tblStylePr>
  </w:style>
  <w:style w:type="paragraph" w:styleId="00003e">
    <w:name w:val="Subtitle"/>
    <w:basedOn w:val="00001b"/>
    <w:next w:val="00001b"/>
    <w:link w:val="00003f"/>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styleId="00001d" w:customStyle="true">
    <w:name w:val="Heading 1 Char"/>
    <w:basedOn w:val="00002e"/>
    <w:link w:val="00001c"/>
    <w:uiPriority w:val="9"/>
    <w:rPr>
      <w:rFonts w:asciiTheme="majorHAnsi" w:hAnsiTheme="majorHAnsi" w:eastAsiaTheme="majorEastAsia" w:cstheme="majorBidi"/>
      <w:b/>
      <w:bCs/>
      <w:color w:val="376092" w:themeColor="accent1" w:themeShade="BF"/>
      <w:sz w:val="28"/>
      <w:szCs w:val="28"/>
    </w:rPr>
  </w:style>
  <w:style w:type="table" w:styleId="0000a8">
    <w:name w:val="Colorful Grid Accent 5"/>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14:textFill>
          <w14:solidFill>
            <w14:schemeClr w14:val="bg1"/>
          </w14:solidFill>
        </w14:textFill>
      </w:rPr>
      <w:tblPr/>
      <w:tcPr>
        <w:shd w:val="clear" w:color="auto" w:fill="31849B" w:themeFill="accent5" w:themeFillShade="BF"/>
      </w:tcPr>
    </w:tblStylePr>
  </w:style>
  <w:style w:type="paragraph" w:styleId="000008">
    <w:name w:val="List Number 3"/>
    <w:basedOn w:val="00001b"/>
    <w:uiPriority w:val="99"/>
    <w:unhideWhenUsed/>
    <w:pPr>
      <w:numPr>
        <w:ilvl w:val="0"/>
        <w:numId w:val="17"/>
      </w:numPr>
      <w:contextualSpacing/>
    </w:pPr>
  </w:style>
  <w:style w:type="table" w:styleId="000053">
    <w:name w:val="Light List Accent 4"/>
    <w:basedOn w:val="00002f"/>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style>
  <w:style w:type="table" w:styleId="0000a4">
    <w:name w:val="Colorful Grid Accent 1"/>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14:textFill>
          <w14:solidFill>
            <w14:schemeClr w14:val="bg1"/>
          </w14:solidFill>
        </w14:textFill>
      </w:rPr>
      <w:tblPr/>
      <w:tcPr>
        <w:shd w:val="clear" w:color="auto" w:fill="366091" w:themeFill="accent1" w:themeFillShade="BF"/>
      </w:tcPr>
    </w:tblStylePr>
    <w:tblStylePr w:type="band1Horz">
      <w:tblPr/>
      <w:tcPr>
        <w:shd w:val="clear" w:color="auto" w:fill="A7C0DE" w:themeFill="accent1" w:themeFillTint="7F"/>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firstRow">
      <w:rPr>
        <w:b/>
        <w:bCs/>
      </w:rPr>
      <w:tblPr/>
      <w:tcPr>
        <w:shd w:val="clear" w:color="auto" w:fill="B8CCE4" w:themeFill="accent1" w:themeFillTint="66"/>
      </w:tcPr>
    </w:tblStylePr>
    <w:tblStylePr w:type="band1Vert">
      <w:tblPr/>
      <w:tcPr>
        <w:shd w:val="clear" w:color="auto" w:fill="A7C0DE" w:themeFill="accent1" w:themeFillTint="7F"/>
      </w:tcPr>
    </w:tblStylePr>
  </w:style>
  <w:style w:type="table" w:styleId="00009a">
    <w:name w:val="Colorful Shading Accent 5"/>
    <w:basedOn w:val="00002f"/>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band1Vert">
      <w:tblPr/>
      <w:tcPr>
        <w:shd w:val="clear" w:color="auto" w:fill="B6DDE8" w:themeFill="accent5" w:themeFillTint="66"/>
      </w:tcPr>
    </w:tblStylePr>
    <w:tblStylePr w:type="neCell">
      <w:rPr>
        <w:color w:val="000000" w:themeColor="text1"/>
        <w14:textFill>
          <w14:solidFill>
            <w14:schemeClr w14:val="tx1"/>
          </w14:solidFill>
        </w14:textFill>
      </w:rPr>
    </w:tblStylePr>
    <w:tblStylePr w:type="band1Horz">
      <w:tblPr/>
      <w:tcPr>
        <w:shd w:val="clear" w:color="auto" w:fill="A5D5E2" w:themeFill="accent5"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style>
  <w:style w:type="table" w:styleId="00005f">
    <w:name w:val="Medium Shading 1 Accent 2"/>
    <w:basedOn w:val="00002f"/>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3" w:themeFill="accent2" w:themeFillTint="3F"/>
      </w:tcPr>
    </w:tblStylePr>
    <w:tblStylePr w:type="lastCol">
      <w:rPr>
        <w:b/>
        <w:bCs/>
      </w:rPr>
    </w:tblStyle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bCs/>
      </w:rPr>
    </w:tblStylePr>
    <w:tblStylePr w:type="band2Horz">
      <w:tblPr/>
      <w:tcPr>
        <w:tcBorders>
          <w:insideH w:val="nil"/>
          <w:insideV w:val="nil"/>
        </w:tcBorders>
      </w:tcPr>
    </w:tblStylePr>
    <w:tblStylePr w:type="band1Horz">
      <w:tblPr/>
      <w:tcPr>
        <w:tcBorders>
          <w:insideH w:val="nil"/>
          <w:insideV w:val="nil"/>
        </w:tcBorders>
        <w:shd w:val="clear" w:color="auto" w:fill="EFD3D3" w:themeFill="accent2" w:themeFillTint="3F"/>
      </w:tcPr>
    </w:tblStylePr>
  </w:style>
  <w:style w:type="paragraph" w:styleId="00001b" w:default="true">
    <w:name w:val="Normal"/>
    <w:uiPriority w:val="0"/>
    <w:qFormat/>
    <w:pPr>
      <w:spacing w:after="200" w:line="276" w:lineRule="auto"/>
    </w:pPr>
    <w:rPr>
      <w:rFonts w:ascii="Microsoft YaHei" w:hAnsi="Microsoft YaHei" w:eastAsia="Microsoft YaHei" w:cstheme="minorBidi"/>
      <w:sz w:val="21"/>
      <w:szCs w:val="22"/>
      <w:lang w:val="en-US" w:eastAsia="en-US" w:bidi="ar-SA"/>
    </w:rPr>
  </w:style>
  <w:style w:type="table" w:styleId="000066">
    <w:name w:val="Medium Shading 2 Accent 2"/>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style>
  <w:style w:type="table" w:styleId="000069">
    <w:name w:val="Medium Shading 2 Accent 5"/>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2c">
    <w:name w:val="heading 9"/>
    <w:basedOn w:val="00001b"/>
    <w:next w:val="00001b"/>
    <w:link w:val="00002d"/>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table" w:styleId="000051">
    <w:name w:val="Light List Accent 2"/>
    <w:basedOn w:val="00002f"/>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bCs/>
      </w:rPr>
    </w:tblStylePr>
    <w:tblStylePr w:type="firstCol">
      <w:rPr>
        <w:b/>
        <w:bCs/>
      </w:rPr>
    </w:tblStyle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style>
  <w:style w:type="paragraph" w:styleId="00000c">
    <w:name w:val="List Bullet 3"/>
    <w:basedOn w:val="00001b"/>
    <w:uiPriority w:val="99"/>
    <w:unhideWhenUsed/>
    <w:pPr>
      <w:numPr>
        <w:ilvl w:val="0"/>
        <w:numId w:val="18"/>
      </w:numPr>
      <w:contextualSpacing/>
    </w:pPr>
  </w:style>
  <w:style w:type="table" w:styleId="000063">
    <w:name w:val="Medium Shading 1 Accent 6"/>
    <w:basedOn w:val="00002f"/>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bCs/>
      </w:rPr>
    </w:tblStylePr>
    <w:tblStylePr w:type="band2Horz">
      <w:tblPr/>
      <w:tcPr>
        <w:tcBorders>
          <w:insideH w:val="nil"/>
          <w:insideV w:val="nil"/>
        </w:tcBorders>
      </w:tcPr>
    </w:tblStylePr>
    <w:tblStylePr w:type="band1Vert">
      <w:tblPr/>
      <w:tcPr>
        <w:shd w:val="clear" w:color="auto" w:fill="FDE5D1" w:themeFill="accent6" w:themeFillTint="3F"/>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bCs/>
      </w:r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5D1" w:themeFill="accent6" w:themeFillTint="3F"/>
      </w:tcPr>
    </w:tblStylePr>
  </w:style>
  <w:style w:type="table" w:styleId="0000a2">
    <w:name w:val="Colorful List Accent 6"/>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lastCol">
      <w:rPr>
        <w:b/>
        <w:bCs/>
      </w:rPr>
    </w:tblStylePr>
    <w:tblStylePr w:type="band1Horz">
      <w:tblPr/>
      <w:tcPr>
        <w:shd w:val="clear" w:color="auto" w:fill="FDE9D9" w:themeFill="accent6" w:themeFillTint="33"/>
      </w:tcPr>
    </w:tblStylePr>
    <w:tblStylePr w:type="firstCol">
      <w:rPr>
        <w:b/>
        <w:bCs/>
      </w:r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5D1" w:themeFill="accent6" w:themeFillTint="3F"/>
      </w:tcPr>
    </w:tblStylePr>
  </w:style>
  <w:style w:type="table" w:styleId="00007f">
    <w:name w:val="Medium Grid 1 Accent 6"/>
    <w:basedOn w:val="00002f"/>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Col">
      <w:rPr>
        <w:b/>
        <w:bCs/>
      </w:rPr>
    </w:tblStylePr>
    <w:tblStylePr w:type="lastRow">
      <w:rPr>
        <w:b/>
        <w:bCs/>
      </w:rPr>
      <w:tblPr/>
      <w:tcPr>
        <w:tcBorders>
          <w:top w:val="single" w:color="F9B074" w:themeColor="accent6" w:themeTint="BF" w:sz="18" w:space="0"/>
        </w:tcBorders>
      </w:tcPr>
    </w:tblStylePr>
    <w:tblStylePr w:type="band1Vert">
      <w:tblPr/>
      <w:tcPr>
        <w:shd w:val="clear" w:color="auto" w:fill="FBCAA2" w:themeFill="accent6" w:themeFillTint="7F"/>
      </w:tcPr>
    </w:tblStylePr>
    <w:tblStylePr w:type="firstRow">
      <w:rPr>
        <w:b/>
        <w:bCs/>
      </w:rPr>
    </w:tblStylePr>
    <w:tblStylePr w:type="band1Horz">
      <w:tblPr/>
      <w:tcPr>
        <w:shd w:val="clear" w:color="auto" w:fill="FBCAA2" w:themeFill="accent6" w:themeFillTint="7F"/>
      </w:tcPr>
    </w:tblStylePr>
    <w:tblStylePr w:type="lastCol">
      <w:rPr>
        <w:b/>
        <w:bCs/>
      </w:rPr>
    </w:tblStylePr>
  </w:style>
  <w:style w:type="table" w:styleId="000080">
    <w:name w:val="Medium Grid 2"/>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firstRow">
      <w:rPr>
        <w:b/>
        <w:bCs/>
        <w:color w:val="000000" w:themeColor="text1"/>
        <w14:textFill>
          <w14:solidFill>
            <w14:schemeClr w14:val="tx1"/>
          </w14:solidFill>
        </w14:textFill>
      </w:rPr>
      <w:tblPr/>
      <w:tcPr>
        <w:shd w:val="clear" w:color="auto" w:fill="E5E5E5" w:themeFill="text1" w:themeFillTint="19"/>
      </w:tcPr>
    </w:tblStylePr>
    <w:tblStylePr w:type="nwCell">
      <w:tblPr/>
      <w:tcPr>
        <w:shd w:val="clear" w:color="auto" w:fill="FFFFFF" w:themeFill="background1"/>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7F7F7F" w:themeFill="text1" w:themeFillTint="7F"/>
      </w:tcPr>
    </w:tblStylePr>
    <w:tblStylePr w:type="band1Vert">
      <w:tblPr/>
      <w:tcPr>
        <w:shd w:val="clear" w:color="auto" w:fill="7F7F7F" w:themeFill="text1" w:themeFillTint="7F"/>
      </w:tcPr>
    </w:tblStylePr>
  </w:style>
  <w:style w:type="paragraph" w:styleId="000043">
    <w:name w:val="List Continue 2"/>
    <w:basedOn w:val="00001b"/>
    <w:uiPriority w:val="99"/>
    <w:unhideWhenUsed/>
    <w:pPr>
      <w:spacing w:after="120"/>
      <w:ind w:left="720"/>
      <w:contextualSpacing/>
    </w:pPr>
  </w:style>
  <w:style w:type="table" w:styleId="0000a0">
    <w:name w:val="Colorful List Accent 4"/>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tblStylePr w:type="firstCol">
      <w:rPr>
        <w:b/>
        <w:bCs/>
      </w:rPr>
    </w:tblStylePr>
    <w:tblStylePr w:type="lastCol">
      <w:rPr>
        <w:b/>
        <w:bCs/>
      </w:r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style>
  <w:style w:type="table" w:styleId="000077">
    <w:name w:val="Medium List 2 Accent 5"/>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0" w:themeFill="accent5" w:themeFillTint="3F"/>
      </w:tcPr>
    </w:tblStylePr>
    <w:tblStylePr w:type="swCell">
      <w:tblPr/>
      <w:tcPr>
        <w:tcBorders>
          <w:top w:val="nil"/>
        </w:tcBorders>
      </w:tcPr>
    </w:tblStylePr>
  </w:style>
  <w:style w:type="table" w:styleId="000054">
    <w:name w:val="Light List Accent 5"/>
    <w:basedOn w:val="00002f"/>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style>
  <w:style w:type="paragraph" w:styleId="00000a">
    <w:name w:val="List Number 2"/>
    <w:basedOn w:val="00001b"/>
    <w:uiPriority w:val="99"/>
    <w:unhideWhenUsed/>
    <w:pPr>
      <w:numPr>
        <w:ilvl w:val="0"/>
        <w:numId w:val="19"/>
      </w:numPr>
      <w:contextualSpacing/>
    </w:pPr>
  </w:style>
  <w:style w:type="paragraph" w:styleId="000026">
    <w:name w:val="heading 6"/>
    <w:basedOn w:val="00001b"/>
    <w:next w:val="00001b"/>
    <w:link w:val="000027"/>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table" w:styleId="00007c">
    <w:name w:val="Medium Grid 1 Accent 3"/>
    <w:basedOn w:val="00002f"/>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Col">
      <w:rPr>
        <w:b/>
        <w:bCs/>
      </w:rPr>
    </w:tblStylePr>
    <w:tblStylePr w:type="fir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Row">
      <w:rPr>
        <w:b/>
        <w:bCs/>
      </w:rPr>
      <w:tblPr/>
      <w:tcPr>
        <w:tcBorders>
          <w:top w:val="single" w:color="B4CC82" w:themeColor="accent3" w:themeTint="BF" w:sz="18" w:space="0"/>
        </w:tcBorders>
      </w:tcPr>
    </w:tblStylePr>
  </w:style>
  <w:style w:type="character" w:styleId="00003b" w:customStyle="true">
    <w:name w:val="Footer Char"/>
    <w:basedOn w:val="00002e"/>
    <w:link w:val="00003a"/>
    <w:uiPriority w:val="99"/>
  </w:style>
  <w:style w:type="table" w:styleId="000048">
    <w:name w:val="Light Shading"/>
    <w:basedOn w:val="00002f"/>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BFBFBF" w:themeFill="text1" w:themeFillTint="3F"/>
      </w:tc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firstCol">
      <w:rPr>
        <w:b/>
        <w:bCs/>
      </w:r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92">
    <w:name w:val="Dark List Accent 4"/>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f">
    <w:name w:val="Medium List 1 Accent 4"/>
    <w:basedOn w:val="00002f"/>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bCs/>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style>
  <w:style w:type="table" w:styleId="00004e">
    <w:name w:val="Light Shading Accent 6"/>
    <w:basedOn w:val="00002f"/>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bCs/>
      </w:r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5D1" w:themeFill="accent6" w:themeFillTint="3F"/>
      </w:tc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5D1" w:themeFill="accent6" w:themeFillTint="3F"/>
      </w:tcPr>
    </w:tblStylePr>
    <w:tblStylePr w:type="firstCol">
      <w:rPr>
        <w:b/>
        <w:bCs/>
      </w:rPr>
    </w:tblStylePr>
  </w:style>
  <w:style w:type="table" w:styleId="00004d">
    <w:name w:val="Light Shading Accent 5"/>
    <w:basedOn w:val="00002f"/>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band1Horz">
      <w:tblPr/>
      <w:tcPr>
        <w:tcBorders>
          <w:left w:val="nil"/>
          <w:right w:val="nil"/>
          <w:insideH w:val="nil"/>
          <w:insideV w:val="nil"/>
        </w:tcBorders>
        <w:shd w:val="clear" w:color="auto" w:fill="D2EAF0" w:themeFill="accent5" w:themeFillTint="3F"/>
      </w:tcPr>
    </w:tblStylePr>
  </w:style>
  <w:style w:type="character" w:styleId="000037" w:customStyle="true">
    <w:name w:val="Body Text Char"/>
    <w:basedOn w:val="00002e"/>
    <w:link w:val="000036"/>
    <w:uiPriority w:val="99"/>
  </w:style>
  <w:style w:type="paragraph" w:styleId="0000ad">
    <w:name w:val="Quote"/>
    <w:basedOn w:val="00001b"/>
    <w:next w:val="00001b"/>
    <w:link w:val="0000ac"/>
    <w:uiPriority w:val="29"/>
    <w:qFormat/>
    <w:rPr>
      <w:i/>
      <w:iCs/>
      <w:color w:val="000000" w:themeColor="text1"/>
      <w14:textFill>
        <w14:solidFill>
          <w14:schemeClr w14:val="tx1"/>
        </w14:solidFill>
      </w14:textFill>
    </w:rPr>
  </w:style>
  <w:style w:type="character" w:styleId="0000b3" w:customStyle="true">
    <w:name w:val="Intense Quote Char"/>
    <w:basedOn w:val="00002e"/>
    <w:link w:val="0000b2"/>
    <w:uiPriority w:val="30"/>
    <w:rPr>
      <w:b/>
      <w:bCs/>
      <w:i/>
      <w:iCs/>
      <w:color w:val="4F81BD" w:themeColor="accent1"/>
      <w14:textFill>
        <w14:solidFill>
          <w14:schemeClr w14:val="accent1"/>
        </w14:solidFill>
      </w14:textFill>
    </w:rPr>
  </w:style>
  <w:style w:type="table" w:styleId="000075">
    <w:name w:val="Medium List 2 Accent 3"/>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83">
    <w:name w:val="Medium Grid 2 Accent 3"/>
    <w:basedOn w:val="00002f"/>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bCs/>
        <w:color w:val="000000" w:themeColor="text1"/>
        <w14:textFill>
          <w14:solidFill>
            <w14:schemeClr w14:val="tx1"/>
          </w14:solidFill>
        </w14:textFill>
      </w:rPr>
      <w:tblPr/>
      <w:tcPr>
        <w:shd w:val="clear" w:color="auto" w:fill="F5F8EE" w:themeFill="accent3" w:themeFillTint="19"/>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false"/>
        <w:bCs w:val="false"/>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sz="6" w:space="0"/>
          <w:insideV w:val="single" w:sz="6" w:space="0"/>
        </w:tcBorders>
        <w:shd w:val="clear" w:color="auto" w:fill="CDDDAC" w:themeFill="accent3" w:themeFillTint="7F"/>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00002f" w:default="true">
    <w:name w:val="Normal Table"/>
    <w:uiPriority w:val="99"/>
    <w:semiHidden/>
    <w:unhideWhenUsed/>
    <w:tblPr>
      <w:tblCellMar>
        <w:top w:w="0" w:type="dxa"/>
        <w:left w:w="108" w:type="dxa"/>
        <w:bottom w:w="0" w:type="dxa"/>
        <w:right w:w="108" w:type="dxa"/>
      </w:tblCellMar>
    </w:tblPr>
  </w:style>
  <w:style w:type="table" w:styleId="00006d">
    <w:name w:val="Medium List 1 Accent 2"/>
    <w:basedOn w:val="00002f"/>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bCs/>
      </w:rPr>
    </w:tblStylePr>
    <w:tblStylePr w:type="band1Horz">
      <w:tblPr/>
      <w:tcPr>
        <w:shd w:val="clear" w:color="auto" w:fill="EFD3D3" w:themeFill="accent2" w:themeFillTint="3F"/>
      </w:tcPr>
    </w:tblStylePr>
    <w:tblStylePr w:type="band1Vert">
      <w:tblPr/>
      <w:tcPr>
        <w:shd w:val="clear" w:color="auto" w:fill="EFD3D3" w:themeFill="accent2" w:themeFillTint="3F"/>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lastCol">
      <w:rPr>
        <w:b/>
        <w:bCs/>
      </w:rPr>
      <w:tblPr/>
      <w:tcPr>
        <w:tcBorders>
          <w:top w:val="single" w:color="C0504D" w:themeColor="accent2" w:sz="8" w:space="0"/>
          <w:bottom w:val="single" w:color="C0504D" w:themeColor="accent2" w:sz="8" w:space="0"/>
        </w:tcBorders>
      </w:tcPr>
    </w:tblStylePr>
  </w:style>
  <w:style w:type="table" w:styleId="000070">
    <w:name w:val="Medium List 1 Accent 5"/>
    <w:basedOn w:val="00002f"/>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0" w:themeFill="accent5" w:themeFillTint="3F"/>
      </w:tcPr>
    </w:tblStylePr>
    <w:tblStylePr w:type="firstCol">
      <w:rPr>
        <w:b/>
        <w:bCs/>
      </w:rPr>
    </w:tblStylePr>
    <w:tblStylePr w:type="band1Vert">
      <w:tblPr/>
      <w:tcPr>
        <w:shd w:val="clear" w:color="auto" w:fill="D2EAF0" w:themeFill="accent5" w:themeFillTint="3F"/>
      </w:tcPr>
    </w:tblStylePr>
    <w:tblStylePr w:type="lastCol">
      <w:rPr>
        <w:b/>
        <w:bCs/>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style>
  <w:style w:type="paragraph" w:styleId="000040">
    <w:name w:val="List"/>
    <w:basedOn w:val="00001b"/>
    <w:uiPriority w:val="99"/>
    <w:unhideWhenUsed/>
    <w:pPr>
      <w:ind w:left="360" w:hanging="360"/>
      <w:contextualSpacing/>
    </w:pPr>
  </w:style>
  <w:style w:type="table" w:styleId="000057">
    <w:name w:val="Light Grid Accent 1"/>
    <w:basedOn w:val="00002f"/>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style>
  <w:style w:type="paragraph" w:styleId="000039">
    <w:name w:val="List Continue"/>
    <w:basedOn w:val="00001b"/>
    <w:uiPriority w:val="99"/>
    <w:unhideWhenUsed/>
    <w:pPr>
      <w:spacing w:after="120"/>
      <w:ind w:left="360"/>
      <w:contextualSpacing/>
    </w:pPr>
  </w:style>
  <w:style w:type="table" w:styleId="000065">
    <w:name w:val="Medium Shading 2 Accent 1"/>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style>
  <w:style w:type="table" w:styleId="000098">
    <w:name w:val="Colorful Shading Accent 3"/>
    <w:basedOn w:val="00002f"/>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band1Horz">
      <w:tblPr/>
      <w:tcPr>
        <w:shd w:val="clear" w:color="auto" w:fill="CDDDAC" w:themeFill="accent3" w:themeFillTint="7F"/>
      </w:tcPr>
    </w:tblStylePr>
  </w:style>
  <w:style w:type="table" w:styleId="000074">
    <w:name w:val="Medium List 2 Accent 2"/>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8f">
    <w:name w:val="Dark List Accent 1"/>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style>
  <w:style w:type="table" w:styleId="000073">
    <w:name w:val="Medium List 2 Accent 1"/>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paragraph" w:styleId="000022">
    <w:name w:val="heading 4"/>
    <w:basedOn w:val="00001b"/>
    <w:next w:val="00001b"/>
    <w:link w:val="000023"/>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000042" w:customStyle="true">
    <w:name w:val="Body Text 2 Char"/>
    <w:basedOn w:val="00002e"/>
    <w:link w:val="000041"/>
    <w:uiPriority w:val="99"/>
  </w:style>
  <w:style w:type="character" w:styleId="00003d" w:customStyle="true">
    <w:name w:val="Header Char"/>
    <w:basedOn w:val="00002e"/>
    <w:link w:val="00003c"/>
    <w:uiPriority w:val="99"/>
  </w:style>
  <w:style w:type="table" w:styleId="000072">
    <w:name w:val="Medium List 2"/>
    <w:basedOn w:val="00002f"/>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style>
  <w:style w:type="table" w:styleId="00008b">
    <w:name w:val="Medium Grid 3 Accent 4"/>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style>
  <w:style w:type="table" w:styleId="000093">
    <w:name w:val="Dark List Accent 5"/>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table" w:styleId="00006a">
    <w:name w:val="Medium Shading 2 Accent 6"/>
    <w:basedOn w:val="00002f"/>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a1">
    <w:name w:val="Colorful List Accent 5"/>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lastCol">
      <w:rPr>
        <w:b/>
        <w:bCs/>
      </w:r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firstCol">
      <w:rPr>
        <w:b/>
        <w:bCs/>
      </w:r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0" w:themeFill="accent5" w:themeFillTint="3F"/>
      </w:tcPr>
    </w:tblStylePr>
  </w:style>
  <w:style w:type="paragraph" w:styleId="00001e">
    <w:name w:val="heading 2"/>
    <w:basedOn w:val="00001b"/>
    <w:next w:val="00001b"/>
    <w:link w:val="00001f"/>
    <w:uiPriority w:val="9"/>
    <w:unhideWhenUsed/>
    <w:qFormat/>
    <w:pPr>
      <w:keepNext/>
      <w:keepLines/>
      <w:spacing w:before="200" w:after="0"/>
      <w:outlineLvl w:val="1"/>
    </w:pPr>
    <w:rPr>
      <w:rFonts w:asciiTheme="majorHAnsi" w:hAnsiTheme="majorHAnsi" w:eastAsiaTheme="majorEastAsia" w:cstheme="majorBidi"/>
      <w:b/>
      <w:bCs/>
      <w:color w:val="2F5597"/>
      <w:sz w:val="26"/>
      <w:szCs w:val="26"/>
    </w:rPr>
  </w:style>
  <w:style w:type="paragraph" w:styleId="0000b1">
    <w:name w:val="No Spacing"/>
    <w:uiPriority w:val="1"/>
    <w:qFormat/>
    <w:pPr>
      <w:spacing w:after="0" w:line="240" w:lineRule="auto"/>
    </w:pPr>
    <w:rPr>
      <w:rFonts w:asciiTheme="minorHAnsi" w:hAnsiTheme="minorHAnsi" w:eastAsiaTheme="minorEastAsia" w:cstheme="minorBidi"/>
      <w:sz w:val="22"/>
      <w:szCs w:val="22"/>
      <w:lang w:val="en-US" w:eastAsia="en-US" w:bidi="ar-SA"/>
    </w:rPr>
  </w:style>
  <w:style w:type="paragraph" w:styleId="0000b2">
    <w:name w:val="Intense Quote"/>
    <w:basedOn w:val="00001b"/>
    <w:next w:val="00001b"/>
    <w:link w:val="0000b3"/>
    <w:uiPriority w:val="30"/>
    <w:qFormat/>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table" w:styleId="0000a9">
    <w:name w:val="Colorful Grid Accent 6"/>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Horz">
      <w:tblPr/>
      <w:tcPr>
        <w:shd w:val="clear" w:color="auto" w:fill="FBCAA2" w:themeFill="accent6" w:themeFillTint="7F"/>
      </w:tcPr>
    </w:tblStylePr>
  </w:style>
  <w:style w:type="table" w:styleId="00008e">
    <w:name w:val="Dark List"/>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8">
    <w:name w:val="Light Grid Accent 2"/>
    <w:basedOn w:val="00002f"/>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firstCol">
      <w:rPr>
        <w:rFonts w:asciiTheme="majorHAnsi" w:hAnsiTheme="majorHAnsi" w:eastAsiaTheme="majorEastAsia" w:cstheme="majorBidi"/>
        <w:b/>
        <w:bCs/>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style>
  <w:style w:type="table" w:styleId="00006e">
    <w:name w:val="Medium List 1 Accent 3"/>
    <w:basedOn w:val="00002f"/>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style>
  <w:style w:type="table" w:styleId="00008d">
    <w:name w:val="Medium Grid 3 Accent 6"/>
    <w:basedOn w:val="00002f"/>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tblStylePr w:type="lastCol">
      <w:rPr>
        <w:b/>
        <w:bCs/>
        <w:i w:val="false"/>
        <w:iCs w:val="false"/>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bCs/>
        <w:i w:val="false"/>
        <w:iCs w:val="false"/>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false"/>
        <w:iCs w:val="false"/>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bCs/>
        <w:i w:val="false"/>
        <w:iCs w:val="false"/>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ac" w:customStyle="true">
    <w:name w:val="Quote Char"/>
    <w:basedOn w:val="00002e"/>
    <w:link w:val="0000ad"/>
    <w:uiPriority w:val="29"/>
    <w:rPr>
      <w:i/>
      <w:iCs/>
      <w:color w:val="000000" w:themeColor="text1"/>
      <w14:textFill>
        <w14:solidFill>
          <w14:schemeClr w14:val="tx1"/>
        </w14:solidFill>
      </w14:textFill>
    </w:rPr>
  </w:style>
  <w:style w:type="character" w:styleId="qos0bm">
    <w:name w:val="Hyperlink"/>
    <w:basedOn w:val="00002e"/>
    <w:next w:val=""/>
    <w:uiPriority w:val="99"/>
    <w:unhideWhenUsed/>
    <w:rPr>
      <w:color w:val="1E6FFF" w:themeColor="hyperlink"/>
      <w:u w:val="single"/>
    </w:rPr>
  </w:style>
  <w:style w:type="table" w:styleId="00005a">
    <w:name w:val="Light Grid Accent 4"/>
    <w:basedOn w:val="00002f"/>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tblStylePr w:type="firstCol">
      <w:rPr>
        <w:rFonts w:asciiTheme="majorHAnsi" w:hAnsiTheme="majorHAnsi" w:eastAsiaTheme="majorEastAsia" w:cstheme="majorBidi"/>
        <w:b/>
        <w:bCs/>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style>
  <w:style w:type="table" w:styleId="000071">
    <w:name w:val="Medium List 1 Accent 6"/>
    <w:basedOn w:val="00002f"/>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5D1" w:themeFill="accent6" w:themeFillTint="3F"/>
      </w:tcPr>
    </w:tblStylePr>
    <w:tblStylePr w:type="firstCol">
      <w:rPr>
        <w:b/>
        <w:bCs/>
      </w:rPr>
    </w:tblStylePr>
    <w:tblStylePr w:type="band1Horz">
      <w:tblPr/>
      <w:tcPr>
        <w:shd w:val="clear" w:color="auto" w:fill="FDE5D1" w:themeFill="accent6" w:themeFillTint="3F"/>
      </w:tcPr>
    </w:tblStylePr>
    <w:tblStylePr w:type="lastCol">
      <w:rPr>
        <w:b/>
        <w:bCs/>
      </w:rPr>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style>
  <w:style w:type="paragraph" w:styleId="000045">
    <w:name w:val="Title"/>
    <w:basedOn w:val="00001b"/>
    <w:next w:val="00001b"/>
    <w:link w:val="000046"/>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F4E78"/>
      <w:spacing w:val="5"/>
      <w:kern w:val="28"/>
      <w:sz w:val="44"/>
      <w:szCs w:val="52"/>
    </w:rPr>
  </w:style>
  <w:style w:type="table" w:styleId="00009e">
    <w:name w:val="Colorful List Accent 2"/>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3" w:themeFill="accent2" w:themeFillTint="3F"/>
      </w:tcPr>
    </w:tblStylePr>
    <w:tblStylePr w:type="lastCol">
      <w:rPr>
        <w:b/>
        <w:bCs/>
      </w:rPr>
    </w:tblStylePr>
    <w:tblStylePr w:type="firstCol">
      <w:rPr>
        <w:b/>
        <w:bCs/>
      </w:r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style>
  <w:style w:type="table" w:styleId="0000a6">
    <w:name w:val="Colorful Grid Accent 3"/>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14:textFill>
          <w14:solidFill>
            <w14:schemeClr w14:val="bg1"/>
          </w14:solidFill>
        </w14:textFill>
      </w:rPr>
      <w:tblPr/>
      <w:tcPr>
        <w:shd w:val="clear" w:color="auto" w:fill="76923C" w:themeFill="accent3" w:themeFillShade="BF"/>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style>
  <w:style w:type="table" w:styleId="000090">
    <w:name w:val="Dark List Accent 2"/>
    <w:basedOn w:val="00002f"/>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a7">
    <w:name w:val="Colorful Grid Accent 4"/>
    <w:basedOn w:val="00002f"/>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Row">
      <w:rPr>
        <w:b/>
        <w:bCs/>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band1Horz">
      <w:tblPr/>
      <w:tcPr>
        <w:shd w:val="clear" w:color="auto" w:fill="BFB1D0" w:themeFill="accent4" w:themeFillTint="7F"/>
      </w:tcPr>
    </w:tblStylePr>
    <w:tblStylePr w:type="lastCol">
      <w:rPr>
        <w:color w:val="FFFFFF" w:themeColor="background1"/>
        <w14:textFill>
          <w14:solidFill>
            <w14:schemeClr w14:val="bg1"/>
          </w14:solidFill>
        </w14:textFill>
      </w:rPr>
      <w:tblPr/>
      <w:tcPr>
        <w:shd w:val="clear" w:color="auto" w:fill="5F497A" w:themeFill="accent4" w:themeFillShade="BF"/>
      </w:tcPr>
    </w:tblStylePr>
  </w:style>
  <w:style w:type="character" w:styleId="000025" w:customStyle="true">
    <w:name w:val="Heading 5 Char"/>
    <w:basedOn w:val="00002e"/>
    <w:link w:val="000024"/>
    <w:uiPriority w:val="9"/>
    <w:semiHidden/>
    <w:rPr>
      <w:rFonts w:asciiTheme="majorHAnsi" w:hAnsiTheme="majorHAnsi" w:eastAsiaTheme="majorEastAsia" w:cstheme="majorBidi"/>
      <w:color w:val="254061" w:themeColor="accent1" w:themeShade="80"/>
    </w:rPr>
  </w:style>
  <w:style w:type="table" w:styleId="00009f">
    <w:name w:val="Colorful List Accent 3"/>
    <w:basedOn w:val="00002f"/>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band1Horz">
      <w:tblPr/>
      <w:tcPr>
        <w:shd w:val="clear" w:color="auto" w:fill="EAF1DD" w:themeFill="accent3" w:themeFillTint="33"/>
      </w:tcPr>
    </w:tblStyle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00004a">
    <w:name w:val="Light Shading Accent 2"/>
    <w:basedOn w:val="00002f"/>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tblStylePr w:type="firstCol">
      <w:rPr>
        <w:b/>
        <w:bCs/>
      </w:rPr>
    </w:tblStylePr>
  </w:style>
</w:styles>
</file>

<file path=word/_rels/document.xml.rels><?xml version='1.0' encoding='UTF-8' standalone='yes'?>
<Relationships xmlns="http://schemas.openxmlformats.org/package/2006/relationships"><Relationship Id="rId2" Type="http://schemas.openxmlformats.org/officeDocument/2006/relationships/footnotes" Target="footnotes.xml"/><Relationship Id="rId1" Type="http://schemas.openxmlformats.org/officeDocument/2006/relationships/settings" Target="settings.xml"/><Relationship Id="rId12" Type="http://schemas.openxmlformats.org/officeDocument/2006/relationships/image" Target="media/image5.png"/><Relationship Id="rId0"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footer" Target="footer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ntTable" Target="fontTable.xml"/><Relationship Id="rId3" Type="http://schemas.openxmlformats.org/officeDocument/2006/relationships/endnotes" Target="endnotes.xml"/><Relationship Id="rId14" Type="http://schemas.openxmlformats.org/officeDocument/2006/relationships/image" Target="media/image7.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2026-09-09T18:51:10Z</dcterms:created>
  <dcterms:modified xsi:type="dcterms:W3CDTF">2026-09-09T18:51:10Z</dcterms:modified>
</cp:coreProperties>
</file>