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ov4dg2"/>
        <w:snapToGrid/>
        <w:spacing w:before="480" w:after="0" w:line="360"/>
        <w:ind w:left="0" w:right="0" w:hanging="0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40"/>
          <w:u w:val="none"/>
        </w:rPr>
        <w:t>测试设备授权平台运营监控与数据分析方案</w:t>
      </w:r>
    </w:p>
    <w:p>
      <w:pPr>
        <w:pStyle w:val="ajs31t"/>
        <w:ind w:left="0"/>
        <w:rPr/>
      </w:pPr>
      <w:r>
        <w:rPr/>
        <w:t>一、文档背景</w:t>
      </w:r>
    </w:p>
    <w:p>
      <w:pPr>
        <w:pBdr>
          <w:bottom/>
        </w:pBdr>
        <w:snapToGrid/>
        <w:spacing w:before="0" w:after="160" w:line="360"/>
        <w:ind w:left="0" w:right="0" w:firstLine="48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本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文档是为测试设备授权平台上线后的运营搭建一套监控体系。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主要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会从申请和审批流程、自动化授权以及用户体验几个方面入手，持续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监测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授权管理专项的成效，也为后续产品优化和流程治理提供依据。</w:t>
      </w:r>
    </w:p>
    <w:p>
      <w:pPr>
        <w:pStyle w:val="ajs31t"/>
        <w:ind w:left="0"/>
        <w:rPr/>
      </w:pPr>
      <w:r>
        <w:rPr/>
        <w:t>二、项目价值承接</w:t>
      </w:r>
    </w:p>
    <w:p>
      <w:pPr>
        <w:snapToGrid/>
        <w:spacing w:before="0" w:after="160" w:line="360"/>
        <w:ind w:left="0" w:right="0" w:firstLine="48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授权管理专项最核心的目的，是让授权从申请、审批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到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开通的整个过程都透明、可控、可追溯。既要改善申请体验、提升自动化授权水平，也要减少授权被无故延长、白嫖、窜货这类风险。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本项目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的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运营监控，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围绕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立项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目标持续跟踪和衡量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4"/>
          <w:u w:val="none"/>
        </w:rPr>
        <w:t>：</w:t>
      </w:r>
    </w:p>
    <w:tbl>
      <w:tblPr>
        <w:tblStyle w:val="kv19qu"/>
        <w:tblLayout w:type="fixed"/>
      </w:tblPr>
      <w:tblGrid>
        <w:gridCol w:w="2325"/>
        <w:gridCol w:w="3255"/>
        <w:gridCol w:w="3479"/>
      </w:tblGrid>
      <w:tr>
        <w:trPr/>
        <w:tc>
          <w:tcPr>
            <w:tcW w:w="2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立项目标</w:t>
            </w:r>
          </w:p>
        </w:tc>
        <w:tc>
          <w:tcPr>
            <w:tcW w:w="32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运营检视重点</w:t>
            </w:r>
          </w:p>
        </w:tc>
        <w:tc>
          <w:tcPr>
            <w:tcW w:w="3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核心指标</w:t>
            </w:r>
          </w:p>
        </w:tc>
      </w:tr>
      <w:tr>
        <w:trPr/>
        <w:tc>
          <w:tcPr>
            <w:tcW w:w="2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授权申请体验提升</w:t>
            </w:r>
          </w:p>
        </w:tc>
        <w:tc>
          <w:tcPr>
            <w:tcW w:w="32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申请链路是否更短，填单是否更顺畅，提交是否更稳定</w:t>
            </w:r>
          </w:p>
        </w:tc>
        <w:tc>
          <w:tcPr>
            <w:tcW w:w="3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提交成功率、提交校验失败率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、表单填写时长</w:t>
            </w:r>
          </w:p>
        </w:tc>
      </w:tr>
      <w:tr>
        <w:trPr/>
        <w:tc>
          <w:tcPr>
            <w:tcW w:w="2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自动化授权能力提升</w:t>
            </w:r>
          </w:p>
        </w:tc>
        <w:tc>
          <w:tcPr>
            <w:tcW w:w="32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测试授权是否逐步从分散入口收口到平台，平台内应自动授权的申请是否能够稳定完成授权下发</w:t>
            </w:r>
          </w:p>
        </w:tc>
        <w:tc>
          <w:tcPr>
            <w:tcW w:w="3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before="0" w:after="160" w:line="360"/>
              <w:ind w:left="0" w:right="0" w:hanging="0"/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覆盖率、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平台自动授权成功率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（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包含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、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客户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创建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）</w:t>
            </w:r>
          </w:p>
        </w:tc>
      </w:tr>
      <w:tr>
        <w:trPr/>
        <w:tc>
          <w:tcPr>
            <w:tcW w:w="2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全旅程可视可管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可审计</w:t>
            </w:r>
          </w:p>
        </w:tc>
        <w:tc>
          <w:tcPr>
            <w:tcW w:w="32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是否能追踪申请、审批、授权完成等关键节点，并定位链路耗时和异常问题</w:t>
            </w:r>
          </w:p>
        </w:tc>
        <w:tc>
          <w:tcPr>
            <w:tcW w:w="3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端到端授权耗时、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节点耗时、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总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耗时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审批通过率</w:t>
            </w:r>
          </w:p>
        </w:tc>
      </w:tr>
    </w:tbl>
    <w:p>
      <w:pPr>
        <w:pStyle w:val="ajs31t"/>
        <w:numPr/>
        <w:snapToGrid/>
        <w:spacing w:before="200" w:after="0" w:line="360"/>
        <w:ind w:left="0" w:right="0" w:hanging="0"/>
        <w:rPr/>
      </w:pPr>
    </w:p>
    <w:p>
      <w:pPr>
        <w:pStyle w:val="ajs31t"/>
        <w:numPr>
          <w:ilvl w:val="0"/>
          <w:numId w:val="1"/>
        </w:numPr>
        <w:rPr/>
      </w:pPr>
      <w:r>
        <w:rPr/>
        <w:t>核心指标定义与计算公式</w:t>
      </w:r>
    </w:p>
    <w:p>
      <w:pPr>
        <w:pStyle w:val="o112vi"/>
        <w:numPr/>
        <w:rPr/>
      </w:pPr>
      <w:r>
        <w:rPr/>
        <w:t xml:space="preserve">1 </w:t>
      </w:r>
      <w:r>
        <w:rPr>
          <w:rFonts w:hint="eastAsia"/>
        </w:rPr>
        <w:t>、</w:t>
      </w:r>
      <w:r>
        <w:rPr/>
        <w:t xml:space="preserve"> 体验类指标</w:t>
      </w:r>
    </w:p>
    <w:tbl>
      <w:tblPr>
        <w:tblStyle w:val="k4oogu"/>
        <w:tblLayout w:type="fixed"/>
        <w:tblLook/>
      </w:tblPr>
      <w:tblGrid>
        <w:gridCol w:w="2455"/>
        <w:gridCol w:w="4092"/>
        <w:gridCol w:w="3675"/>
      </w:tblGrid>
      <w:tr>
        <w:trPr>
          <w:wBefore/>
          <w:trHeight w:val="481" w:hRule="atLeast"/>
        </w:trPr>
        <w:tc>
          <w:tcPr>
            <w:tcW w:w="2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指标</w:t>
            </w:r>
          </w:p>
        </w:tc>
        <w:tc>
          <w:tcPr>
            <w:tcW w:w="409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计算公式</w:t>
            </w:r>
          </w:p>
        </w:tc>
        <w:tc>
          <w:tcPr>
            <w:tcW w:w="36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填单完成率</w:t>
            </w:r>
          </w:p>
        </w:tc>
        <w:tc>
          <w:tcPr>
            <w:tcW w:w="409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成功提交申请单数 / 开始填单人数或次数</w:t>
            </w:r>
          </w:p>
        </w:tc>
        <w:tc>
          <w:tcPr>
            <w:tcW w:w="36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衡量用户从开始填写到提交成功的转化情况</w:t>
            </w:r>
          </w:p>
        </w:tc>
      </w:tr>
      <w:tr>
        <w:trPr>
          <w:wBefore/>
          <w:trHeight/>
        </w:trPr>
        <w:tc>
          <w:tcPr>
            <w:tcW w:w="2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提交校验失败率</w:t>
            </w:r>
          </w:p>
        </w:tc>
        <w:tc>
          <w:tcPr>
            <w:tcW w:w="409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提交校验失败次数 / 点击提交次数</w:t>
            </w:r>
          </w:p>
        </w:tc>
        <w:tc>
          <w:tcPr>
            <w:tcW w:w="36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衡量表单提交和后端建单是否稳定</w:t>
            </w:r>
          </w:p>
        </w:tc>
      </w:tr>
      <w:tr>
        <w:trPr>
          <w:wBefore/>
          <w:trHeight/>
        </w:trPr>
        <w:tc>
          <w:tcPr>
            <w:tcW w:w="2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表单填写时长</w:t>
            </w:r>
          </w:p>
        </w:tc>
        <w:tc>
          <w:tcPr>
            <w:tcW w:w="409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提交成功时间 - 开始填单时间</w:t>
            </w:r>
          </w:p>
        </w:tc>
        <w:tc>
          <w:tcPr>
            <w:tcW w:w="36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判断平台申请流程是否更顺畅、更省时间</w:t>
            </w:r>
          </w:p>
        </w:tc>
      </w:tr>
    </w:tbl>
    <w:p>
      <w:pPr>
        <w:numPr/>
        <w:snapToGrid/>
        <w:spacing w:before="0" w:after="160" w:line="360"/>
        <w:ind w:left="0" w:right="0" w:hanging="0"/>
        <w:rPr>
          <w:rFonts w:ascii="宋体" w:hAnsi="宋体" w:eastAsia="宋体" w:cs="宋体"/>
        </w:rPr>
      </w:pPr>
    </w:p>
    <w:p>
      <w:pPr>
        <w:pStyle w:val="o112vi"/>
        <w:numPr/>
        <w:rPr/>
      </w:pPr>
      <w:r>
        <w:rPr/>
        <w:t>2</w:t>
      </w:r>
      <w:r>
        <w:rPr>
          <w:rFonts w:hint="eastAsia"/>
        </w:rPr>
        <w:t>、</w:t>
      </w:r>
      <w:r>
        <w:rPr/>
        <w:t xml:space="preserve"> 链路效率指标</w:t>
      </w:r>
    </w:p>
    <w:tbl>
      <w:tblPr>
        <w:tblStyle w:val="k4oogu"/>
        <w:tblLayout w:type="fixed"/>
        <w:tblLook/>
      </w:tblPr>
      <w:tblGrid>
        <w:gridCol w:w="2640"/>
        <w:gridCol w:w="4068"/>
        <w:gridCol w:w="3685"/>
      </w:tblGrid>
      <w:tr>
        <w:trPr>
          <w:wBefore/>
          <w:trHeight/>
        </w:trPr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指标</w:t>
            </w:r>
          </w:p>
        </w:tc>
        <w:tc>
          <w:tcPr>
            <w:tcW w:w="40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计算公式</w:t>
            </w:r>
          </w:p>
        </w:tc>
        <w:tc>
          <w:tcPr>
            <w:tcW w:w="36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>
          <w:wBefore/>
          <w:trHeight w:val="733" w:hRule="atLeast"/>
        </w:trPr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审批耗时端到端授权耗时</w:t>
            </w:r>
          </w:p>
        </w:tc>
        <w:tc>
          <w:tcPr>
            <w:tcW w:w="40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授权完成时间 - 申请提交成功时间</w:t>
            </w:r>
          </w:p>
        </w:tc>
        <w:tc>
          <w:tcPr>
            <w:tcW w:w="36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衡量从申请提交到授权完成的整体链路效率</w:t>
            </w:r>
          </w:p>
        </w:tc>
      </w:tr>
      <w:tr>
        <w:trPr>
          <w:wBefore/>
          <w:trHeight w:val="733" w:hRule="atLeast"/>
        </w:trPr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18"/>
                <w:u w:val="none"/>
              </w:rPr>
              <w:t>审批耗时</w:t>
            </w:r>
          </w:p>
        </w:tc>
        <w:tc>
          <w:tcPr>
            <w:tcW w:w="40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18"/>
                <w:u w:val="none"/>
              </w:rPr>
              <w:t>审批完成时间 - 进入审批时间</w:t>
            </w:r>
          </w:p>
        </w:tc>
        <w:tc>
          <w:tcPr>
            <w:tcW w:w="36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18"/>
                <w:u w:val="none"/>
              </w:rPr>
              <w:t>作为端到端授权耗时的拆解项，用于判断耗时是否集中在审批环节</w:t>
            </w:r>
          </w:p>
        </w:tc>
      </w:tr>
      <w:tr>
        <w:trPr>
          <w:wBefore/>
          <w:trHeight/>
        </w:trPr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审批通过率</w:t>
            </w:r>
          </w:p>
        </w:tc>
        <w:tc>
          <w:tcPr>
            <w:tcW w:w="40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审批通过申请单数 / 进入审批申请单数</w:t>
            </w:r>
          </w:p>
        </w:tc>
        <w:tc>
          <w:tcPr>
            <w:tcW w:w="36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6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衡量审批通过情况</w:t>
            </w:r>
          </w:p>
        </w:tc>
      </w:tr>
    </w:tbl>
    <w:p>
      <w:pPr>
        <w:numPr/>
        <w:snapToGrid/>
        <w:spacing w:before="0" w:after="160" w:line="360"/>
        <w:ind w:left="0" w:right="0" w:firstLine="0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当前阶段不设置审批及时率。若后续明确审批 SLA，可新增：</w:t>
      </w:r>
    </w:p>
    <w:p>
      <w:pPr>
        <w:numPr/>
        <w:snapToGrid/>
        <w:spacing w:before="0" w:after="160" w:line="360"/>
        <w:ind w:left="0" w:right="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审批及时率 = 在规定时限内完成审批的申请单数 / 进入审批申请单数</w:t>
      </w:r>
    </w:p>
    <w:p>
      <w:pPr>
        <w:pStyle w:val="o112vi"/>
        <w:numPr/>
        <w:rPr/>
      </w:pPr>
      <w:r>
        <w:rPr/>
        <w:t>3</w:t>
      </w:r>
      <w:r>
        <w:rPr>
          <w:rFonts w:hint="eastAsia"/>
        </w:rPr>
        <w:t>、</w:t>
      </w:r>
      <w:r>
        <w:rPr/>
        <w:t xml:space="preserve"> 自动化与平台收口指标</w:t>
      </w:r>
    </w:p>
    <w:tbl>
      <w:tblPr>
        <w:tblStyle w:val="k4oogu"/>
        <w:tblLayout w:type="fixed"/>
        <w:tblLook/>
      </w:tblPr>
      <w:tblGrid>
        <w:gridCol w:w="1958"/>
        <w:gridCol w:w="4664"/>
        <w:gridCol w:w="3751"/>
      </w:tblGrid>
      <w:tr>
        <w:trPr>
          <w:wBefore/>
          <w:trHeight w:val="545" w:hRule="atLeast"/>
        </w:trPr>
        <w:tc>
          <w:tcPr>
            <w:tcW w:w="19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指标</w:t>
            </w:r>
          </w:p>
        </w:tc>
        <w:tc>
          <w:tcPr>
            <w:tcW w:w="46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计算公式</w:t>
            </w:r>
          </w:p>
        </w:tc>
        <w:tc>
          <w:tcPr>
            <w:tcW w:w="37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>
          <w:wBefore/>
          <w:trHeight w:val="855" w:hRule="atLeast"/>
        </w:trPr>
        <w:tc>
          <w:tcPr>
            <w:tcW w:w="19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平台覆盖率</w:t>
            </w:r>
          </w:p>
        </w:tc>
        <w:tc>
          <w:tcPr>
            <w:tcW w:w="46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测试设备授权平台提交申请单数 / 授权中心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测试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总授权单数</w:t>
            </w:r>
          </w:p>
        </w:tc>
        <w:tc>
          <w:tcPr>
            <w:tcW w:w="37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衡量测试授权申请从旧入口、企微、人工等分散链路向本平台收口的程度</w:t>
            </w:r>
          </w:p>
        </w:tc>
      </w:tr>
      <w:tr>
        <w:trPr>
          <w:wBefore/>
          <w:trHeight w:val="855" w:hRule="atLeast"/>
        </w:trPr>
        <w:tc>
          <w:tcPr>
            <w:tcW w:w="19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平台自动授权成功率</w:t>
            </w:r>
          </w:p>
        </w:tc>
        <w:tc>
          <w:tcPr>
            <w:tcW w:w="46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平台内自动完成授权的单数 / 平台内应自动授权申请单数</w:t>
            </w:r>
          </w:p>
        </w:tc>
        <w:tc>
          <w:tcPr>
            <w:tcW w:w="37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判断平台内本应自动完成的申请是否稳定跑通</w:t>
            </w:r>
          </w:p>
        </w:tc>
      </w:tr>
    </w:tbl>
    <w:p>
      <w:pPr>
        <w:numPr/>
        <w:pBdr>
          <w:bottom/>
        </w:pBdr>
        <w:snapToGrid/>
        <w:spacing w:before="0" w:after="160" w:line="360"/>
        <w:ind w:left="0" w:right="0" w:firstLine="0"/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</w:pPr>
    </w:p>
    <w:p>
      <w:pPr>
        <w:pStyle w:val="o112vi"/>
        <w:numPr/>
        <w:rPr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/>
        <w:t xml:space="preserve"> 业务指标</w:t>
      </w:r>
    </w:p>
    <w:p>
      <w:pPr>
        <w:pStyle w:val="ablt93"/>
        <w:numPr>
          <w:ilvl w:val="0"/>
          <w:numId w:val="2"/>
        </w:numPr>
        <w:pBdr/>
        <w:snapToGrid/>
        <w:spacing w:before="200" w:after="0" w:line="360"/>
        <w:ind/>
        <w:rPr>
          <w:sz w:val="18"/>
        </w:rPr>
      </w:pPr>
      <w:r>
        <w:rPr>
          <w:rFonts w:hint="eastAsia"/>
          <w:sz w:val="18"/>
        </w:rPr>
        <w:t>产品测试平均时长</w:t>
      </w:r>
    </w:p>
    <w:p>
      <w:pPr>
        <w:pStyle w:val="ablt93"/>
        <w:numPr>
          <w:ilvl w:val="0"/>
          <w:numId w:val="2"/>
        </w:numPr>
        <w:pBdr>
          <w:bottom/>
        </w:pBdr>
        <w:snapToGrid/>
        <w:spacing w:before="200" w:after="0" w:line="360"/>
        <w:ind/>
        <w:rPr>
          <w:sz w:val="18"/>
        </w:rPr>
      </w:pPr>
      <w:r>
        <w:rPr>
          <w:rFonts w:hint="eastAsia"/>
          <w:sz w:val="18"/>
        </w:rPr>
        <w:t>异常设备比例</w:t>
      </w:r>
    </w:p>
    <w:p>
      <w:pPr>
        <w:pStyle w:val="ajs31t"/>
        <w:pBdr/>
        <w:snapToGrid/>
        <w:spacing w:before="200" w:after="0" w:line="360"/>
        <w:ind w:left="462"/>
        <w:rPr>
          <w:rFonts w:ascii="MS Gothic" w:hAnsi="MS Gothic" w:eastAsia="MS Gothic" w:cs="MS Gothic"/>
          <w:b w:val="false"/>
          <w:i w:val="false"/>
          <w:strike w:val="false"/>
          <w:color w:val="000000"/>
          <w:sz w:val="32"/>
          <w:u w:val="none"/>
        </w:rPr>
      </w:pPr>
    </w:p>
    <w:p>
      <w:pPr>
        <w:pStyle w:val="ajs31t"/>
        <w:rPr/>
      </w:pPr>
      <w:r>
        <w:rPr/>
        <w:t>四、 数据埋点</w:t>
      </w:r>
    </w:p>
    <w:p>
      <w:pPr>
        <w:pStyle w:val="o112vi"/>
        <w:rPr/>
      </w:pPr>
      <w:r>
        <w:rPr/>
        <w:t>1</w:t>
      </w:r>
      <w:r>
        <w:rPr>
          <w:rFonts w:hint="eastAsia"/>
        </w:rPr>
        <w:t>、</w:t>
      </w:r>
      <w:r>
        <w:rPr/>
        <w:t xml:space="preserve"> 数据埋点总览</w:t>
      </w:r>
    </w:p>
    <w:tbl>
      <w:tblPr>
        <w:tblStyle w:val="kv19qu"/>
        <w:tblLayout w:type="fixed"/>
      </w:tblPr>
      <w:tblGrid>
        <w:gridCol w:w="1582"/>
        <w:gridCol w:w="2064"/>
        <w:gridCol w:w="2593"/>
        <w:gridCol w:w="2817"/>
      </w:tblGrid>
      <w:tr>
        <w:trPr/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核心指标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需要采集的数据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主要事件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主要分析维度</w:t>
            </w:r>
          </w:p>
        </w:tc>
      </w:tr>
      <w:tr>
        <w:trPr/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填单完成率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开始填单人数或次数、成功提交申请单数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form_start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submit_success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授权场景、产品线、入口来源、申请类型</w:t>
            </w:r>
          </w:p>
        </w:tc>
      </w:tr>
      <w:tr>
        <w:trPr/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提交校验失败率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点击提交次数、提交校验失败次数、失败字段/原因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submit_click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submit_validation_fail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授权场景、产品线、失败字段、申请类型</w:t>
            </w:r>
          </w:p>
        </w:tc>
      </w:tr>
      <w:tr>
        <w:trPr/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表单填写时长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开始填单时间、提交成功时间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form_start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submit_success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授权场景、产品线、申请类型、客户类型</w:t>
            </w:r>
          </w:p>
        </w:tc>
      </w:tr>
      <w:tr>
        <w:trPr/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平台覆盖率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平台申请单数、统一平台测试授权总申请单数、申请来源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platform_apply_created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unified_apply_total_sync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入口来源、授权场景、产品线</w:t>
            </w:r>
          </w:p>
        </w:tc>
      </w:tr>
      <w:tr>
        <w:trPr>
          <w:wBefore/>
          <w:trHeight/>
        </w:trPr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平台自动授权成功率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应自动授权申请单数、自动授权成功数、自动授权失败原因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auto_auth_expected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auto_auth_success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auto_auth_fail</w:t>
            </w: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授权场景、产品线、失败节点、失败原因</w:t>
            </w:r>
          </w:p>
        </w:tc>
      </w:tr>
      <w:tr>
        <w:trPr>
          <w:wBefore/>
          <w:trHeight w:val="814" w:hRule="atLeast"/>
        </w:trPr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trike w:val="false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端到端授权耗时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trike w:val="false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申请提交成功时间、授权完成时间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trike w:val="false"/>
                <w:sz w:val="18"/>
              </w:rPr>
            </w:pP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trike w:val="false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授权场景、产品线、入口来源、申请类型</w:t>
            </w:r>
          </w:p>
        </w:tc>
      </w:tr>
      <w:tr>
        <w:trPr>
          <w:wBefore/>
          <w:trHeight/>
        </w:trPr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审批耗时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用于判断端到端耗时异常时是否由审批环节导致</w:t>
            </w:r>
          </w:p>
        </w:tc>
      </w:tr>
      <w:tr>
        <w:trPr>
          <w:wBefore/>
          <w:trHeight/>
        </w:trPr>
        <w:tc>
          <w:tcPr>
            <w:tcW w:w="15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审批通过率</w:t>
            </w:r>
          </w:p>
        </w:tc>
        <w:tc>
          <w:tcPr>
            <w:tcW w:w="20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进入审批申请单数、审批通过申请单数、审批驳回原因</w:t>
            </w:r>
          </w:p>
        </w:tc>
        <w:tc>
          <w:tcPr>
            <w:tcW w:w="25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281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授权场景、产品线、审批节点、驳回原因</w:t>
            </w:r>
          </w:p>
        </w:tc>
      </w:tr>
    </w:tbl>
    <w:p>
      <w:pPr>
        <w:pStyle w:val="o112vi"/>
        <w:rPr/>
      </w:pPr>
      <w:r>
        <w:rPr/>
        <w:t>2</w:t>
      </w:r>
      <w:r>
        <w:rPr>
          <w:rFonts w:hint="eastAsia"/>
        </w:rPr>
        <w:t>、</w:t>
      </w:r>
      <w:r>
        <w:rPr/>
        <w:t xml:space="preserve"> 数据埋点明细</w:t>
      </w:r>
    </w:p>
    <w:p>
      <w:pPr>
        <w:pStyle w:val="cvp8fq"/>
        <w:rPr/>
      </w:pPr>
      <w:r>
        <w:rPr/>
        <w:t>2.1</w:t>
      </w:r>
      <w:r>
        <w:rPr>
          <w:rFonts w:hint="eastAsia"/>
        </w:rPr>
        <w:t>、</w:t>
      </w:r>
      <w:r>
        <w:rPr/>
        <w:t>页面访问类事件</w:t>
      </w:r>
    </w:p>
    <w:tbl>
      <w:tblPr>
        <w:tblStyle w:val="kv19qu"/>
        <w:tblLayout w:type="fixed"/>
      </w:tblPr>
      <w:tblGrid>
        <w:gridCol w:w="1580"/>
        <w:gridCol w:w="1070"/>
        <w:gridCol w:w="1316"/>
        <w:gridCol w:w="3081"/>
        <w:gridCol w:w="1844"/>
      </w:tblGrid>
      <w:tr>
        <w:trPr/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事件ID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事件名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关键参数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业务统计口径</w:t>
            </w:r>
          </w:p>
        </w:tc>
      </w:tr>
      <w:tr>
        <w:trPr/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form_start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开始填单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用户首次编辑申请表单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用户ID、入口来源、授权场景、产品线、申请类型、客户类型、开始时间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表单填写时长、场景分布、产品线分布</w:t>
            </w:r>
          </w:p>
        </w:tc>
      </w:tr>
      <w:tr>
        <w:trPr/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submit_click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点击提交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用户点击提交申请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用户ID、入口来源、授权场景、产品线、申请类型、点击时间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提交校验失败率</w:t>
            </w:r>
          </w:p>
        </w:tc>
      </w:tr>
      <w:tr>
        <w:trPr/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submit_validation_fail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提交校验失败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提交前校验不通过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错误字段列表、错误类型、入口来源、授权场景、产品线、申请类型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提交校验失败率、失败字段分布</w:t>
            </w:r>
          </w:p>
        </w:tc>
      </w:tr>
      <w:tr>
        <w:trPr/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submit_success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提交成功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后端成功生成申请单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申请单号、入口来源、授权场景、产品线、申请类型、客户类型、提交成功时间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填单完成率、表单填写时长、端到端授权耗时</w:t>
            </w:r>
          </w:p>
        </w:tc>
      </w:tr>
      <w:tr>
        <w:trPr>
          <w:wBefore/>
          <w:trHeight/>
        </w:trPr>
        <w:tc>
          <w:tcPr>
            <w:tcW w:w="1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submit_fail</w:t>
            </w:r>
          </w:p>
        </w:tc>
        <w:tc>
          <w:tcPr>
            <w:tcW w:w="1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提交失败</w:t>
            </w:r>
          </w:p>
        </w:tc>
        <w:tc>
          <w:tcPr>
            <w:tcW w:w="131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后端返回失败</w:t>
            </w:r>
          </w:p>
        </w:tc>
        <w:tc>
          <w:tcPr>
            <w:tcW w:w="3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失败原因码、接口、入口来源、授权场景、产品线、申请类型</w:t>
            </w:r>
          </w:p>
        </w:tc>
        <w:tc>
          <w:tcPr>
            <w:tcW w:w="18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失败原因分布</w:t>
            </w:r>
          </w:p>
        </w:tc>
      </w:tr>
    </w:tbl>
    <w:p>
      <w:pPr>
        <w:pStyle w:val="cvp8fq"/>
        <w:pBdr>
          <w:bottom/>
        </w:pBdr>
        <w:snapToGrid/>
        <w:spacing w:line="240"/>
        <w:ind/>
        <w:rPr/>
      </w:pPr>
      <w:r>
        <w:rPr/>
        <w:t>2.2</w:t>
      </w:r>
      <w:r>
        <w:rPr>
          <w:rFonts w:hint="eastAsia"/>
        </w:rPr>
        <w:t>、</w:t>
      </w:r>
      <w:r>
        <w:rPr>
          <w:i w:val="false"/>
          <w:strike w:val="false"/>
          <w:color w:val="000000"/>
          <w:u w:val="none"/>
        </w:rPr>
        <w:t>平台覆盖与来源</w:t>
      </w:r>
    </w:p>
    <w:tbl>
      <w:tblPr>
        <w:tblStyle w:val="kv19qu"/>
        <w:tblLayout w:type="fixed"/>
      </w:tblPr>
      <w:tblGrid>
        <w:gridCol w:w="1260"/>
        <w:gridCol w:w="1260"/>
        <w:gridCol w:w="1575"/>
        <w:gridCol w:w="2914"/>
        <w:gridCol w:w="1847"/>
      </w:tblGrid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事件ID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事件名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29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关键参数</w:t>
            </w:r>
          </w:p>
        </w:tc>
        <w:tc>
          <w:tcPr>
            <w:tcW w:w="18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业务统计口径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entry_source_view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入口来源访问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用户从 W3、企微、PRM、旧入口等进入</w:t>
            </w:r>
          </w:p>
        </w:tc>
        <w:tc>
          <w:tcPr>
            <w:tcW w:w="29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入口类型、用户ID、访问时间、授权场景、产品线</w:t>
            </w:r>
          </w:p>
        </w:tc>
        <w:tc>
          <w:tcPr>
            <w:tcW w:w="18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入口来源分布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platform_apply_created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平台申请单生成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平台内申请单创建成功</w:t>
            </w:r>
          </w:p>
        </w:tc>
        <w:tc>
          <w:tcPr>
            <w:tcW w:w="29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申请单号、来源、授权场景、产品线、申请类型、客户类型</w:t>
            </w:r>
          </w:p>
        </w:tc>
        <w:tc>
          <w:tcPr>
            <w:tcW w:w="18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平台覆盖率、场景分布、产品线分布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unified_apply_total_sync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统一平台申请总数同步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从统一平台同步测试授权总量</w:t>
            </w:r>
          </w:p>
        </w:tc>
        <w:tc>
          <w:tcPr>
            <w:tcW w:w="29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统计周期、总申请单数、来源拆分、场景拆分、产品线拆分</w:t>
            </w:r>
          </w:p>
        </w:tc>
        <w:tc>
          <w:tcPr>
            <w:tcW w:w="18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平台覆盖率、平台外来源分布</w:t>
            </w:r>
          </w:p>
        </w:tc>
      </w:tr>
    </w:tbl>
    <w:p>
      <w:pPr>
        <w:pStyle w:val="cvp8fq"/>
        <w:rPr/>
      </w:pPr>
      <w:r>
        <w:rPr/>
        <w:t>2.3</w:t>
      </w:r>
      <w:r>
        <w:rPr>
          <w:rFonts w:hint="eastAsia"/>
        </w:rPr>
        <w:t>、</w:t>
      </w:r>
      <w:r>
        <w:rPr/>
        <w:t>自动授权链路</w:t>
      </w:r>
    </w:p>
    <w:tbl>
      <w:tblPr>
        <w:tblStyle w:val="kv19qu"/>
        <w:tblLayout w:type="fixed"/>
      </w:tblPr>
      <w:tblGrid>
        <w:gridCol w:w="1260"/>
        <w:gridCol w:w="1260"/>
        <w:gridCol w:w="1575"/>
        <w:gridCol w:w="2979"/>
        <w:gridCol w:w="1770"/>
      </w:tblGrid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事件ID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事件名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29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关键参数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业务统计口径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auto_auth_expected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标记应自动授权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申请单进入自动授权判断后</w:t>
            </w:r>
          </w:p>
        </w:tc>
        <w:tc>
          <w:tcPr>
            <w:tcW w:w="29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申请单号、授权场景、产品线、申请类型、规则ID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平台自动授权成功率分母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auto_auth_success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自动授权成功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平台自动完成授权</w:t>
            </w:r>
          </w:p>
        </w:tc>
        <w:tc>
          <w:tcPr>
            <w:tcW w:w="29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申请单号、授权完成时间、授权场景、产品线、申请类型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平台自动授权成功率、端到端授权耗时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auto_auth_fail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自动授权失败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自动授权流程失败</w:t>
            </w:r>
          </w:p>
        </w:tc>
        <w:tc>
          <w:tcPr>
            <w:tcW w:w="29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申请单号、失败原因、失败节点、授权场景、产品线、申请类型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平台自动授权成功率、失败原因分布</w:t>
            </w:r>
          </w:p>
        </w:tc>
      </w:tr>
    </w:tbl>
    <w:p>
      <w:pPr>
        <w:pStyle w:val="cvp8fq"/>
        <w:ind/>
        <w:rPr/>
      </w:pPr>
      <w:r>
        <w:rPr/>
        <w:t>2.4</w:t>
      </w:r>
      <w:r>
        <w:rPr>
          <w:rFonts w:hint="eastAsia"/>
        </w:rPr>
        <w:t>、</w:t>
      </w:r>
      <w:r>
        <w:rPr/>
        <w:t>审批与链路耗时</w:t>
      </w:r>
    </w:p>
    <w:tbl>
      <w:tblPr>
        <w:tblStyle w:val="kv19qu"/>
        <w:tblLayout w:type="fixed"/>
      </w:tblPr>
      <w:tblGrid>
        <w:gridCol w:w="1260"/>
        <w:gridCol w:w="1260"/>
        <w:gridCol w:w="1575"/>
        <w:gridCol w:w="2957"/>
        <w:gridCol w:w="1885"/>
      </w:tblGrid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事件ID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事件名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29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关键参数</w:t>
            </w:r>
          </w:p>
        </w:tc>
        <w:tc>
          <w:tcPr>
            <w:tcW w:w="1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业务统计口径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approval_node_enter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进入审批节点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申请单流入审批节点</w:t>
            </w:r>
          </w:p>
        </w:tc>
        <w:tc>
          <w:tcPr>
            <w:tcW w:w="29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申请单号、节点名称、进入时间、审批链、授权场景、产品线</w:t>
            </w:r>
          </w:p>
        </w:tc>
        <w:tc>
          <w:tcPr>
            <w:tcW w:w="1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审批耗时、审批通过率分母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approval_result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审批结果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审批完成</w:t>
            </w:r>
          </w:p>
        </w:tc>
        <w:tc>
          <w:tcPr>
            <w:tcW w:w="29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申请单号、节点名称、通过/驳回、驳回原因、完成时间、审批链、授权场景、产品线</w:t>
            </w:r>
          </w:p>
        </w:tc>
        <w:tc>
          <w:tcPr>
            <w:tcW w:w="1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审批耗时、审批通过率、审批结果分析</w:t>
            </w:r>
          </w:p>
        </w:tc>
      </w:tr>
      <w:tr>
        <w:trPr/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auto"/>
              </w:rPr>
              <w:t>auth_completed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授权完成</w:t>
            </w:r>
          </w:p>
        </w:tc>
        <w:tc>
          <w:tcPr>
            <w:tcW w:w="15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授权成功开通</w:t>
            </w:r>
          </w:p>
        </w:tc>
        <w:tc>
          <w:tcPr>
            <w:tcW w:w="29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申请单号、授权完成时间、授权类型、授权场景、产品线、申请类型</w:t>
            </w:r>
          </w:p>
        </w:tc>
        <w:tc>
          <w:tcPr>
            <w:tcW w:w="1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</w:rPr>
              <w:t>端到端授权耗时、平台自动授权成功率</w:t>
            </w:r>
          </w:p>
        </w:tc>
      </w:tr>
    </w:tbl>
    <w:p>
      <w:pPr>
        <w:pBdr/>
        <w:ind/>
        <w:rPr/>
      </w:pPr>
    </w:p>
    <w:p>
      <w:pPr>
        <w:pStyle w:val="ajs31t"/>
        <w:ind/>
        <w:rPr/>
      </w:pPr>
      <w:r>
        <w:rPr>
          <w:rFonts w:hint="eastAsia"/>
        </w:rPr>
        <w:t>五</w:t>
      </w:r>
      <w:r>
        <w:rPr/>
        <w:t>、看板搭建</w:t>
      </w:r>
    </w:p>
    <w:p>
      <w:pPr>
        <w:pStyle w:val="o112vi"/>
        <w:ind/>
        <w:rPr/>
      </w:pPr>
      <w:r>
        <w:rPr/>
        <w:t>1</w:t>
      </w:r>
      <w:r>
        <w:rPr>
          <w:rFonts w:hint="eastAsia"/>
        </w:rPr>
        <w:t>、</w:t>
      </w:r>
      <w:r>
        <w:rPr/>
        <w:t>运营总览看板</w:t>
      </w:r>
    </w:p>
    <w:tbl>
      <w:tblPr>
        <w:tblStyle w:val="kv19qu"/>
        <w:tblLayout w:type="fixed"/>
      </w:tblPr>
      <w:tblGrid>
        <w:gridCol w:w="1297"/>
        <w:gridCol w:w="3990"/>
        <w:gridCol w:w="2036"/>
        <w:gridCol w:w="1653"/>
      </w:tblGrid>
      <w:tr>
        <w:trPr/>
        <w:tc>
          <w:tcPr>
            <w:tcW w:w="129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sz w:val="2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24292E"/>
                <w:spacing w:val="0"/>
                <w:sz w:val="20"/>
                <w:u w:val="none"/>
              </w:rPr>
              <w:t>看板模块</w:t>
            </w:r>
          </w:p>
        </w:tc>
        <w:tc>
          <w:tcPr>
            <w:tcW w:w="3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sz w:val="2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24292E"/>
                <w:spacing w:val="0"/>
                <w:sz w:val="20"/>
                <w:u w:val="none"/>
              </w:rPr>
              <w:t>核心指标</w:t>
            </w:r>
          </w:p>
        </w:tc>
        <w:tc>
          <w:tcPr>
            <w:tcW w:w="2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sz w:val="2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24292E"/>
                <w:spacing w:val="0"/>
                <w:sz w:val="20"/>
                <w:u w:val="none"/>
              </w:rPr>
              <w:t>展示维度</w:t>
            </w:r>
          </w:p>
        </w:tc>
        <w:tc>
          <w:tcPr>
            <w:tcW w:w="16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sz w:val="2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24292E"/>
                <w:spacing w:val="0"/>
                <w:sz w:val="20"/>
                <w:u w:val="none"/>
              </w:rPr>
              <w:t>更新</w:t>
            </w:r>
          </w:p>
        </w:tc>
      </w:tr>
      <w:tr>
        <w:trPr/>
        <w:tc>
          <w:tcPr>
            <w:tcW w:w="129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运营总览</w:t>
            </w:r>
          </w:p>
        </w:tc>
        <w:tc>
          <w:tcPr>
            <w:tcW w:w="3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24292E"/>
                <w:spacing w:val="0"/>
                <w:sz w:val="18"/>
                <w:u w:val="none"/>
                <w:shd w:val="clear" w:color="auto" w:fill="FFFFFF"/>
              </w:rPr>
              <w:t>总申请量、填单完成率、平台覆盖率、平台自动授权成功率、端到端授权耗时、审批通过率</w:t>
            </w:r>
          </w:p>
        </w:tc>
        <w:tc>
          <w:tcPr>
            <w:tcW w:w="203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按天/周/月、产品线、授权场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、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区域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、</w:t>
            </w:r>
          </w:p>
        </w:tc>
        <w:tc>
          <w:tcPr>
            <w:tcW w:w="16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日更</w:t>
            </w:r>
          </w:p>
        </w:tc>
      </w:tr>
    </w:tbl>
    <w:p>
      <w:pPr>
        <w:pStyle w:val="o112vi"/>
        <w:ind/>
        <w:rPr/>
      </w:pPr>
      <w:r>
        <w:rPr/>
        <w:t>2</w:t>
      </w:r>
      <w:r>
        <w:rPr>
          <w:rFonts w:hint="eastAsia"/>
        </w:rPr>
        <w:t>、</w:t>
      </w:r>
      <w:r>
        <w:rPr/>
        <w:t>申请与审批质量看板</w:t>
      </w:r>
    </w:p>
    <w:tbl>
      <w:tblPr>
        <w:tblStyle w:val="kv19qu"/>
        <w:tblLayout w:type="fixed"/>
      </w:tblPr>
      <w:tblGrid>
        <w:gridCol w:w="1081"/>
        <w:gridCol w:w="4190"/>
        <w:gridCol w:w="2110"/>
        <w:gridCol w:w="1559"/>
      </w:tblGrid>
      <w:tr>
        <w:trPr/>
        <w:tc>
          <w:tcPr>
            <w:tcW w:w="1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看板</w:t>
            </w:r>
            <w:r>
              <w:rPr>
                <w:rFonts w:hint="eastAsia"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模块</w:t>
            </w:r>
          </w:p>
        </w:tc>
        <w:tc>
          <w:tcPr>
            <w:tcW w:w="41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核心指标</w:t>
            </w:r>
          </w:p>
        </w:tc>
        <w:tc>
          <w:tcPr>
            <w:tcW w:w="2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展示维度</w:t>
            </w:r>
          </w:p>
        </w:tc>
        <w:tc>
          <w:tcPr>
            <w:tcW w:w="15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更新频率</w:t>
            </w:r>
          </w:p>
        </w:tc>
      </w:tr>
      <w:tr>
        <w:trPr/>
        <w:tc>
          <w:tcPr>
            <w:tcW w:w="1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申请提交体验</w:t>
            </w:r>
          </w:p>
        </w:tc>
        <w:tc>
          <w:tcPr>
            <w:tcW w:w="41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开始填单次数、成功提交申请单数、填单完成率、提交校验失败率、表单填写时长</w:t>
            </w:r>
          </w:p>
        </w:tc>
        <w:tc>
          <w:tcPr>
            <w:tcW w:w="2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授权场景、产品线、申请类型、入口来源、失败字段</w:t>
            </w:r>
          </w:p>
        </w:tc>
        <w:tc>
          <w:tcPr>
            <w:tcW w:w="15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日更</w:t>
            </w:r>
          </w:p>
        </w:tc>
      </w:tr>
      <w:tr>
        <w:trPr>
          <w:wBefore/>
          <w:trHeight/>
        </w:trPr>
        <w:tc>
          <w:tcPr>
            <w:tcW w:w="10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审批质量分析</w:t>
            </w:r>
          </w:p>
        </w:tc>
        <w:tc>
          <w:tcPr>
            <w:tcW w:w="41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进入审批申请单数、审批通过申请单数、审批通过率、审批驳回原因 TOP</w:t>
            </w:r>
          </w:p>
        </w:tc>
        <w:tc>
          <w:tcPr>
            <w:tcW w:w="21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授权场景、产品线、审批节点、驳回原因</w:t>
            </w:r>
          </w:p>
        </w:tc>
        <w:tc>
          <w:tcPr>
            <w:tcW w:w="155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日更</w:t>
            </w:r>
          </w:p>
        </w:tc>
      </w:tr>
    </w:tbl>
    <w:p>
      <w:pPr>
        <w:pStyle w:val="o112vi"/>
        <w:ind/>
        <w:rPr/>
      </w:pPr>
      <w:r>
        <w:rPr/>
        <w:t>3</w:t>
      </w:r>
      <w:r>
        <w:rPr>
          <w:rFonts w:hint="eastAsia"/>
        </w:rPr>
        <w:t>、</w:t>
      </w:r>
      <w:r>
        <w:rPr/>
        <w:t xml:space="preserve"> 审批链路看板</w:t>
      </w:r>
    </w:p>
    <w:tbl>
      <w:tblPr>
        <w:tblStyle w:val="kv19qu"/>
        <w:tblLayout w:type="fixed"/>
      </w:tblPr>
      <w:tblGrid>
        <w:gridCol w:w="1232"/>
        <w:gridCol w:w="4076"/>
        <w:gridCol w:w="1988"/>
        <w:gridCol w:w="1753"/>
      </w:tblGrid>
      <w:tr>
        <w:trPr/>
        <w:tc>
          <w:tcPr>
            <w:tcW w:w="123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看板视图</w:t>
            </w:r>
          </w:p>
        </w:tc>
        <w:tc>
          <w:tcPr>
            <w:tcW w:w="40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核心指标</w:t>
            </w:r>
          </w:p>
        </w:tc>
        <w:tc>
          <w:tcPr>
            <w:tcW w:w="19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展示维度</w:t>
            </w:r>
          </w:p>
        </w:tc>
        <w:tc>
          <w:tcPr>
            <w:tcW w:w="17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更新频率</w:t>
            </w:r>
          </w:p>
        </w:tc>
      </w:tr>
      <w:tr>
        <w:trPr/>
        <w:tc>
          <w:tcPr>
            <w:tcW w:w="123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平台收口效果</w:t>
            </w:r>
          </w:p>
        </w:tc>
        <w:tc>
          <w:tcPr>
            <w:tcW w:w="40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平台覆盖率、平台内申请量、统一平台测试授权总申请量、平台外来源分布</w:t>
            </w:r>
          </w:p>
        </w:tc>
        <w:tc>
          <w:tcPr>
            <w:tcW w:w="19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来源入口、授权场景、产品线</w:t>
            </w:r>
          </w:p>
        </w:tc>
        <w:tc>
          <w:tcPr>
            <w:tcW w:w="17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周更</w:t>
            </w:r>
          </w:p>
        </w:tc>
      </w:tr>
      <w:tr>
        <w:trPr>
          <w:wBefore/>
          <w:trHeight/>
        </w:trPr>
        <w:tc>
          <w:tcPr>
            <w:tcW w:w="123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自动授权稳定性</w:t>
            </w:r>
          </w:p>
        </w:tc>
        <w:tc>
          <w:tcPr>
            <w:tcW w:w="40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平台内应自动授权申请量、自动授权成功量、平台自动授权成功率、失败原因 TOP</w:t>
            </w:r>
          </w:p>
        </w:tc>
        <w:tc>
          <w:tcPr>
            <w:tcW w:w="19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授权场景、产品线、失败节点</w:t>
            </w:r>
          </w:p>
        </w:tc>
        <w:tc>
          <w:tcPr>
            <w:tcW w:w="17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日更</w:t>
            </w:r>
          </w:p>
        </w:tc>
      </w:tr>
      <w:tr>
        <w:trPr>
          <w:wBefore/>
          <w:trHeight/>
        </w:trPr>
        <w:tc>
          <w:tcPr>
            <w:tcW w:w="123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全链路耗时</w:t>
            </w:r>
          </w:p>
        </w:tc>
        <w:tc>
          <w:tcPr>
            <w:tcW w:w="40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端到端授权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平均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耗时、审批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平均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耗时、审批通过率</w:t>
            </w:r>
          </w:p>
        </w:tc>
        <w:tc>
          <w:tcPr>
            <w:tcW w:w="19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授权场景、产品线、是否审批、审批节点</w:t>
            </w:r>
          </w:p>
        </w:tc>
        <w:tc>
          <w:tcPr>
            <w:tcW w:w="17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日更</w:t>
            </w:r>
          </w:p>
        </w:tc>
      </w:tr>
    </w:tbl>
    <w:p>
      <w:pPr>
        <w:pStyle w:val="ajs31t"/>
        <w:pBdr/>
        <w:snapToGrid/>
        <w:spacing w:before="200" w:after="0" w:line="360"/>
        <w:ind w:left="0" w:right="0" w:hanging="0"/>
        <w:rPr>
          <w:rFonts w:ascii="MS Gothic" w:hAnsi="MS Gothic" w:eastAsia="MS Gothic" w:cs="MS Gothic"/>
          <w:b/>
          <w:i w:val="false"/>
          <w:strike w:val="false"/>
          <w:color w:val="4F81BD"/>
          <w:sz w:val="32"/>
          <w:u w:val="none"/>
        </w:rPr>
      </w:pPr>
    </w:p>
    <w:p>
      <w:pPr>
        <w:pStyle w:val="ajs31t"/>
        <w:ind/>
        <w:rPr/>
      </w:pPr>
      <w:r>
        <w:rPr>
          <w:rFonts w:hint="eastAsia"/>
        </w:rPr>
        <w:t>六</w:t>
      </w:r>
      <w:r>
        <w:rPr/>
        <w:t>、价值量化表</w:t>
      </w:r>
    </w:p>
    <w:tbl>
      <w:tblPr>
        <w:tblStyle w:val="kv19qu"/>
        <w:tblLayout w:type="fixed"/>
      </w:tblPr>
      <w:tblGrid>
        <w:gridCol w:w="1875"/>
        <w:gridCol w:w="1875"/>
        <w:gridCol w:w="1875"/>
        <w:gridCol w:w="3514"/>
      </w:tblGrid>
      <w:tr>
        <w:trPr/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价值维度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数据来源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统计周期</w:t>
            </w:r>
          </w:p>
        </w:tc>
        <w:tc>
          <w:tcPr>
            <w:tcW w:w="35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上线后目标</w:t>
            </w:r>
          </w:p>
        </w:tc>
      </w:tr>
      <w:tr>
        <w:trPr/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授权申请效率提升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申请单日志、审批日志、授权完成日志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</w:t>
            </w:r>
          </w:p>
        </w:tc>
        <w:tc>
          <w:tcPr>
            <w:tcW w:w="35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端到端授权耗时下降，审批耗时可定位</w:t>
            </w:r>
          </w:p>
        </w:tc>
      </w:tr>
      <w:tr>
        <w:trPr/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平台收口效果提升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平台申请单、统一平台测试授权总申请量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</w:t>
            </w:r>
          </w:p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35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平台覆盖率持续提升</w:t>
            </w:r>
          </w:p>
        </w:tc>
      </w:tr>
      <w:tr>
        <w:trPr/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审批质量提升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审批日志、审批通过/驳回记录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</w:t>
            </w:r>
          </w:p>
        </w:tc>
        <w:tc>
          <w:tcPr>
            <w:tcW w:w="35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审批通过率保持稳定，驳回原因可分析</w:t>
            </w:r>
          </w:p>
        </w:tc>
      </w:tr>
      <w:tr>
        <w:trPr/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申请体验改善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表单埋点、提交校验失败记录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</w:t>
            </w:r>
          </w:p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</w:p>
        </w:tc>
        <w:tc>
          <w:tcPr>
            <w:tcW w:w="35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18"/>
                <w:u w:val="none"/>
              </w:rPr>
              <w:t>填单完成率提升，提交校验失败率下降，表单填写时长下降</w:t>
            </w:r>
          </w:p>
        </w:tc>
      </w:tr>
    </w:tbl>
    <w:p>
      <w:pPr>
        <w:pBdr/>
        <w:snapToGrid/>
        <w:spacing w:before="0" w:after="160" w:line="360"/>
        <w:ind w:left="0" w:right="0" w:hanging="0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pStyle w:val="ov4dg2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运营</w:t>
      </w:r>
      <w:r>
        <w:rPr>
          <w:rFonts w:hint="eastAsia"/>
        </w:rPr>
        <w:t>总计划</w:t>
      </w:r>
    </w:p>
    <w:p>
      <w:pPr>
        <w:pStyle w:val="ablt93"/>
        <w:pBdr>
          <w:bottom/>
        </w:pBdr>
        <w:ind w:left="0"/>
        <w:rPr/>
      </w:pPr>
      <w:r>
        <w:rPr>
          <w:i w:val="false"/>
          <w:strike w:val="false"/>
          <w:color w:val="000000"/>
          <w:u w:val="none"/>
        </w:rPr>
        <w:t>运营总计划围绕埋点口径确认、二期开发同步、上线验证、试运行复盘和后续优化展开。</w:t>
      </w:r>
    </w:p>
    <w:tbl>
      <w:tblPr>
        <w:tblStyle w:val="4dq4u8"/>
        <w:tblLayout w:type="fixed"/>
      </w:tblPr>
      <w:tblGrid>
        <w:gridCol w:w="1100"/>
        <w:gridCol w:w="1414"/>
        <w:gridCol w:w="3246"/>
        <w:gridCol w:w="3345"/>
      </w:tblGrid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阶段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时间节点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主要工作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160" w:line="360"/>
              <w:ind w:left="0" w:right="0" w:hanging="0"/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输出物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埋点方案确认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2026-07-15 前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确认核心指标、计算口径、埋点事件、关键字段和数据来源；明确统一平台测试授权总申请量的获取方式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埋点方案定稿、数据口径说明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二期开发同步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2026-07-15 起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将埋点事件、审批日志、自动授权结果、统一平台数据同步需求纳入二期开发范围；同步确认前后端埋点责任和接口字段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二期开发需求、埋点开发清单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联调与数据校验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2026-08-01 至 2026-08-20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验证埋点是否正常触发；检查申请提交、审批、授权完成、自动授权失败等关键事件是否能串联到同一申请单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联调问题清单、数据校验结果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上线准备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2026-08-21 至 2026-08-29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完成核心看板初版配置；准备上线后试运行数据统计模板；确认上线首周重点观察指标和异常排查责任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看板初版、试运行分析模板、上线观察清单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项目上线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2026-08-30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测试设备授权平台正式上线；开始采集真实申请、审批和授权数据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上线记录、首日数据检查结果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上线试运行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2026-08-30 至 2026-09-30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按周观察平台覆盖率、填单完成率、审批通过率、平台自动授权成功率和端到端授权耗时；记录异常场景和数据口径问题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周度试运行数据记录、问题清单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首月复盘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2026-10 上旬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汇总首月核心指标表现，分析平台收口效果、申请体验、审批质量和自动授权稳定性；形成第一轮优化建议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首月运营复盘、优化事项清单</w:t>
            </w:r>
          </w:p>
        </w:tc>
      </w:tr>
      <w:tr>
        <w:trPr/>
        <w:tc>
          <w:tcPr>
            <w:tcW w:w="1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持续优化</w:t>
            </w:r>
          </w:p>
        </w:tc>
        <w:tc>
          <w:tcPr>
            <w:tcW w:w="14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2026-10 起</w:t>
            </w:r>
          </w:p>
        </w:tc>
        <w:tc>
          <w:tcPr>
            <w:tcW w:w="32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根据复盘结论优化表单字段、审批材料提示、自动授权规则和平台外入口收口策略；必要时补充新的分析维度或扩展指标</w:t>
            </w:r>
          </w:p>
        </w:tc>
        <w:tc>
          <w:tcPr>
            <w:tcW w:w="33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月度数据复盘、迭代优化计划</w:t>
            </w:r>
          </w:p>
        </w:tc>
      </w:tr>
    </w:tbl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7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4">
      <w:start w:val="1"/>
      <w:numFmt w:val="decimal"/>
      <w:lvlText w:val="%5、"/>
      <w:lvlJc w:val="left"/>
      <w:pPr>
        <w:ind w:left="209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3438" w:hanging="336"/>
      </w:pPr>
    </w:lvl>
    <w:lvl w:ilvl="1">
      <w:start w:val="1"/>
      <w:numFmt w:val="lowerLetter"/>
      <w:lvlText w:val="%2."/>
      <w:lvlJc w:val="left"/>
      <w:pPr>
        <w:ind w:left="1238" w:hanging="336"/>
      </w:pPr>
    </w:lvl>
    <w:lvl w:ilvl="7">
      <w:start w:val="1"/>
      <w:numFmt w:val="lowerLetter"/>
      <w:lvlText w:val="%8."/>
      <w:lvlJc w:val="left"/>
      <w:pPr>
        <w:ind w:left="3878" w:hanging="336"/>
      </w:pPr>
    </w:lvl>
    <w:lvl w:ilvl="5">
      <w:start w:val="1"/>
      <w:numFmt w:val="lowerRoman"/>
      <w:lvlText w:val="%6."/>
      <w:lvlJc w:val="left"/>
      <w:pPr>
        <w:ind w:left="2998" w:hanging="336"/>
      </w:pPr>
    </w:lvl>
    <w:lvl w:ilvl="0">
      <w:start w:val="1"/>
      <w:numFmt w:val="decimal"/>
      <w:lvlText w:val="%1."/>
      <w:lvlJc w:val="left"/>
      <w:pPr>
        <w:tabs/>
        <w:ind w:left="798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2118" w:hanging="336"/>
      </w:pPr>
    </w:lvl>
    <w:lvl w:ilvl="4">
      <w:start w:val="1"/>
      <w:numFmt w:val="lowerLetter"/>
      <w:lvlText w:val="%5."/>
      <w:lvlJc w:val="left"/>
      <w:pPr>
        <w:ind w:left="2558" w:hanging="336"/>
      </w:pPr>
    </w:lvl>
    <w:lvl w:ilvl="2">
      <w:start w:val="1"/>
      <w:numFmt w:val="lowerRoman"/>
      <w:lvlText w:val="%3."/>
      <w:lvlJc w:val="left"/>
      <w:pPr>
        <w:ind w:left="1678" w:hanging="336"/>
      </w:pPr>
    </w:lvl>
    <w:lvl w:ilvl="8">
      <w:start w:val="1"/>
      <w:numFmt w:val="lowerRoman"/>
      <w:lvlText w:val="%9."/>
      <w:lvlJc w:val="left"/>
      <w:pPr>
        <w:ind w:left="4318" w:hanging="336"/>
      </w:pPr>
    </w:lvl>
  </w:abstractNum>
  <w:abstractNum w:abstractNumId="3"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num w:numId="2">
    <w:abstractNumId w:val="2"/>
  </w:num>
  <w:num w:numId="3">
    <w:abstractNumId w:val="1"/>
  </w:num>
  <w:num w:numId="1">
    <w:abstractNumId w:val="3"/>
  </w:num>
</w:numbering>
</file>

<file path=word/settings.xml><?xml version="1.0" encoding="utf-8"?>
<w:settings xmlns:w="http://schemas.openxmlformats.org/wordprocessingml/2006/main">
  <w:captions>
    <w:caption w:name="图片" w:pos="below" w:chapNum="false" w:heading="0" w:noLabel="false" w:numFmt="decimal" w:sep="hyphen"/>
    <w:caption w:name="表格" w:pos="below" w:chapNum="false" w:heading="0" w:noLabel="false" w:numFmt="decimal" w:sep="hyphen"/>
    <w:caption w:name="公式" w:pos="below" w:chapNum="false" w:heading="0" w:noLabel="false" w:numFmt="decimal" w:sep="hyphen"/>
  </w:captions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uurww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z2cz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7ye2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1rie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s3px6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96se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5ixm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vl7q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m88e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vp8f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o112v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mndhzq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8t110n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l3s68i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5jwfu0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8y01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sze9s0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4dq4u8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v4dg2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37upez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knk3l7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vhvyb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g5ts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6kzo3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va7v7e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k4oogu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dzgyv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9gu3j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7wen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b1ap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l44c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thnw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qmff55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29g7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85v1hx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o6sh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58t46i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22h0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j5bu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ifeayp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8hjga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do1q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bh7s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zrrrh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qdz4s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czq5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v19qu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4turls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mywdt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0oat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770j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js31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8zmmzf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4f59zp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co8i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ir7w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l5on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bx4b5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ak10nr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uyhw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55rjqn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fohf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qs8r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zsj5hw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ofv3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cqs5xc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dobhv">
    <w:name w:val="Table Grid"/>
    <w:basedOn w:val="q22h0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2026-10-14T15:26:00Z</dcterms:created>
  <dcterms:modified xsi:type="dcterms:W3CDTF">2026-10-14T15:26:00Z</dcterms:modified>
</cp:coreProperties>
</file>