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val="0"/>
          <w:color w:val="000000"/>
          <w:sz w:val="44"/>
        </w:rPr>
        <w:t>解决方案型测试授权需求文档（终稿）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1. 需求背景</w:t>
      </w:r>
    </w:p>
    <w:p>
      <w:pPr>
        <w:pStyle w:val="00001e"/>
        <w:spacing w:after="40" w:before="200" w:line="276" w:lineRule="auto"/>
        <w:jc w:val="left"/>
      </w:pPr>
      <w:r>
        <w:rPr>
          <w:rFonts w:eastAsia="宋体-简" w:ascii="宋体-简" w:hAnsi="宋体-简" w:cs="宋体-简"/>
          <w:b w:val="0"/>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val="0"/>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val="0"/>
          <w:color w:val="000000"/>
          <w:sz w:val="32"/>
        </w:rPr>
        <w:t>2. 需求范围</w:t>
      </w:r>
    </w:p>
    <w:p>
      <w:pPr>
        <w:pStyle w:val="00001e"/>
        <w:spacing w:after="40" w:before="200" w:line="276" w:lineRule="auto"/>
        <w:jc w:val="left"/>
      </w:pPr>
      <w:r>
        <w:rPr>
          <w:rFonts w:eastAsia="宋体-简" w:ascii="宋体-简" w:hAnsi="宋体-简" w:cs="宋体-简"/>
          <w:b w:val="0"/>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带入，必选所属行业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展示方案编码、名称、关联产品线标签列表及统一授权时间</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严格只读，杜绝申请人手工增删或替换产品线</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垂直导航逐项切换产品线参数，支持按需开关与成对协同组件互斥守底交互</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STA/AF、AF/aES 守底交互至少开启一个，未上线按需线默认关闭</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3. 业务流程</w:t>
      </w:r>
    </w:p>
    <w:p>
      <w:pPr>
        <w:pStyle w:val="00001e"/>
        <w:spacing w:after="40" w:before="200" w:line="276" w:lineRule="auto"/>
        <w:jc w:val="left"/>
      </w:pPr>
      <w:r>
        <w:rPr>
          <w:rFonts w:eastAsia="宋体-简" w:ascii="宋体-简" w:hAnsi="宋体-简" w:cs="宋体-简"/>
          <w:b w:val="0"/>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W3，进入「解决方案型授权」页面，选择“关联借测单”或“纯软件本地申请”。输入客户筛选合法借测单，系统自动带出 CRM 客户信息并在客户概要即时回显客户全局云图身份；申请人下拉选择所属行业（必选，对齐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STA/AF、AF/aES）执行至少开启一个的守底联动；设备线配置版本、设备 ID 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val="0"/>
          <w:color w:val="000000"/>
          <w:sz w:val="32"/>
        </w:rPr>
        <w:t>4. 解决方案型测试授权需求明细</w:t>
      </w:r>
    </w:p>
    <w:p>
      <w:pPr>
        <w:pStyle w:val="00001e"/>
        <w:spacing w:after="40" w:before="200" w:line="276" w:lineRule="auto"/>
        <w:jc w:val="left"/>
      </w:pPr>
      <w:r>
        <w:rPr>
          <w:rFonts w:eastAsia="宋体-简" w:ascii="宋体-简" w:hAnsi="宋体-简" w:cs="宋体-简"/>
          <w:b w:val="0"/>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val="0"/>
          <w:color w:val="000000"/>
          <w:sz w:val="26"/>
        </w:rPr>
        <w:t>4.2 解决方案授权申请</w:t>
      </w:r>
    </w:p>
    <w:p>
      <w:pPr>
        <w:pStyle w:val="000020"/>
        <w:spacing w:after="40" w:before="200" w:line="276" w:lineRule="auto"/>
        <w:jc w:val="left"/>
      </w:pPr>
      <w:r>
        <w:rPr>
          <w:rFonts w:eastAsia="宋体-简" w:ascii="宋体-简" w:hAnsi="宋体-简" w:cs="宋体-简"/>
          <w:b w:val="0"/>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CRM/主数据带出客户名称、销售负责人、客户类型（KA/普通），并在客户概要中即时展示客户全局云图身份状态；</w:t>
        <w:br/>
        <w:t>（2）所属行业选择（与 XaaS 保持一致）：在客户基本信息区域新增「所属行业」下拉选择（必填项），其行业字典（政府、金融、能源、大企业、交通、数字政府、部委、教育、医疗等）与平台现有 XaaS 授权字典保持严格一致，保障跨产品线行业统计维度统一；</w:t>
        <w:br/>
        <w:t>（3）准入强校验与借测单关联：在关联借测单模式下，系统实时拉取该客户名下在新资产系统中已审批的所有借测单数据。点击「查询并关联」，系统执行借测单准入强校验：仅“审批通过且未归还、未撤销”且未被占用的借测单允许准入。准入通过后带出借测关键信息（借测单号、申请人、客户、期限、产品数），并自动锁定加载方案范围。若借测单处于“审批中/未审批”、“已归还”、“已撤销”或“已被关联占用”，系统弹出明确阻断提示卡片，严禁进入后续环节；</w:t>
        <w:br/>
        <w:t>（4）方案范围固化锁定：方案包含的产品线清单及统一授权天数（authDays）严格只读锁定，杜绝申请人手工增删或替换产品线；系统依据 authDays 自动联动计算统一授权到期日（申请日 + authDays），并强制分发至方案下所有产品线，保持全方案授权周期严格一致。纯软件申请模式同样选择启用方案并锁定方案范围与到期日。</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所属行业必选且必须在合法行业字典内；仅“审批通过且未归还、未撤销”借测单可通过准入校验；方案产品组合只读不可篡改；统一授权到期时间不可为空。</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local）、客户基础信息快照、所属行业、借测单全量元数据快照、锁定的方案编码、名称、产品线列表及统一到期日深拷贝存入单据模型中，随单提交。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两类入口切换顺畅且数据互斥隔离；所属行业必填校验拦截生效且字典与 XaaS 完全对齐；未审批、已归还、已撤销借测单 100% 阻断拦截；合法借测单回填准确；方案范围与产品清单严格只读锁定；统一授权到期日准确联动至所有产品线。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客户所属行业分类，与平台现有 XaaS 授权字典严格保持一致</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选定客户后级联激活，展示单号与借测状态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关联借测单、所属行业与准入状态校验原型参考</w:t>
      </w:r>
    </w:p>
    <w:p>
      <w:pPr>
        <w:pStyle w:val="000020"/>
        <w:spacing w:after="40" w:before="200" w:line="276" w:lineRule="auto"/>
        <w:jc w:val="left"/>
      </w:pPr>
      <w:r>
        <w:rPr>
          <w:rFonts w:eastAsia="宋体-简" w:ascii="宋体-简" w:hAnsi="宋体-简" w:cs="宋体-简"/>
          <w:b w:val="0"/>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SN；客户全局云图身份标签展示准确；无云图账号客户申请包含 XaaS 的方案时，前置告警与提交拦截 100% 触发；成对协同组件“至少选一个”互斥守底联动生效；具备有效云图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val="0"/>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val="0"/>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与序列号；XaaS 产品线在“设备ID/云图ID”列展示“云图ID: [tenantId]”，在“设备SN”列展示破折号“—”。各产品行均展示方案统一的授权有效期与中台生成的真实授权码（如 LIC-HCI-806、LIC-SaaS-XDR-806）。</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val="0"/>
          <w:color w:val="000000"/>
          <w:sz w:val="32"/>
        </w:rPr>
        <w:t>5. 外部协同与接口需求明细</w:t>
      </w:r>
    </w:p>
    <w:p>
      <w:pPr>
        <w:pStyle w:val="00001e"/>
        <w:spacing w:after="40" w:before="200" w:line="276" w:lineRule="auto"/>
        <w:jc w:val="left"/>
      </w:pPr>
      <w:r>
        <w:rPr>
          <w:rFonts w:eastAsia="宋体-简" w:ascii="宋体-简" w:hAnsi="宋体-简" w:cs="宋体-简"/>
          <w:b w:val="0"/>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val="0"/>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val="0"/>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val="0"/>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val="0"/>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val="0"/>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c"/>
        <w:spacing w:after="80" w:before="480" w:line="276" w:lineRule="auto"/>
        <w:jc w:val="left"/>
      </w:pPr>
      <w:r>
        <w:rPr>
          <w:rFonts w:eastAsia="宋体-简" w:ascii="宋体-简" w:hAnsi="宋体-简" w:cs="宋体-简"/>
          <w:b w:val="0"/>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val="0"/>
          <w:color w:val="000000"/>
          <w:sz w:val="23"/>
        </w:rPr>
        <w:t>5. 确认多云图账号客户在前端申请时的下拉点选交互原型与默认关联规则。</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