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eastAsia="微软雅黑"/>
          <w:b/>
          <w:color w:val="1F3864"/>
          <w:sz w:val="44"/>
        </w:rPr>
        <w:t>测试授权运营看板需求文档</w:t>
      </w:r>
    </w:p>
    <w:p>
      <w:pPr>
        <w:spacing w:after="20"/>
        <w:ind w:left="227"/>
        <w:shd w:val="clear" w:color="auto" w:fill="F2F5FA"/>
      </w:pPr>
      <w:r>
        <w:rPr>
          <w:b/>
          <w:color w:val="44546A"/>
          <w:sz w:val="20"/>
        </w:rPr>
        <w:t>文档版本</w:t>
      </w:r>
      <w:r>
        <w:rPr>
          <w:color w:val="44546A"/>
          <w:sz w:val="20"/>
        </w:rPr>
        <w:t>：V1.3</w:t>
      </w:r>
    </w:p>
    <w:p>
      <w:pPr>
        <w:spacing w:after="20"/>
        <w:ind w:left="227"/>
        <w:shd w:val="clear" w:color="auto" w:fill="F2F5FA"/>
      </w:pPr>
      <w:r>
        <w:rPr>
          <w:b/>
          <w:color w:val="44546A"/>
          <w:sz w:val="20"/>
        </w:rPr>
        <w:t>编制人</w:t>
      </w:r>
      <w:r>
        <w:rPr>
          <w:color w:val="44546A"/>
          <w:sz w:val="20"/>
        </w:rPr>
        <w:t>：钱金城</w:t>
      </w:r>
    </w:p>
    <w:p>
      <w:pPr>
        <w:spacing w:after="20"/>
        <w:ind w:left="227"/>
        <w:shd w:val="clear" w:color="auto" w:fill="F2F5FA"/>
      </w:pPr>
      <w:r>
        <w:rPr>
          <w:b/>
          <w:color w:val="44546A"/>
          <w:sz w:val="20"/>
        </w:rPr>
        <w:t>关联系统</w:t>
      </w:r>
      <w:r>
        <w:rPr>
          <w:color w:val="44546A"/>
          <w:sz w:val="20"/>
        </w:rPr>
        <w:t>：测试设备授权平台 · 运营看板</w:t>
      </w:r>
    </w:p>
    <w:p>
      <w:pPr>
        <w:spacing w:after="20"/>
        <w:ind w:left="227"/>
        <w:shd w:val="clear" w:color="auto" w:fill="F2F5FA"/>
      </w:pPr>
      <w:r>
        <w:rPr>
          <w:b/>
          <w:color w:val="44546A"/>
          <w:sz w:val="20"/>
        </w:rPr>
        <w:t>需求类型</w:t>
      </w:r>
      <w:r>
        <w:rPr>
          <w:color w:val="44546A"/>
          <w:sz w:val="20"/>
        </w:rPr>
        <w:t>：新功能（为测试授权专项提供运营监控、归因分析与数据追溯能力）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1"/>
      </w:pPr>
      <w:r>
        <w:t>版本变更记录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</w:tblPr>
      <w:tblGrid>
        <w:gridCol w:w="1540"/>
        <w:gridCol w:w="1135"/>
        <w:gridCol w:w="1828"/>
        <w:gridCol w:w="4908"/>
      </w:tblGrid>
      <w:tr>
        <w:trPr>
          <w:tblHeader/>
        </w:trPr>
        <w:tc>
          <w:tcPr>
            <w:tcW w:type="dxa" w:w="1540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时间</w:t>
            </w:r>
          </w:p>
        </w:tc>
        <w:tc>
          <w:tcPr>
            <w:tcW w:type="dxa" w:w="1135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变更人</w:t>
            </w:r>
          </w:p>
        </w:tc>
        <w:tc>
          <w:tcPr>
            <w:tcW w:type="dxa" w:w="1828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变更原因</w:t>
            </w:r>
          </w:p>
        </w:tc>
        <w:tc>
          <w:tcPr>
            <w:tcW w:type="dxa" w:w="4908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变更内容</w:t>
            </w:r>
          </w:p>
        </w:tc>
      </w:tr>
      <w:tr>
        <w:tc>
          <w:tcPr>
            <w:tcW w:type="dxa" w:w="1540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2026 年 10 月 20 日</w:t>
            </w:r>
          </w:p>
        </w:tc>
        <w:tc>
          <w:tcPr>
            <w:tcW w:type="dxa" w:w="1135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钱金城</w:t>
            </w:r>
          </w:p>
        </w:tc>
        <w:tc>
          <w:tcPr>
            <w:tcW w:type="dxa" w:w="182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创建需求文档</w:t>
            </w:r>
          </w:p>
        </w:tc>
        <w:tc>
          <w:tcPr>
            <w:tcW w:type="dxa" w:w="490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明确运营看板的页面结构、全局筛选、运营总览、申请与授权链路、埋点事件及指标口径。</w:t>
            </w:r>
          </w:p>
        </w:tc>
      </w:tr>
      <w:tr>
        <w:tc>
          <w:tcPr>
            <w:tcW w:type="dxa" w:w="1540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2026 年 10 月 20 日</w:t>
            </w:r>
          </w:p>
        </w:tc>
        <w:tc>
          <w:tcPr>
            <w:tcW w:type="dxa" w:w="1135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钱金城</w:t>
            </w:r>
          </w:p>
        </w:tc>
        <w:tc>
          <w:tcPr>
            <w:tcW w:type="dxa" w:w="182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按业务确认移除指标口径、刷新与导出功能</w:t>
            </w:r>
          </w:p>
        </w:tc>
        <w:tc>
          <w:tcPr>
            <w:tcW w:type="dxa" w:w="490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删除 4.5 章节及页面结构、验收、非功能要求中的相关条目；文档版本升至 V1.1。</w:t>
            </w:r>
          </w:p>
        </w:tc>
      </w:tr>
      <w:tr>
        <w:tc>
          <w:tcPr>
            <w:tcW w:type="dxa" w:w="1540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2026 年 10 月 20 日</w:t>
            </w:r>
          </w:p>
        </w:tc>
        <w:tc>
          <w:tcPr>
            <w:tcW w:type="dxa" w:w="1135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钱金城</w:t>
            </w:r>
          </w:p>
        </w:tc>
        <w:tc>
          <w:tcPr>
            <w:tcW w:type="dxa" w:w="182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按业务确认去掉筛选区提示</w:t>
            </w:r>
          </w:p>
        </w:tc>
        <w:tc>
          <w:tcPr>
            <w:tcW w:type="dxa" w:w="490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删除 4.1 中“产线、申请场景、入口待埋点补齐后再开放筛选”的提示文案；文档版本升至 V1.2。</w:t>
            </w:r>
          </w:p>
        </w:tc>
      </w:tr>
      <w:tr>
        <w:tc>
          <w:tcPr>
            <w:tcW w:type="dxa" w:w="1540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2026 年 10 月 20 日</w:t>
            </w:r>
          </w:p>
        </w:tc>
        <w:tc>
          <w:tcPr>
            <w:tcW w:type="dxa" w:w="1135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钱金城</w:t>
            </w:r>
          </w:p>
        </w:tc>
        <w:tc>
          <w:tcPr>
            <w:tcW w:type="dxa" w:w="182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按业务确认不再展示业务指标</w:t>
            </w:r>
          </w:p>
        </w:tc>
        <w:tc>
          <w:tcPr>
            <w:tcW w:type="dxa" w:w="490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删除运营总览中的产品测试平均时长、异常设备比例及相关口径、数据来源与待确认项；文档版本升至 V1.3。</w:t>
            </w:r>
          </w:p>
        </w:tc>
      </w:tr>
    </w:tbl>
    <w:p>
      <w:pPr>
        <w:spacing w:after="40"/>
      </w:pPr>
    </w:p>
    <w:p>
      <w:pPr>
        <w:pBdr>
          <w:bottom w:val="single" w:sz="6" w:space="1" w:color="B4C6E7"/>
        </w:pBdr>
        <w:spacing w:after="40"/>
      </w:pPr>
    </w:p>
    <w:p>
      <w:pPr>
        <w:pStyle w:val="Heading1"/>
      </w:pPr>
      <w:r>
        <w:t>1. 需求背景</w:t>
      </w:r>
    </w:p>
    <w:p>
      <w:r>
        <w:t>测试授权平台上线后，需要持续观察授权申请从提交、审批到授权、设备激活的全过程。当前业务侧存在三类问题：</w:t>
      </w:r>
    </w:p>
    <w:p>
      <w:pPr>
        <w:spacing w:after="40"/>
        <w:ind w:left="340" w:hanging="255"/>
      </w:pPr>
      <w:r>
        <w:t xml:space="preserve">1. </w:t>
      </w:r>
      <w:r>
        <w:rPr>
          <w:b/>
        </w:rPr>
        <w:t>申请入口与规模看不清</w:t>
      </w:r>
      <w:r>
        <w:t>：需要知道平台承接了多少申请、各类业务的申请结构如何变化。</w:t>
      </w:r>
    </w:p>
    <w:p>
      <w:pPr>
        <w:spacing w:after="40"/>
        <w:ind w:left="340" w:hanging="255"/>
      </w:pPr>
      <w:r>
        <w:t xml:space="preserve">2. </w:t>
      </w:r>
      <w:r>
        <w:rPr>
          <w:b/>
        </w:rPr>
        <w:t>卡点与根因定位困难</w:t>
      </w:r>
      <w:r>
        <w:t>：填单、提交、审批、授权、激活各环节都可能受阻，但缺少统一的过程数据来判断问题发生在哪一步、原因是什么。</w:t>
      </w:r>
    </w:p>
    <w:p>
      <w:pPr>
        <w:spacing w:after="40"/>
        <w:ind w:left="340" w:hanging="255"/>
      </w:pPr>
      <w:r>
        <w:t xml:space="preserve">3. </w:t>
      </w:r>
      <w:r>
        <w:rPr>
          <w:b/>
        </w:rPr>
        <w:t>数据口径不统一</w:t>
      </w:r>
      <w:r>
        <w:t>：业务周表、入口埋点、审批日志、授权与激活日志分别由不同系统产生，统计对象和计算口径不同，直接混算会得到错误结论。</w:t>
      </w:r>
    </w:p>
    <w:p>
      <w:r>
        <w:t>因此需要建设运营看板，把结果指标、过程归因和原始埋点分层呈现，并明确每个指标的计算口径与数据边界。</w:t>
      </w:r>
    </w:p>
    <w:p>
      <w:pPr>
        <w:pStyle w:val="Heading1"/>
      </w:pPr>
      <w:r>
        <w:t>2. 需求目标与范围</w:t>
      </w:r>
    </w:p>
    <w:p>
      <w:pPr>
        <w:pStyle w:val="Heading2"/>
      </w:pPr>
      <w:r>
        <w:t>2.1 需求目标</w:t>
      </w:r>
    </w:p>
    <w:p>
      <w:pPr>
        <w:spacing w:after="40"/>
        <w:ind w:left="340" w:hanging="255"/>
      </w:pPr>
      <w:r>
        <w:t>1. 提供统一的运营看板入口，支持按时间范围和业务类型查看数据。</w:t>
      </w:r>
    </w:p>
    <w:p>
      <w:pPr>
        <w:spacing w:after="40"/>
        <w:ind w:left="340" w:hanging="255"/>
      </w:pPr>
      <w:r>
        <w:t>2. 用「运营总览」回答结果与规模问题：申请量、关键转化率、耗时、结构与趋势。</w:t>
      </w:r>
    </w:p>
    <w:p>
      <w:pPr>
        <w:spacing w:after="40"/>
        <w:ind w:left="340" w:hanging="255"/>
      </w:pPr>
      <w:r>
        <w:t>3. 用「申请与授权链路」回答归因问题：填单耗时、提交受阻、审批结果、授权与激活失败原因、阶段耗时。</w:t>
      </w:r>
    </w:p>
    <w:p>
      <w:pPr>
        <w:spacing w:after="40"/>
        <w:ind w:left="340" w:hanging="255"/>
      </w:pPr>
      <w:r>
        <w:t>4. 用「埋点事件」提供原始事件汇总与逐条日志，支持排查和数据核对。</w:t>
      </w:r>
    </w:p>
    <w:p>
      <w:pPr>
        <w:spacing w:after="40"/>
        <w:ind w:left="340" w:hanging="255"/>
      </w:pPr>
      <w:r>
        <w:t>5. 无可靠数据时留空，不估算、不补造。</w:t>
      </w:r>
    </w:p>
    <w:p>
      <w:pPr>
        <w:pStyle w:val="Heading2"/>
      </w:pPr>
      <w:r>
        <w:t>2.2 页面范围</w:t>
      </w:r>
    </w:p>
    <w:p>
      <w:r>
        <w:t>本需求仅覆盖测试设备授权平台内的运营看板，包含三个一级栏目：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</w:tblPr>
      <w:tblGrid>
        <w:gridCol w:w="1734"/>
        <w:gridCol w:w="7677"/>
      </w:tblGrid>
      <w:tr>
        <w:trPr>
          <w:tblHeader/>
        </w:trPr>
        <w:tc>
          <w:tcPr>
            <w:tcW w:type="dxa" w:w="1734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栏目</w:t>
            </w:r>
          </w:p>
        </w:tc>
        <w:tc>
          <w:tcPr>
            <w:tcW w:type="dxa" w:w="7677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定位</w:t>
            </w:r>
          </w:p>
        </w:tc>
      </w:tr>
      <w:tr>
        <w:tc>
          <w:tcPr>
            <w:tcW w:type="dxa" w:w="1734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运营总览</w:t>
            </w:r>
          </w:p>
        </w:tc>
        <w:tc>
          <w:tcPr>
            <w:tcW w:type="dxa" w:w="7677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结果与规模：申请量、关键率、趋势、结构分布</w:t>
            </w:r>
          </w:p>
        </w:tc>
      </w:tr>
      <w:tr>
        <w:tc>
          <w:tcPr>
            <w:tcW w:type="dxa" w:w="1734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申请与授权链路</w:t>
            </w:r>
          </w:p>
        </w:tc>
        <w:tc>
          <w:tcPr>
            <w:tcW w:type="dxa" w:w="7677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归因与过程：申请体验、审批结果、授权与激活、阶段耗时、失败原因</w:t>
            </w:r>
          </w:p>
        </w:tc>
      </w:tr>
      <w:tr>
        <w:tc>
          <w:tcPr>
            <w:tcW w:type="dxa" w:w="1734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埋点事件</w:t>
            </w:r>
          </w:p>
        </w:tc>
        <w:tc>
          <w:tcPr>
            <w:tcW w:type="dxa" w:w="7677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数据追溯：事件汇总与逐条事件日志</w:t>
            </w:r>
          </w:p>
        </w:tc>
      </w:tr>
    </w:tbl>
    <w:p>
      <w:pPr>
        <w:spacing w:after="40"/>
      </w:pPr>
    </w:p>
    <w:p>
      <w:pPr>
        <w:pStyle w:val="Heading2"/>
      </w:pPr>
      <w:r>
        <w:t>2.3 不在本期范围</w:t>
      </w:r>
    </w:p>
    <w:p>
      <w:pPr>
        <w:spacing w:after="40"/>
        <w:ind w:left="340" w:hanging="255"/>
      </w:pPr>
      <w:r>
        <w:t>1. 企微申请、PRM 及其他外部渠道的申请量与平台覆盖率：本看板只读取授权平台内数据，收口效果由人工汇报页承接。</w:t>
      </w:r>
    </w:p>
    <w:p>
      <w:pPr>
        <w:spacing w:after="40"/>
        <w:ind w:left="340" w:hanging="255"/>
      </w:pPr>
      <w:r>
        <w:t>2. 审批节点分析与驳回原因聚合：审批流按「产品 × 客户类型 × 申请场景」动态变化，节点数量不固定；驳回原因为自由填写，均不做固定聚合。</w:t>
      </w:r>
    </w:p>
    <w:p>
      <w:pPr>
        <w:spacing w:after="40"/>
        <w:ind w:left="340" w:hanging="255"/>
      </w:pPr>
      <w:r>
        <w:t>3. 生产实时接口与权限体系：当前为本地演示数据，不连接生产接口。</w:t>
      </w:r>
    </w:p>
    <w:p>
      <w:pPr>
        <w:spacing w:after="40"/>
        <w:ind w:left="340" w:hanging="255"/>
      </w:pPr>
      <w:r>
        <w:t>4. 产品测试平均时长、异常设备比例不在本看板展示。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1"/>
      </w:pPr>
      <w:r>
        <w:t>3. 页面结构</w:t>
      </w:r>
    </w:p>
    <w:p>
      <w:pPr>
        <w:spacing w:after="0" w:line="264" w:lineRule="auto"/>
        <w:ind w:left="170"/>
        <w:shd w:val="clear" w:color="auto" w:fill="F2F5FA"/>
      </w:pPr>
      <w:r>
        <w:rPr>
          <w:rFonts w:ascii="Consolas" w:hAnsi="Consolas" w:eastAsia="Consolas"/>
          <w:sz w:val="18"/>
        </w:rPr>
        <w:t>运营看板</w:t>
      </w:r>
    </w:p>
    <w:p>
      <w:pPr>
        <w:spacing w:after="0" w:line="264" w:lineRule="auto"/>
        <w:ind w:left="170"/>
        <w:shd w:val="clear" w:color="auto" w:fill="F2F5FA"/>
      </w:pPr>
      <w:r>
        <w:rPr>
          <w:rFonts w:ascii="Consolas" w:hAnsi="Consolas" w:eastAsia="Consolas"/>
          <w:sz w:val="18"/>
        </w:rPr>
        <w:t>├─ 页头：标题 · 数据标识</w:t>
      </w:r>
    </w:p>
    <w:p>
      <w:pPr>
        <w:spacing w:after="0" w:line="264" w:lineRule="auto"/>
        <w:ind w:left="170"/>
        <w:shd w:val="clear" w:color="auto" w:fill="F2F5FA"/>
      </w:pPr>
      <w:r>
        <w:rPr>
          <w:rFonts w:ascii="Consolas" w:hAnsi="Consolas" w:eastAsia="Consolas"/>
          <w:sz w:val="18"/>
        </w:rPr>
        <w:t>├─ 筛选区：时间范围 · 业务类型 · 查询</w:t>
      </w:r>
    </w:p>
    <w:p>
      <w:pPr>
        <w:spacing w:after="0" w:line="264" w:lineRule="auto"/>
        <w:ind w:left="170"/>
        <w:shd w:val="clear" w:color="auto" w:fill="F2F5FA"/>
      </w:pPr>
      <w:r>
        <w:rPr>
          <w:rFonts w:ascii="Consolas" w:hAnsi="Consolas" w:eastAsia="Consolas"/>
          <w:sz w:val="18"/>
        </w:rPr>
        <w:t>├─ 栏目：运营总览 / 申请与授权链路 / 埋点事件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1"/>
      </w:pPr>
      <w:r>
        <w:t>4. 功能模块需求</w:t>
      </w:r>
    </w:p>
    <w:p>
      <w:pPr>
        <w:pStyle w:val="Heading2"/>
      </w:pPr>
      <w:r>
        <w:t>4.1 全局筛选与时间范围</w:t>
      </w:r>
    </w:p>
    <w:p>
      <w:pPr>
        <w:pStyle w:val="Heading3"/>
      </w:pPr>
      <w:r>
        <w:t>1、初始状态</w:t>
      </w:r>
    </w:p>
    <w:p>
      <w:pPr>
        <w:spacing w:after="40"/>
        <w:ind w:left="340" w:hanging="255"/>
      </w:pPr>
      <w:r>
        <w:t>1. 页面顶部为筛选区，与页头、栏目标签分离，作为一个整体卡片展示。</w:t>
      </w:r>
    </w:p>
    <w:p>
      <w:pPr>
        <w:spacing w:after="40"/>
        <w:ind w:left="340" w:hanging="255"/>
      </w:pPr>
      <w:r>
        <w:t>2. 时间范围提供快捷选项：</w:t>
      </w:r>
      <w:r>
        <w:rPr>
          <w:rFonts w:ascii="Consolas" w:hAnsi="Consolas" w:eastAsia="Consolas"/>
          <w:sz w:val="20"/>
        </w:rPr>
        <w:t>近 7 天</w:t>
      </w:r>
      <w:r>
        <w:t>、</w:t>
      </w:r>
      <w:r>
        <w:rPr>
          <w:rFonts w:ascii="Consolas" w:hAnsi="Consolas" w:eastAsia="Consolas"/>
          <w:sz w:val="20"/>
        </w:rPr>
        <w:t>近 30 天</w:t>
      </w:r>
      <w:r>
        <w:t>、</w:t>
      </w:r>
      <w:r>
        <w:rPr>
          <w:rFonts w:ascii="Consolas" w:hAnsi="Consolas" w:eastAsia="Consolas"/>
          <w:sz w:val="20"/>
        </w:rPr>
        <w:t>近 90 天</w:t>
      </w:r>
      <w:r>
        <w:t>、</w:t>
      </w:r>
      <w:r>
        <w:rPr>
          <w:rFonts w:ascii="Consolas" w:hAnsi="Consolas" w:eastAsia="Consolas"/>
          <w:sz w:val="20"/>
        </w:rPr>
        <w:t>自定义</w:t>
      </w:r>
      <w:r>
        <w:t>，同一时间仅一个选项为选中态。</w:t>
      </w:r>
    </w:p>
    <w:p>
      <w:pPr>
        <w:spacing w:after="40"/>
        <w:ind w:left="340" w:hanging="255"/>
      </w:pPr>
      <w:r>
        <w:t>3. 提供开始日期、结束日期两个日期输入框，默认值由当前数据模式决定：</w:t>
      </w:r>
    </w:p>
    <w:p>
      <w:pPr>
        <w:pStyle w:val="ListBullet2"/>
        <w:spacing w:after="40"/>
      </w:pPr>
      <w:r>
        <w:t>模拟数据模式：默认近 30 天；</w:t>
      </w:r>
    </w:p>
    <w:p>
      <w:pPr>
        <w:pStyle w:val="ListBullet2"/>
        <w:spacing w:after="40"/>
      </w:pPr>
      <w:r>
        <w:t>真实数据模式：默认业务已确认的完整区间。</w:t>
      </w:r>
    </w:p>
    <w:p>
      <w:pPr>
        <w:spacing w:after="40"/>
        <w:ind w:left="340" w:hanging="255"/>
      </w:pPr>
      <w:r>
        <w:t>4. 业务类型为下拉单选，选项为：</w:t>
      </w:r>
      <w:r>
        <w:rPr>
          <w:rFonts w:ascii="Consolas" w:hAnsi="Consolas" w:eastAsia="Consolas"/>
          <w:sz w:val="20"/>
        </w:rPr>
        <w:t>全部业务类型</w:t>
      </w:r>
      <w:r>
        <w:t>、</w:t>
      </w:r>
      <w:r>
        <w:rPr>
          <w:rFonts w:ascii="Consolas" w:hAnsi="Consolas" w:eastAsia="Consolas"/>
          <w:sz w:val="20"/>
        </w:rPr>
        <w:t>产品授权</w:t>
      </w:r>
      <w:r>
        <w:t>、</w:t>
      </w:r>
      <w:r>
        <w:rPr>
          <w:rFonts w:ascii="Consolas" w:hAnsi="Consolas" w:eastAsia="Consolas"/>
          <w:sz w:val="20"/>
        </w:rPr>
        <w:t>XaaS授权</w:t>
      </w:r>
      <w:r>
        <w:t>、</w:t>
      </w:r>
      <w:r>
        <w:rPr>
          <w:rFonts w:ascii="Consolas" w:hAnsi="Consolas" w:eastAsia="Consolas"/>
          <w:sz w:val="20"/>
        </w:rPr>
        <w:t>解决方案型授权</w:t>
      </w:r>
      <w:r>
        <w:t xml:space="preserve">，默认 </w:t>
      </w:r>
      <w:r>
        <w:rPr>
          <w:rFonts w:ascii="Consolas" w:hAnsi="Consolas" w:eastAsia="Consolas"/>
          <w:sz w:val="20"/>
        </w:rPr>
        <w:t>全部业务类型</w:t>
      </w:r>
      <w:r>
        <w:t>。</w:t>
      </w:r>
    </w:p>
    <w:p>
      <w:pPr>
        <w:spacing w:after="40"/>
        <w:ind w:left="340" w:hanging="255"/>
      </w:pPr>
      <w:r>
        <w:t xml:space="preserve">5. 筛选区提供 </w:t>
      </w:r>
      <w:r>
        <w:rPr>
          <w:rFonts w:ascii="Consolas" w:hAnsi="Consolas" w:eastAsia="Consolas"/>
          <w:sz w:val="20"/>
        </w:rPr>
        <w:t>查询</w:t>
      </w:r>
      <w:r>
        <w:t xml:space="preserve"> 按钮，右侧展示维度可用性说明。</w:t>
      </w:r>
    </w:p>
    <w:p>
      <w:pPr>
        <w:spacing w:after="40"/>
        <w:ind w:left="340" w:hanging="255"/>
      </w:pPr>
      <w:r>
        <w:t>6. 产线、申请场景、入口来源当前不作为筛选项展示。</w:t>
      </w:r>
    </w:p>
    <w:p>
      <w:pPr>
        <w:pStyle w:val="Heading3"/>
      </w:pPr>
      <w:r>
        <w:t>2、交互逻辑说明</w:t>
      </w:r>
    </w:p>
    <w:p>
      <w:pPr>
        <w:spacing w:after="40"/>
        <w:ind w:left="340" w:hanging="255"/>
      </w:pPr>
      <w:r>
        <w:t>1. 点击快捷时间选项：</w:t>
      </w:r>
    </w:p>
    <w:p>
      <w:pPr>
        <w:pStyle w:val="ListBullet2"/>
        <w:spacing w:after="40"/>
      </w:pPr>
      <w:r>
        <w:t>按上海自然日计算，范围包含当天及此前 N−1 天；</w:t>
      </w:r>
    </w:p>
    <w:p>
      <w:pPr>
        <w:pStyle w:val="ListBullet2"/>
        <w:spacing w:after="40"/>
      </w:pPr>
      <w:r>
        <w:t xml:space="preserve">立即触发查询，不需要再点 </w:t>
      </w:r>
      <w:r>
        <w:rPr>
          <w:rFonts w:ascii="Consolas" w:hAnsi="Consolas" w:eastAsia="Consolas"/>
          <w:sz w:val="20"/>
        </w:rPr>
        <w:t>查询</w:t>
      </w:r>
      <w:r>
        <w:t>。</w:t>
      </w:r>
    </w:p>
    <w:p>
      <w:pPr>
        <w:spacing w:after="40"/>
        <w:ind w:left="340" w:hanging="255"/>
      </w:pPr>
      <w:r>
        <w:t xml:space="preserve">2. 修改开始或结束日期后，选中态切换为 </w:t>
      </w:r>
      <w:r>
        <w:rPr>
          <w:rFonts w:ascii="Consolas" w:hAnsi="Consolas" w:eastAsia="Consolas"/>
          <w:sz w:val="20"/>
        </w:rPr>
        <w:t>自定义</w:t>
      </w:r>
      <w:r>
        <w:t xml:space="preserve">，点击 </w:t>
      </w:r>
      <w:r>
        <w:rPr>
          <w:rFonts w:ascii="Consolas" w:hAnsi="Consolas" w:eastAsia="Consolas"/>
          <w:sz w:val="20"/>
        </w:rPr>
        <w:t>查询</w:t>
      </w:r>
      <w:r>
        <w:t xml:space="preserve"> 后生效。</w:t>
      </w:r>
    </w:p>
    <w:p>
      <w:pPr>
        <w:spacing w:after="40"/>
        <w:ind w:left="340" w:hanging="255"/>
      </w:pPr>
      <w:r>
        <w:t>3. 业务类型切换后立即生效，并作用于全部三个栏目。</w:t>
      </w:r>
    </w:p>
    <w:p>
      <w:pPr>
        <w:spacing w:after="40"/>
        <w:ind w:left="340" w:hanging="255"/>
      </w:pPr>
      <w:r>
        <w:t>4. 日期范围变化后，埋点事件日志重置到第 1 页。</w:t>
      </w:r>
    </w:p>
    <w:p>
      <w:pPr>
        <w:spacing w:after="40"/>
        <w:ind w:left="340" w:hanging="255"/>
      </w:pPr>
      <w:r>
        <w:t>5. 筛选条件不写入 URL，刷新页面恢复默认范围。</w:t>
      </w:r>
    </w:p>
    <w:p>
      <w:pPr>
        <w:pStyle w:val="Heading3"/>
      </w:pPr>
      <w:r>
        <w:t>3、字段校验规则</w:t>
      </w:r>
    </w:p>
    <w:p>
      <w:pPr>
        <w:spacing w:after="40"/>
        <w:ind w:left="340" w:hanging="255"/>
      </w:pPr>
      <w:r>
        <w:t>1. 开始日期、结束日期均必填，任一为空时提示并阻止查询。</w:t>
      </w:r>
    </w:p>
    <w:p>
      <w:pPr>
        <w:spacing w:after="40"/>
        <w:ind w:left="340" w:hanging="255"/>
      </w:pPr>
      <w:r>
        <w:t>2. 结束日期不得早于开始日期，否则提示并阻止查询。</w:t>
      </w:r>
    </w:p>
    <w:p>
      <w:pPr>
        <w:spacing w:after="40"/>
        <w:ind w:left="340" w:hanging="255"/>
      </w:pPr>
      <w:r>
        <w:t xml:space="preserve">3. 业务类型为单选，默认 </w:t>
      </w:r>
      <w:r>
        <w:rPr>
          <w:rFonts w:ascii="Consolas" w:hAnsi="Consolas" w:eastAsia="Consolas"/>
          <w:sz w:val="20"/>
        </w:rPr>
        <w:t>全部业务类型</w:t>
      </w:r>
      <w:r>
        <w:t>，不允许为空。</w:t>
      </w:r>
    </w:p>
    <w:p>
      <w:pPr>
        <w:pStyle w:val="Heading3"/>
      </w:pPr>
      <w:r>
        <w:t>4、提交逻辑处理</w:t>
      </w:r>
    </w:p>
    <w:p>
      <w:pPr>
        <w:spacing w:after="40"/>
        <w:ind w:left="340" w:hanging="255"/>
      </w:pPr>
      <w:r>
        <w:t>1. 筛选为前端查询行为，不生成业务单据，不写入授权记录。</w:t>
      </w:r>
    </w:p>
    <w:p>
      <w:pPr>
        <w:spacing w:after="40"/>
        <w:ind w:left="340" w:hanging="255"/>
      </w:pPr>
      <w:r>
        <w:t>2. 所有栏目、指标卡、图表与表格均使用当前筛选条件重新计算。</w:t>
      </w:r>
    </w:p>
    <w:p>
      <w:pPr>
        <w:spacing w:after="40"/>
        <w:ind w:left="340" w:hanging="255"/>
      </w:pPr>
      <w:r>
        <w:t xml:space="preserve">3. 当所选范围缺少同口径数据时，对应指标留空并显示 </w:t>
      </w:r>
      <w:r>
        <w:rPr>
          <w:rFonts w:ascii="Consolas" w:hAnsi="Consolas" w:eastAsia="Consolas"/>
          <w:sz w:val="20"/>
        </w:rPr>
        <w:t>—</w:t>
      </w:r>
      <w:r>
        <w:t>，不使用其他范围或旧快照填补。</w:t>
      </w:r>
    </w:p>
    <w:p>
      <w:pPr>
        <w:pStyle w:val="Heading3"/>
      </w:pPr>
      <w:r>
        <w:t>5、验收标准</w:t>
      </w:r>
    </w:p>
    <w:p>
      <w:pPr>
        <w:spacing w:after="40"/>
        <w:ind w:left="340" w:hanging="255"/>
      </w:pPr>
      <w:r>
        <w:t>1. 四个快捷选项和两个日期输入框正确展示，默认选中态与当前数据模式一致。</w:t>
      </w:r>
    </w:p>
    <w:p>
      <w:pPr>
        <w:spacing w:after="40"/>
        <w:ind w:left="340" w:hanging="255"/>
      </w:pPr>
      <w:r>
        <w:t xml:space="preserve">2. 点击 </w:t>
      </w:r>
      <w:r>
        <w:rPr>
          <w:rFonts w:ascii="Consolas" w:hAnsi="Consolas" w:eastAsia="Consolas"/>
          <w:sz w:val="20"/>
        </w:rPr>
        <w:t>近 7 天</w:t>
      </w:r>
      <w:r>
        <w:t xml:space="preserve"> 后，开始日期为当天前 6 天、结束日期为当天，并立即刷新数据。</w:t>
      </w:r>
    </w:p>
    <w:p>
      <w:pPr>
        <w:spacing w:after="40"/>
        <w:ind w:left="340" w:hanging="255"/>
      </w:pPr>
      <w:r>
        <w:t>3. 结束日期早于开始日期时，查询被阻止并给出提示。</w:t>
      </w:r>
    </w:p>
    <w:p>
      <w:pPr>
        <w:spacing w:after="40"/>
        <w:ind w:left="340" w:hanging="255"/>
      </w:pPr>
      <w:r>
        <w:t>4. 切换业务类型后，三个栏目均按新条件刷新。</w:t>
      </w:r>
    </w:p>
    <w:p>
      <w:pPr>
        <w:spacing w:after="40"/>
        <w:ind w:left="340" w:hanging="255"/>
      </w:pPr>
      <w:r>
        <w:t>5. 产线、申请场景、入口来源不出现在筛选控件中，说明文案可见。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2"/>
      </w:pPr>
      <w:r>
        <w:t>4.2 运营总览</w:t>
      </w:r>
    </w:p>
    <w:p>
      <w:pPr>
        <w:pStyle w:val="Heading3"/>
      </w:pPr>
      <w:r>
        <w:t>1、初始状态</w:t>
      </w:r>
    </w:p>
    <w:p>
      <w:pPr>
        <w:spacing w:after="40"/>
        <w:ind w:left="340" w:hanging="255"/>
      </w:pPr>
      <w:r>
        <w:t>1. 顶部为结果行，包含三张指标卡：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平台申请量</w:t>
      </w:r>
      <w:r>
        <w:t>（主卡）：当前区间提交成功的申请单数；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填单完成率</w:t>
      </w:r>
      <w:r>
        <w:t>：提交成功数 ÷ 开始填单数；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端到端授权耗时</w:t>
      </w:r>
      <w:r>
        <w:t>：从成功提交到激活成功的平均耗时。</w:t>
      </w:r>
    </w:p>
    <w:p>
      <w:pPr>
        <w:spacing w:after="40"/>
        <w:ind w:left="340" w:hanging="255"/>
      </w:pPr>
      <w:r>
        <w:t>2. 结果行下方为四张过程指标卡：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提交校验失败率</w:t>
      </w:r>
      <w:r>
        <w:t>：校验失败次数 ÷ 点击提交次数；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审批通过率</w:t>
      </w:r>
      <w:r>
        <w:t>：审批通过数 ÷ 进入审批数；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自动授权成功率（业务口径）</w:t>
      </w:r>
      <w:r>
        <w:t>：1 − 激活失败量 ÷ 审批通过量（含免审批）；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激活失败率（业务口径）</w:t>
      </w:r>
      <w:r>
        <w:t>：激活失败量 ÷ 审批通过量（含免审批）。</w:t>
      </w:r>
    </w:p>
    <w:p>
      <w:pPr>
        <w:spacing w:after="40"/>
        <w:ind w:left="340" w:hanging="255"/>
      </w:pPr>
      <w:r>
        <w:t>3. 趋势区包含：</w:t>
      </w:r>
    </w:p>
    <w:p>
      <w:pPr>
        <w:pStyle w:val="ListBullet2"/>
        <w:spacing w:after="40"/>
      </w:pPr>
      <w:r>
        <w:t>观察指标下拉：平台申请量、激活成功量、激活失败量、需审批量、审批拒绝量；</w:t>
      </w:r>
    </w:p>
    <w:p>
      <w:pPr>
        <w:pStyle w:val="ListBullet2"/>
        <w:spacing w:after="40"/>
      </w:pPr>
      <w:r>
        <w:t>粒度切换：日、周、月；</w:t>
      </w:r>
    </w:p>
    <w:p>
      <w:pPr>
        <w:pStyle w:val="ListBullet2"/>
        <w:spacing w:after="40"/>
      </w:pPr>
      <w:r>
        <w:t>折线图：有数据的区间绘制实心点，非完整周期使用空心点与虚线，缺数据处断开且不补零。</w:t>
      </w:r>
    </w:p>
    <w:p>
      <w:pPr>
        <w:spacing w:after="40"/>
        <w:ind w:left="340" w:hanging="255"/>
      </w:pPr>
      <w:r>
        <w:t>4. 结构分布区包含：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授权类别分布</w:t>
      </w:r>
      <w:r>
        <w:t>：产品授权、XaaS 授权及占比；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平台申请产线分布</w:t>
      </w:r>
      <w:r>
        <w:t>：按产品线展示申请量；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申请场景分布</w:t>
      </w:r>
      <w:r>
        <w:t>：首次申请、正常延期、超规延期、超限制规模、销售设备、重复申请/授权变更。</w:t>
      </w:r>
    </w:p>
    <w:p>
      <w:pPr>
        <w:pStyle w:val="Heading3"/>
      </w:pPr>
      <w:r>
        <w:t>2、交互逻辑说明</w:t>
      </w:r>
    </w:p>
    <w:p>
      <w:pPr>
        <w:spacing w:after="40"/>
        <w:ind w:left="340" w:hanging="255"/>
      </w:pPr>
      <w:r>
        <w:t>1. 趋势指标或粒度切换后，图表重新绘制；无可用数据时展示空状态，不估算。</w:t>
      </w:r>
    </w:p>
    <w:p>
      <w:pPr>
        <w:spacing w:after="40"/>
        <w:ind w:left="340" w:hanging="255"/>
      </w:pPr>
      <w:r>
        <w:t>2. 结构分布图仅做展示，不作为筛选入口；不使用细产线或申请场景反向过滤其他指标。</w:t>
      </w:r>
    </w:p>
    <w:p>
      <w:pPr>
        <w:spacing w:after="40"/>
        <w:ind w:left="340" w:hanging="255"/>
      </w:pPr>
      <w:r>
        <w:t>3. 业务类型筛选变化时，结果卡、过程卡、趋势图与结构分布同步刷新。</w:t>
      </w:r>
    </w:p>
    <w:p>
      <w:pPr>
        <w:pStyle w:val="Heading3"/>
      </w:pPr>
      <w:r>
        <w:t>3、字段校验规则</w:t>
      </w:r>
    </w:p>
    <w:p>
      <w:pPr>
        <w:spacing w:after="40"/>
        <w:ind w:left="340" w:hanging="255"/>
      </w:pPr>
      <w:r>
        <w:t>1. 本模块为只读展示，无用户输入字段，不涉及字段校验。</w:t>
      </w:r>
    </w:p>
    <w:p>
      <w:pPr>
        <w:spacing w:after="40"/>
        <w:ind w:left="340" w:hanging="255"/>
      </w:pPr>
      <w:r>
        <w:t xml:space="preserve">2. 数值展示遵循统一规则：缺失显示 </w:t>
      </w:r>
      <w:r>
        <w:rPr>
          <w:rFonts w:ascii="Consolas" w:hAnsi="Consolas" w:eastAsia="Consolas"/>
          <w:sz w:val="20"/>
        </w:rPr>
        <w:t>—</w:t>
      </w:r>
      <w:r>
        <w:t>；百分比保留 1 位小数；数量使用千分位。</w:t>
      </w:r>
    </w:p>
    <w:p>
      <w:pPr>
        <w:pStyle w:val="Heading3"/>
      </w:pPr>
      <w:r>
        <w:t>4、提交逻辑处理</w:t>
      </w:r>
    </w:p>
    <w:p>
      <w:pPr>
        <w:spacing w:after="40"/>
        <w:ind w:left="340" w:hanging="255"/>
      </w:pPr>
      <w:r>
        <w:t>1. 本模块不涉及数据提交，仅响应全局筛选。</w:t>
      </w:r>
    </w:p>
    <w:p>
      <w:pPr>
        <w:spacing w:after="40"/>
        <w:ind w:left="340" w:hanging="255"/>
      </w:pPr>
      <w:r>
        <w:t>2. 指标计算不混用不同来源的分母：</w:t>
      </w:r>
    </w:p>
    <w:p>
      <w:pPr>
        <w:pStyle w:val="ListBullet2"/>
        <w:spacing w:after="40"/>
      </w:pPr>
      <w:r>
        <w:t>业务周表用于申请量、审批结果与激活结果；</w:t>
      </w:r>
    </w:p>
    <w:p>
      <w:pPr>
        <w:pStyle w:val="ListBullet2"/>
        <w:spacing w:after="40"/>
      </w:pPr>
      <w:r>
        <w:t>入口埋点用于填单、提交、校验等过程指标；</w:t>
      </w:r>
    </w:p>
    <w:p>
      <w:pPr>
        <w:pStyle w:val="ListBullet2"/>
        <w:spacing w:after="40"/>
      </w:pPr>
      <w:r>
        <w:t>两套来源分别标注，不相加、不相互替代。</w:t>
      </w:r>
    </w:p>
    <w:p>
      <w:pPr>
        <w:pStyle w:val="Heading3"/>
      </w:pPr>
      <w:r>
        <w:t>5、验收标准</w:t>
      </w:r>
    </w:p>
    <w:p>
      <w:pPr>
        <w:spacing w:after="40"/>
        <w:ind w:left="340" w:hanging="255"/>
      </w:pPr>
      <w:r>
        <w:t>1. 三张结果卡与四张过程卡正确展示，指标名称与口径一致。</w:t>
      </w:r>
    </w:p>
    <w:p>
      <w:pPr>
        <w:spacing w:after="40"/>
        <w:ind w:left="340" w:hanging="255"/>
      </w:pPr>
      <w:r>
        <w:t>2. 切换趋势指标和日/周/月粒度后，图表正确重绘；缺失区间断开，不出现补零。</w:t>
      </w:r>
    </w:p>
    <w:p>
      <w:pPr>
        <w:spacing w:after="40"/>
        <w:ind w:left="340" w:hanging="255"/>
      </w:pPr>
      <w:r>
        <w:t>3. 切换业务类型后，全部卡片、趋势与分布按新条件刷新。</w:t>
      </w:r>
    </w:p>
    <w:p>
      <w:pPr>
        <w:spacing w:after="40"/>
        <w:ind w:left="340" w:hanging="255"/>
      </w:pPr>
      <w:r>
        <w:t xml:space="preserve">4. 无数据时指标显示 </w:t>
      </w:r>
      <w:r>
        <w:rPr>
          <w:rFonts w:ascii="Consolas" w:hAnsi="Consolas" w:eastAsia="Consolas"/>
          <w:sz w:val="20"/>
        </w:rPr>
        <w:t>—</w:t>
      </w:r>
      <w:r>
        <w:t>，不显示估算值。</w:t>
      </w:r>
    </w:p>
    <w:p>
      <w:pPr>
        <w:spacing w:after="40"/>
        <w:ind w:left="340" w:hanging="255"/>
      </w:pPr>
      <w:r>
        <w:t>5. 申请场景分布包含 6 个场景，销售设备、重复申请/授权变更等场景可查看申请量。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2"/>
      </w:pPr>
      <w:r>
        <w:t>4.3 申请与授权链路</w:t>
      </w:r>
    </w:p>
    <w:p>
      <w:pPr>
        <w:pStyle w:val="Heading3"/>
      </w:pPr>
      <w:r>
        <w:t>1、初始状态</w:t>
      </w:r>
    </w:p>
    <w:p>
      <w:pPr>
        <w:spacing w:after="40"/>
        <w:ind w:left="340" w:hanging="255"/>
      </w:pPr>
      <w:r>
        <w:t>1. 页面分为两节，节间使用分隔线区分：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一、申请体验与审批</w:t>
      </w:r>
      <w:r>
        <w:t>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二、授权与激活</w:t>
      </w:r>
      <w:r>
        <w:t>。</w:t>
      </w:r>
    </w:p>
    <w:p>
      <w:pPr>
        <w:spacing w:after="40"/>
        <w:ind w:left="340" w:hanging="255"/>
      </w:pPr>
      <w:r>
        <w:t>2. 第一节包含四张归因指标卡：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表单填写时长</w:t>
      </w:r>
      <w:r>
        <w:t>：开始填写到成功提交的平均时长；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提交受阻事件数</w:t>
      </w:r>
      <w:r>
        <w:t>：前端校验失败次数 + 后端提交失败次数；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审批拒绝量</w:t>
      </w:r>
      <w:r>
        <w:t>：审批被驳回的申请数；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审批中申请量</w:t>
      </w:r>
      <w:r>
        <w:t>：已进入审批、尚未出结果的申请数。</w:t>
      </w:r>
    </w:p>
    <w:p>
      <w:pPr>
        <w:spacing w:after="40"/>
        <w:ind w:left="340" w:hanging="255"/>
      </w:pPr>
      <w:r>
        <w:t>3. 第一节下方为两个面板：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提交受阻原因</w:t>
      </w:r>
      <w:r>
        <w:t>：按失败原因展示事件次数，后端提交失败以「后端提交失败：原因」区分；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审批结果</w:t>
      </w:r>
      <w:r>
        <w:t>：展示进入审批、审批通过、审批驳回、审批中四项数量，并注明驳回原因为自由填写、不做聚合。</w:t>
      </w:r>
    </w:p>
    <w:p>
      <w:pPr>
        <w:spacing w:after="40"/>
        <w:ind w:left="340" w:hanging="255"/>
      </w:pPr>
      <w:r>
        <w:t>4. 第二节包含四张归因指标卡：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应自动授权量</w:t>
      </w:r>
      <w:r>
        <w:t>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激活成功量</w:t>
      </w:r>
      <w:r>
        <w:t>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设备激活失败量</w:t>
      </w:r>
      <w:r>
        <w:t>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自动授权成功率（应执行口径）</w:t>
      </w:r>
      <w:r>
        <w:t>：完成授权数 ÷ 应执行数。</w:t>
      </w:r>
    </w:p>
    <w:p>
      <w:pPr>
        <w:spacing w:after="40"/>
        <w:ind w:left="340" w:hanging="255"/>
      </w:pPr>
      <w:r>
        <w:t>5. 第二节下方为两个面板：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全链路耗时</w:t>
      </w:r>
      <w:r>
        <w:t>：填单、审批（含免审计 0）、授权生成、设备激活、全链路五个阶段，展示 P50、P95、均值与样本量；</w:t>
      </w:r>
    </w:p>
    <w:p>
      <w:pPr>
        <w:pStyle w:val="ListBullet2"/>
        <w:spacing w:after="40"/>
      </w:pPr>
      <w:r>
        <w:rPr>
          <w:rFonts w:ascii="Consolas" w:hAnsi="Consolas" w:eastAsia="Consolas"/>
          <w:sz w:val="20"/>
        </w:rPr>
        <w:t>失败原因与处理线索</w:t>
      </w:r>
      <w:r>
        <w:t>：按失败节点与原因展示前 5 项次数及排查方向。</w:t>
      </w:r>
    </w:p>
    <w:p>
      <w:pPr>
        <w:spacing w:after="40"/>
        <w:ind w:left="340" w:hanging="255"/>
      </w:pPr>
      <w:r>
        <w:t>6. 页面不展示审批节点分析、设备节点结果分布，也不展示驳回原因排行。</w:t>
      </w:r>
    </w:p>
    <w:p>
      <w:pPr>
        <w:pStyle w:val="Heading3"/>
      </w:pPr>
      <w:r>
        <w:t>2、交互逻辑说明</w:t>
      </w:r>
    </w:p>
    <w:p>
      <w:pPr>
        <w:spacing w:after="40"/>
        <w:ind w:left="340" w:hanging="255"/>
      </w:pPr>
      <w:r>
        <w:t>1. 业务类型筛选变化时，本节全部卡片与面板同步刷新。</w:t>
      </w:r>
    </w:p>
    <w:p>
      <w:pPr>
        <w:spacing w:after="40"/>
        <w:ind w:left="340" w:hanging="255"/>
      </w:pPr>
      <w:r>
        <w:t xml:space="preserve">2. </w:t>
      </w:r>
      <w:r>
        <w:rPr>
          <w:rFonts w:ascii="Consolas" w:hAnsi="Consolas" w:eastAsia="Consolas"/>
          <w:sz w:val="20"/>
        </w:rPr>
        <w:t>全链路耗时</w:t>
      </w:r>
      <w:r>
        <w:t xml:space="preserve"> 的各阶段基于同一批已激活申请逐段计算，逐段相加等于全链路；审批段包含免审申请并计为 0，因此 P50 可能为 0。</w:t>
      </w:r>
    </w:p>
    <w:p>
      <w:pPr>
        <w:spacing w:after="40"/>
        <w:ind w:left="340" w:hanging="255"/>
      </w:pPr>
      <w:r>
        <w:t>3. 失败原因列表按次数降序，最多展示前 5 项；超过 5 项时在脚注说明总数。</w:t>
      </w:r>
    </w:p>
    <w:p>
      <w:pPr>
        <w:spacing w:after="40"/>
        <w:ind w:left="340" w:hanging="255"/>
      </w:pPr>
      <w:r>
        <w:t>4. 本节只做展示与归因，不提供修改、审批或重试操作。</w:t>
      </w:r>
    </w:p>
    <w:p>
      <w:pPr>
        <w:pStyle w:val="Heading3"/>
      </w:pPr>
      <w:r>
        <w:t>3、字段校验规则</w:t>
      </w:r>
    </w:p>
    <w:p>
      <w:pPr>
        <w:spacing w:after="40"/>
        <w:ind w:left="340" w:hanging="255"/>
      </w:pPr>
      <w:r>
        <w:t>1. 本模块为只读展示，无用户输入字段，不涉及字段校验。</w:t>
      </w:r>
    </w:p>
    <w:p>
      <w:pPr>
        <w:spacing w:after="40"/>
        <w:ind w:left="340" w:hanging="255"/>
      </w:pPr>
      <w:r>
        <w:t xml:space="preserve">2. 阶段耗时样本量需与阶段口径一致；样本为 0 时显示 </w:t>
      </w:r>
      <w:r>
        <w:rPr>
          <w:rFonts w:ascii="Consolas" w:hAnsi="Consolas" w:eastAsia="Consolas"/>
          <w:sz w:val="20"/>
        </w:rPr>
        <w:t>—</w:t>
      </w:r>
      <w:r>
        <w:t>，不计算比率。</w:t>
      </w:r>
    </w:p>
    <w:p>
      <w:pPr>
        <w:spacing w:after="40"/>
        <w:ind w:left="340" w:hanging="255"/>
      </w:pPr>
      <w:r>
        <w:t>3. 失败原因次数为事件次数，不直接等同于失败申请数。</w:t>
      </w:r>
    </w:p>
    <w:p>
      <w:pPr>
        <w:pStyle w:val="Heading3"/>
      </w:pPr>
      <w:r>
        <w:t>4、提交逻辑处理</w:t>
      </w:r>
    </w:p>
    <w:p>
      <w:pPr>
        <w:spacing w:after="40"/>
        <w:ind w:left="340" w:hanging="255"/>
      </w:pPr>
      <w:r>
        <w:t>1. 本模块不涉及数据提交。</w:t>
      </w:r>
    </w:p>
    <w:p>
      <w:pPr>
        <w:spacing w:after="40"/>
        <w:ind w:left="340" w:hanging="255"/>
      </w:pPr>
      <w:r>
        <w:t>2. 审批通过率、激活失败率等结果指标只在总览展示；本节展示过程计数与原因，不重复展示相同比率。</w:t>
      </w:r>
    </w:p>
    <w:p>
      <w:pPr>
        <w:spacing w:after="40"/>
        <w:ind w:left="340" w:hanging="255"/>
      </w:pPr>
      <w:r>
        <w:t>3. 自动授权成功率使用「应执行口径」，与总览的「业务口径」分开命名和展示，不混用分母。</w:t>
      </w:r>
    </w:p>
    <w:p>
      <w:pPr>
        <w:pStyle w:val="Heading3"/>
      </w:pPr>
      <w:r>
        <w:t>5、验收标准</w:t>
      </w:r>
    </w:p>
    <w:p>
      <w:pPr>
        <w:spacing w:after="40"/>
        <w:ind w:left="340" w:hanging="255"/>
      </w:pPr>
      <w:r>
        <w:t>1. 页面正确展示两节结构及分隔线。</w:t>
      </w:r>
    </w:p>
    <w:p>
      <w:pPr>
        <w:spacing w:after="40"/>
        <w:ind w:left="340" w:hanging="255"/>
      </w:pPr>
      <w:r>
        <w:t>2. 第一节四张卡分别为填写时长、提交受阻事件数、审批拒绝量、审批中申请量。</w:t>
      </w:r>
    </w:p>
    <w:p>
      <w:pPr>
        <w:spacing w:after="40"/>
        <w:ind w:left="340" w:hanging="255"/>
      </w:pPr>
      <w:r>
        <w:t>3. 第二节四张卡分别为应自动授权量、激活成功量、设备激活失败量、自动授权成功率（应执行口径）。</w:t>
      </w:r>
    </w:p>
    <w:p>
      <w:pPr>
        <w:spacing w:after="40"/>
        <w:ind w:left="340" w:hanging="255"/>
      </w:pPr>
      <w:r>
        <w:t>4. 全链路耗时包含 5 个阶段，各阶段样本量一致；逐段均值相加与全链路均值一致（允许四舍五入误差）。</w:t>
      </w:r>
    </w:p>
    <w:p>
      <w:pPr>
        <w:spacing w:after="40"/>
        <w:ind w:left="340" w:hanging="255"/>
      </w:pPr>
      <w:r>
        <w:t>5. 失败原因最多展示 5 项，脚注显示总项数。</w:t>
      </w:r>
    </w:p>
    <w:p>
      <w:pPr>
        <w:spacing w:after="40"/>
        <w:ind w:left="340" w:hanging="255"/>
      </w:pPr>
      <w:r>
        <w:t>6. 页面不出现审批节点分析、节点结果分布与驳回原因排行。</w:t>
      </w:r>
    </w:p>
    <w:p>
      <w:pPr>
        <w:spacing w:after="40"/>
        <w:ind w:left="340" w:hanging="255"/>
      </w:pPr>
      <w:r>
        <w:t>7. 切换业务类型后，本节全部内容按新条件刷新。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2"/>
      </w:pPr>
      <w:r>
        <w:t>4.4 埋点事件</w:t>
      </w:r>
    </w:p>
    <w:p>
      <w:pPr>
        <w:pStyle w:val="Heading3"/>
      </w:pPr>
      <w:r>
        <w:t>1、初始状态</w:t>
      </w:r>
    </w:p>
    <w:p>
      <w:pPr>
        <w:spacing w:after="40"/>
        <w:ind w:left="340" w:hanging="255"/>
      </w:pPr>
      <w:r>
        <w:t>1. 页面上半部分为</w:t>
      </w:r>
      <w:r>
        <w:rPr>
          <w:rFonts w:ascii="Consolas" w:hAnsi="Consolas" w:eastAsia="Consolas"/>
          <w:sz w:val="20"/>
        </w:rPr>
        <w:t>事件汇总</w:t>
      </w:r>
      <w:r>
        <w:t>表格，列包括：</w:t>
      </w:r>
    </w:p>
    <w:p>
      <w:pPr>
        <w:pStyle w:val="ListBullet2"/>
        <w:spacing w:after="40"/>
      </w:pPr>
      <w:r>
        <w:t>事件名称、事件ID、产品授权、XaaS授权、解决方案型授权、合计、单位、说明。</w:t>
      </w:r>
    </w:p>
    <w:p>
      <w:pPr>
        <w:spacing w:after="40"/>
        <w:ind w:left="340" w:hanging="255"/>
      </w:pPr>
      <w:r>
        <w:t>2. 页面下半部分为</w:t>
      </w:r>
      <w:r>
        <w:rPr>
          <w:rFonts w:ascii="Consolas" w:hAnsi="Consolas" w:eastAsia="Consolas"/>
          <w:sz w:val="20"/>
        </w:rPr>
        <w:t>事件日志</w:t>
      </w:r>
      <w:r>
        <w:t>表格，列包括：</w:t>
      </w:r>
    </w:p>
    <w:p>
      <w:pPr>
        <w:pStyle w:val="ListBullet2"/>
        <w:spacing w:after="40"/>
      </w:pPr>
      <w:r>
        <w:t>时间、事件、场景、申请单号、用户、产品线、入口、失败节点、失败原因。</w:t>
      </w:r>
    </w:p>
    <w:p>
      <w:pPr>
        <w:spacing w:after="40"/>
        <w:ind w:left="340" w:hanging="255"/>
      </w:pPr>
      <w:r>
        <w:t>3. 事件日志按时间倒序排列，每页 20 条，底部分页展示总数与页码。</w:t>
      </w:r>
    </w:p>
    <w:p>
      <w:pPr>
        <w:spacing w:after="40"/>
        <w:ind w:left="340" w:hanging="255"/>
      </w:pPr>
      <w:r>
        <w:t>4. 事件汇总与事件日志均遵守顶部日期范围与业务类型筛选。</w:t>
      </w:r>
    </w:p>
    <w:p>
      <w:pPr>
        <w:spacing w:after="40"/>
        <w:ind w:left="340" w:hanging="255"/>
      </w:pPr>
      <w:r>
        <w:t>5. 页面说明：按事件次数统计；重复点击和重试分别记录。</w:t>
      </w:r>
    </w:p>
    <w:p>
      <w:pPr>
        <w:pStyle w:val="Heading3"/>
      </w:pPr>
      <w:r>
        <w:t>2、交互逻辑说明</w:t>
      </w:r>
    </w:p>
    <w:p>
      <w:pPr>
        <w:spacing w:after="40"/>
        <w:ind w:left="340" w:hanging="255"/>
      </w:pPr>
      <w:r>
        <w:t>1. 切换日期范围或业务类型后，事件日志重置到第 1 页，事件汇总同步刷新。</w:t>
      </w:r>
    </w:p>
    <w:p>
      <w:pPr>
        <w:spacing w:after="40"/>
        <w:ind w:left="340" w:hanging="255"/>
      </w:pPr>
      <w:r>
        <w:t>2. 点击分页控件切换页码，表格数据对应更新。</w:t>
      </w:r>
    </w:p>
    <w:p>
      <w:pPr>
        <w:spacing w:after="40"/>
        <w:ind w:left="340" w:hanging="255"/>
      </w:pPr>
      <w:r>
        <w:t>3. 事件汇总按业务类型拆分，不展示细产线；细产线仅在事件日志中展示。</w:t>
      </w:r>
    </w:p>
    <w:p>
      <w:pPr>
        <w:spacing w:after="40"/>
        <w:ind w:left="340" w:hanging="255"/>
      </w:pPr>
      <w:r>
        <w:t>4. 事件日志中的「场景」列对应业务类型（产品授权 / XaaS授权 / 解决方案型授权），「产品线」列为具体产线。</w:t>
      </w:r>
    </w:p>
    <w:p>
      <w:pPr>
        <w:spacing w:after="40"/>
        <w:ind w:left="340" w:hanging="255"/>
      </w:pPr>
      <w:r>
        <w:t>5. 无日志数据时展示空状态，不使用模拟日志或旧截图样本填充。</w:t>
      </w:r>
    </w:p>
    <w:p>
      <w:pPr>
        <w:pStyle w:val="Heading3"/>
      </w:pPr>
      <w:r>
        <w:t>3、字段校验规则</w:t>
      </w:r>
    </w:p>
    <w:p>
      <w:pPr>
        <w:spacing w:after="40"/>
        <w:ind w:left="340" w:hanging="255"/>
      </w:pPr>
      <w:r>
        <w:t>1. 本模块为只读展示，无用户输入字段，不涉及字段校验。</w:t>
      </w:r>
    </w:p>
    <w:p>
      <w:pPr>
        <w:spacing w:after="40"/>
        <w:ind w:left="340" w:hanging="255"/>
      </w:pPr>
      <w:r>
        <w:t>2. 事件次数按事件发生次数统计，不按用户数或申请单数统计。</w:t>
      </w:r>
    </w:p>
    <w:p>
      <w:pPr>
        <w:spacing w:after="40"/>
        <w:ind w:left="340" w:hanging="255"/>
      </w:pPr>
      <w:r>
        <w:t xml:space="preserve">3. 业务类型或产品线缺失时，对应单元格显示 </w:t>
      </w:r>
      <w:r>
        <w:rPr>
          <w:rFonts w:ascii="Consolas" w:hAnsi="Consolas" w:eastAsia="Consolas"/>
          <w:sz w:val="20"/>
        </w:rPr>
        <w:t>—</w:t>
      </w:r>
      <w:r>
        <w:t>，不推断归属。</w:t>
      </w:r>
    </w:p>
    <w:p>
      <w:pPr>
        <w:pStyle w:val="Heading3"/>
      </w:pPr>
      <w:r>
        <w:t>4、提交逻辑处理</w:t>
      </w:r>
    </w:p>
    <w:p>
      <w:pPr>
        <w:spacing w:after="40"/>
        <w:ind w:left="340" w:hanging="255"/>
      </w:pPr>
      <w:r>
        <w:t>1. 本模块不涉及数据提交。</w:t>
      </w:r>
    </w:p>
    <w:p>
      <w:pPr>
        <w:spacing w:after="40"/>
        <w:ind w:left="340" w:hanging="255"/>
      </w:pPr>
      <w:r>
        <w:t>2. 汇总与日志使用同一查询条件；汇总的事件总量应等于当前范围内日志条数（分页仅影响展示）。</w:t>
      </w:r>
    </w:p>
    <w:p>
      <w:pPr>
        <w:pStyle w:val="Heading3"/>
      </w:pPr>
      <w:r>
        <w:t>5、验收标准</w:t>
      </w:r>
    </w:p>
    <w:p>
      <w:pPr>
        <w:spacing w:after="40"/>
        <w:ind w:left="340" w:hanging="255"/>
      </w:pPr>
      <w:r>
        <w:t>1. 事件汇总表头为：事件名称、事件ID、产品授权、XaaS授权、解决方案型授权、合计、单位、说明。</w:t>
      </w:r>
    </w:p>
    <w:p>
      <w:pPr>
        <w:spacing w:after="40"/>
        <w:ind w:left="340" w:hanging="255"/>
      </w:pPr>
      <w:r>
        <w:t>2. 事件日志表头为：时间、事件、场景、申请单号、用户、产品线、入口、失败节点、失败原因。</w:t>
      </w:r>
    </w:p>
    <w:p>
      <w:pPr>
        <w:spacing w:after="40"/>
        <w:ind w:left="340" w:hanging="255"/>
      </w:pPr>
      <w:r>
        <w:t>3. 事件日志每页 20 条，分页总数正确，切换页码后内容变化。</w:t>
      </w:r>
    </w:p>
    <w:p>
      <w:pPr>
        <w:spacing w:after="40"/>
        <w:ind w:left="340" w:hanging="255"/>
      </w:pPr>
      <w:r>
        <w:t>4. 切换日期范围后，日志回到第 1 页，汇总与日志同步刷新。</w:t>
      </w:r>
    </w:p>
    <w:p>
      <w:pPr>
        <w:spacing w:after="40"/>
        <w:ind w:left="340" w:hanging="255"/>
      </w:pPr>
      <w:r>
        <w:t>5. 汇总表不出现 AF、AC、HCI 等细产线列；日志表保留「产品线」列。</w:t>
      </w:r>
    </w:p>
    <w:p>
      <w:pPr>
        <w:spacing w:after="40"/>
        <w:ind w:left="340" w:hanging="255"/>
      </w:pPr>
      <w:r>
        <w:t>6. 业务类型筛选为 XaaS授权 时，日志中的「场景」列均为 XaaS授权。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1"/>
      </w:pPr>
      <w:r>
        <w:t>5. 数据来源与口径</w:t>
      </w:r>
    </w:p>
    <w:p>
      <w:pPr>
        <w:pStyle w:val="Heading2"/>
      </w:pPr>
      <w:r>
        <w:t>5.1 数据来源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</w:tblPr>
      <w:tblGrid>
        <w:gridCol w:w="2030"/>
        <w:gridCol w:w="2399"/>
        <w:gridCol w:w="4982"/>
      </w:tblGrid>
      <w:tr>
        <w:trPr>
          <w:tblHeader/>
        </w:trPr>
        <w:tc>
          <w:tcPr>
            <w:tcW w:type="dxa" w:w="2030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数据</w:t>
            </w:r>
          </w:p>
        </w:tc>
        <w:tc>
          <w:tcPr>
            <w:tcW w:type="dxa" w:w="2399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来源</w:t>
            </w:r>
          </w:p>
        </w:tc>
        <w:tc>
          <w:tcPr>
            <w:tcW w:type="dxa" w:w="4982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030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申请量与审批/激活结果</w:t>
            </w:r>
          </w:p>
        </w:tc>
        <w:tc>
          <w:tcPr>
            <w:tcW w:type="dxa" w:w="2399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业务周统计表</w:t>
            </w:r>
          </w:p>
        </w:tc>
        <w:tc>
          <w:tcPr>
            <w:tcW w:type="dxa" w:w="4982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平台申请量、需审批、审批拒绝、激活成功/失败</w:t>
            </w:r>
          </w:p>
        </w:tc>
      </w:tr>
      <w:tr>
        <w:tc>
          <w:tcPr>
            <w:tcW w:type="dxa" w:w="2030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填单与提交事件</w:t>
            </w:r>
          </w:p>
        </w:tc>
        <w:tc>
          <w:tcPr>
            <w:tcW w:type="dxa" w:w="2399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平台入口埋点</w:t>
            </w:r>
          </w:p>
        </w:tc>
        <w:tc>
          <w:tcPr>
            <w:tcW w:type="dxa" w:w="4982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开始填单、点击提交、校验失败、提交成功/失败、填单时长</w:t>
            </w:r>
          </w:p>
        </w:tc>
      </w:tr>
      <w:tr>
        <w:tc>
          <w:tcPr>
            <w:tcW w:type="dxa" w:w="2030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审批过程</w:t>
            </w:r>
          </w:p>
        </w:tc>
        <w:tc>
          <w:tcPr>
            <w:tcW w:type="dxa" w:w="2399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审批链路日志</w:t>
            </w:r>
          </w:p>
        </w:tc>
        <w:tc>
          <w:tcPr>
            <w:tcW w:type="dxa" w:w="4982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进入审批、审批结果、审批中数量</w:t>
            </w:r>
          </w:p>
        </w:tc>
      </w:tr>
      <w:tr>
        <w:tc>
          <w:tcPr>
            <w:tcW w:type="dxa" w:w="2030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授权与激活</w:t>
            </w:r>
          </w:p>
        </w:tc>
        <w:tc>
          <w:tcPr>
            <w:tcW w:type="dxa" w:w="2399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授权执行日志、设备激活日志</w:t>
            </w:r>
          </w:p>
        </w:tc>
        <w:tc>
          <w:tcPr>
            <w:tcW w:type="dxa" w:w="4982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应自动授权、授权完成、激活成功/失败、阶段耗时</w:t>
            </w:r>
          </w:p>
        </w:tc>
      </w:tr>
    </w:tbl>
    <w:p>
      <w:pPr>
        <w:spacing w:after="40"/>
      </w:pPr>
    </w:p>
    <w:p>
      <w:pPr>
        <w:pStyle w:val="Heading2"/>
      </w:pPr>
      <w:r>
        <w:t>5.2 统计边界</w:t>
      </w:r>
    </w:p>
    <w:p>
      <w:pPr>
        <w:spacing w:after="40"/>
        <w:ind w:left="340" w:hanging="255"/>
      </w:pPr>
      <w:r>
        <w:t>1. 本看板只读取授权平台内数据，不读取企微导出，不计算平台覆盖率、渠道迁移或跨渠道去重。</w:t>
      </w:r>
    </w:p>
    <w:p>
      <w:pPr>
        <w:spacing w:after="40"/>
        <w:ind w:left="340" w:hanging="255"/>
      </w:pPr>
      <w:r>
        <w:t>2. 业务周表与入口埋点样本始终分列，不混用分母，不相互推算。</w:t>
      </w:r>
    </w:p>
    <w:p>
      <w:pPr>
        <w:spacing w:after="40"/>
        <w:ind w:left="340" w:hanging="255"/>
      </w:pPr>
      <w:r>
        <w:t>3. 事件次数不等于申请单数或用户数；重复点击、重试会重复计数。</w:t>
      </w:r>
    </w:p>
    <w:p>
      <w:pPr>
        <w:spacing w:after="40"/>
        <w:ind w:left="340" w:hanging="255"/>
      </w:pPr>
      <w:r>
        <w:t>4. 缺失维度不做推断：产线、入口、申请场景在某条事件中缺失时，该事件不参与对应维度的拆分。</w:t>
      </w:r>
    </w:p>
    <w:p>
      <w:pPr>
        <w:spacing w:after="40"/>
        <w:ind w:left="340" w:hanging="255"/>
      </w:pPr>
      <w:r>
        <w:t>5. 当前页面默认使用模拟数据，页头标识「模拟数据」；真实数据模型保留，接入后按同一口径展示。</w:t>
      </w:r>
    </w:p>
    <w:p>
      <w:pPr>
        <w:pStyle w:val="Heading2"/>
      </w:pPr>
      <w:r>
        <w:t>5.3 维度可用性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</w:tblPr>
      <w:tblGrid>
        <w:gridCol w:w="5054"/>
        <w:gridCol w:w="1569"/>
        <w:gridCol w:w="2788"/>
      </w:tblGrid>
      <w:tr>
        <w:trPr>
          <w:tblHeader/>
        </w:trPr>
        <w:tc>
          <w:tcPr>
            <w:tcW w:type="dxa" w:w="5054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维度</w:t>
            </w:r>
          </w:p>
        </w:tc>
        <w:tc>
          <w:tcPr>
            <w:tcW w:type="dxa" w:w="1569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是否可作为全局筛选</w:t>
            </w:r>
          </w:p>
        </w:tc>
        <w:tc>
          <w:tcPr>
            <w:tcW w:type="dxa" w:w="2788"/>
            <w:shd w:val="clear" w:color="auto" w:fill="D9E2F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原因</w:t>
            </w:r>
          </w:p>
        </w:tc>
      </w:tr>
      <w:tr>
        <w:tc>
          <w:tcPr>
            <w:tcW w:type="dxa" w:w="5054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业务类型（产品授权 / XaaS授权 / 解决方案型授权）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是</w:t>
            </w:r>
          </w:p>
        </w:tc>
        <w:tc>
          <w:tcPr>
            <w:tcW w:type="dxa" w:w="278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每条事件均带有业务类型</w:t>
            </w:r>
          </w:p>
        </w:tc>
      </w:tr>
      <w:tr>
        <w:tc>
          <w:tcPr>
            <w:tcW w:type="dxa" w:w="5054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产线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否（暂缓）</w:t>
            </w:r>
          </w:p>
        </w:tc>
        <w:tc>
          <w:tcPr>
            <w:tcW w:type="dxa" w:w="278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部分事件（如入口曝光）未记录产线</w:t>
            </w:r>
          </w:p>
        </w:tc>
      </w:tr>
      <w:tr>
        <w:tc>
          <w:tcPr>
            <w:tcW w:type="dxa" w:w="5054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申请场景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否（暂缓）</w:t>
            </w:r>
          </w:p>
        </w:tc>
        <w:tc>
          <w:tcPr>
            <w:tcW w:type="dxa" w:w="278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提交前事件无法关联申请场景</w:t>
            </w:r>
          </w:p>
        </w:tc>
      </w:tr>
      <w:tr>
        <w:tc>
          <w:tcPr>
            <w:tcW w:type="dxa" w:w="5054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入口来源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否（暂缓）</w:t>
            </w:r>
          </w:p>
        </w:tc>
        <w:tc>
          <w:tcPr>
            <w:tcW w:type="dxa" w:w="2788"/>
          </w:tcPr>
          <w:p>
            <w:pPr>
              <w:spacing w:after="20" w:line="276" w:lineRule="auto"/>
            </w:pPr>
            <w:r/>
            <w:r>
              <w:rPr>
                <w:sz w:val="19"/>
              </w:rPr>
              <w:t>部分事件（如开始填单）未记录入口</w:t>
            </w:r>
          </w:p>
        </w:tc>
      </w:tr>
    </w:tbl>
    <w:p>
      <w:pPr>
        <w:spacing w:after="40"/>
      </w:pPr>
    </w:p>
    <w:p>
      <w:pPr>
        <w:spacing w:after="20"/>
        <w:ind w:left="227"/>
        <w:shd w:val="clear" w:color="auto" w:fill="F2F5FA"/>
      </w:pPr>
      <w:r>
        <w:rPr>
          <w:color w:val="44546A"/>
          <w:sz w:val="20"/>
        </w:rPr>
        <w:t>待埋点补齐后，再评估是否开放产线、申请场景、入口来源的全局筛选。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1"/>
      </w:pPr>
      <w:r>
        <w:t>6. 非功能要求</w:t>
      </w:r>
    </w:p>
    <w:p>
      <w:pPr>
        <w:spacing w:after="40"/>
        <w:ind w:left="340" w:hanging="255"/>
      </w:pPr>
      <w:r>
        <w:t xml:space="preserve">1. </w:t>
      </w:r>
      <w:r>
        <w:rPr>
          <w:b/>
        </w:rPr>
        <w:t>兼容性</w:t>
      </w:r>
      <w:r>
        <w:t>：支持桌面端与移动端；窄屏下筛选区、卡片与图表自动换行或堆叠。</w:t>
      </w:r>
    </w:p>
    <w:p>
      <w:pPr>
        <w:spacing w:after="40"/>
        <w:ind w:left="340" w:hanging="255"/>
      </w:pPr>
      <w:r>
        <w:t xml:space="preserve">2. </w:t>
      </w:r>
      <w:r>
        <w:rPr>
          <w:b/>
        </w:rPr>
        <w:t>可访问性</w:t>
      </w:r>
      <w:r>
        <w:t>：指标卡、按钮支持键盘聚焦；Tab 支持方向键切换；图表提供文本标题与数据表。</w:t>
      </w:r>
    </w:p>
    <w:p>
      <w:pPr>
        <w:spacing w:after="40"/>
        <w:ind w:left="340" w:hanging="255"/>
      </w:pPr>
      <w:r>
        <w:t xml:space="preserve">3. </w:t>
      </w:r>
      <w:r>
        <w:rPr>
          <w:b/>
        </w:rPr>
        <w:t>性能</w:t>
      </w:r>
      <w:r>
        <w:t>：筛选与栏目切换在本地完成，页面交互无明显卡顿；事件日志分页加载。</w:t>
      </w:r>
    </w:p>
    <w:p>
      <w:pPr>
        <w:spacing w:after="40"/>
        <w:ind w:left="340" w:hanging="255"/>
      </w:pPr>
      <w:r>
        <w:t xml:space="preserve">4. </w:t>
      </w:r>
      <w:r>
        <w:rPr>
          <w:b/>
        </w:rPr>
        <w:t>打印</w:t>
      </w:r>
      <w:r>
        <w:t>：打印时隐藏筛选区、页头操作与栏目导航，保留指标卡、图表与表格。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1"/>
      </w:pPr>
      <w:r>
        <w:t>7. 待确认事项</w:t>
      </w:r>
    </w:p>
    <w:p>
      <w:pPr>
        <w:spacing w:after="40"/>
        <w:ind w:left="340" w:hanging="255"/>
      </w:pPr>
      <w:r>
        <w:t xml:space="preserve">1. </w:t>
      </w:r>
      <w:r>
        <w:rPr>
          <w:b/>
        </w:rPr>
        <w:t>产线、申请场景、入口来源筛选</w:t>
      </w:r>
      <w:r>
        <w:t>：需确认埋点补齐方案与上线时间，补齐后恢复全局筛选。</w:t>
      </w:r>
    </w:p>
    <w:p>
      <w:pPr>
        <w:spacing w:after="40"/>
        <w:ind w:left="340" w:hanging="255"/>
      </w:pPr>
      <w:r>
        <w:t xml:space="preserve">2. </w:t>
      </w:r>
      <w:r>
        <w:rPr>
          <w:b/>
        </w:rPr>
        <w:t>管理目标与阈值</w:t>
      </w:r>
      <w:r>
        <w:t>：各指标的管理目标、预警阈值、负责人、观察频率与触发动作待补充。</w:t>
      </w:r>
    </w:p>
    <w:p>
      <w:pPr>
        <w:spacing w:after="40"/>
        <w:ind w:left="340" w:hanging="255"/>
      </w:pPr>
      <w:r>
        <w:t xml:space="preserve">3. </w:t>
      </w:r>
      <w:r>
        <w:rPr>
          <w:b/>
        </w:rPr>
        <w:t>真实数据接入</w:t>
      </w:r>
      <w:r>
        <w:t>：需确认各数据源的接口、字段与更新频率；当前为本地演示数据。</w:t>
      </w:r>
    </w:p>
    <w:p>
      <w:pPr>
        <w:spacing w:after="40"/>
        <w:ind w:left="340" w:hanging="255"/>
      </w:pPr>
      <w:r>
        <w:t xml:space="preserve">4. </w:t>
      </w:r>
      <w:r>
        <w:rPr>
          <w:b/>
        </w:rPr>
        <w:t>平台覆盖率</w:t>
      </w:r>
      <w:r>
        <w:t>：确认继续由人工汇报页承接，不在本看板展示。</w:t>
      </w:r>
    </w:p>
    <w:p>
      <w:pPr>
        <w:pBdr>
          <w:bottom w:val="single" w:sz="6" w:space="1" w:color="B4C6E7"/>
        </w:pBdr>
        <w:spacing w:after="40"/>
      </w:pPr>
    </w:p>
    <w:p>
      <w:pPr>
        <w:pStyle w:val="Heading1"/>
      </w:pPr>
      <w:r>
        <w:t>8. 整体验收清单</w:t>
      </w:r>
    </w:p>
    <w:p>
      <w:pPr>
        <w:spacing w:after="40"/>
        <w:ind w:left="340" w:hanging="255"/>
      </w:pPr>
      <w:r>
        <w:t>1. 页面包含运营总览、申请与授权链路、埋点事件三个栏目，可正常切换。</w:t>
      </w:r>
    </w:p>
    <w:p>
      <w:pPr>
        <w:spacing w:after="40"/>
        <w:ind w:left="340" w:hanging="255"/>
      </w:pPr>
      <w:r>
        <w:t>2. 全局筛选包含时间范围与业务类型；产线、申请场景、入口来源不出现在筛选控件中，并有说明文案。</w:t>
      </w:r>
    </w:p>
    <w:p>
      <w:pPr>
        <w:spacing w:after="40"/>
        <w:ind w:left="340" w:hanging="255"/>
      </w:pPr>
      <w:r>
        <w:t>3. 运营总览的卡片、趋势与结构分布均可展示，切换筛选后同步刷新。</w:t>
      </w:r>
    </w:p>
    <w:p>
      <w:pPr>
        <w:spacing w:after="40"/>
        <w:ind w:left="340" w:hanging="255"/>
      </w:pPr>
      <w:r>
        <w:t>4. 申请与授权链路分为两节，包含归因卡片、提交受阻原因、审批结果、全链路耗时与失败原因。</w:t>
      </w:r>
    </w:p>
    <w:p>
      <w:pPr>
        <w:spacing w:after="40"/>
        <w:ind w:left="340" w:hanging="255"/>
      </w:pPr>
      <w:r>
        <w:t>5. 申请与授权链路不重复展示总览已有的比率指标，不展示审批节点与驳回原因聚合。</w:t>
      </w:r>
    </w:p>
    <w:p>
      <w:pPr>
        <w:spacing w:after="40"/>
        <w:ind w:left="340" w:hanging="255"/>
      </w:pPr>
      <w:r>
        <w:t>6. 埋点事件的事件汇总按三类业务类型拆分，事件日志保留细产线并按 20 条/页分页。</w:t>
      </w:r>
    </w:p>
    <w:p>
      <w:pPr>
        <w:spacing w:after="40"/>
        <w:ind w:left="340" w:hanging="255"/>
      </w:pPr>
      <w:r>
        <w:t xml:space="preserve">7. 无数据时统一显示 </w:t>
      </w:r>
      <w:r>
        <w:rPr>
          <w:rFonts w:ascii="Consolas" w:hAnsi="Consolas" w:eastAsia="Consolas"/>
          <w:sz w:val="20"/>
        </w:rPr>
        <w:t>—</w:t>
      </w:r>
      <w:r>
        <w:t>，不估算、不补零、不使用旧快照填补。</w:t>
      </w:r>
    </w:p>
    <w:p>
      <w:pPr>
        <w:spacing w:after="40"/>
        <w:ind w:left="340" w:hanging="255"/>
      </w:pPr>
      <w:r>
        <w:t>8. 桌面端与移动端布局无重叠、溢出或不可操作控件。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