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396A" w14:textId="77777777" w:rsidR="00F05131" w:rsidRPr="00857BA5" w:rsidRDefault="00F05131">
      <w:pPr>
        <w:spacing w:before="1000"/>
        <w:rPr>
          <w:rFonts w:ascii="Calibri" w:hAnsi="Calibri" w:cs="Calibri"/>
          <w:sz w:val="24"/>
          <w:szCs w:val="24"/>
        </w:rPr>
      </w:pPr>
    </w:p>
    <w:p w14:paraId="3FBD4743" w14:textId="77777777" w:rsidR="00F05131" w:rsidRPr="00857BA5" w:rsidRDefault="00000000">
      <w:pPr>
        <w:pStyle w:val="Heading1"/>
        <w:shd w:val="clear" w:color="auto" w:fill="1F4E79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 xml:space="preserve">  SECTION A: Executive Decision Artefacts &amp; Processes  </w:t>
      </w:r>
    </w:p>
    <w:p w14:paraId="5B63A97C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Q1. </w:t>
      </w:r>
      <w:r w:rsidRPr="00857BA5">
        <w:rPr>
          <w:rFonts w:ascii="Calibri" w:hAnsi="Calibri" w:cs="Calibri"/>
          <w:b/>
          <w:bCs/>
          <w:sz w:val="24"/>
          <w:szCs w:val="24"/>
        </w:rPr>
        <w:t>What artefacts for Executive Decision today? Can you share samples</w:t>
      </w:r>
    </w:p>
    <w:p w14:paraId="1969D337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a) </w:t>
      </w:r>
      <w:r w:rsidRPr="00857BA5">
        <w:rPr>
          <w:rFonts w:ascii="Calibri" w:hAnsi="Calibri" w:cs="Calibri"/>
          <w:i/>
          <w:iCs/>
          <w:sz w:val="24"/>
          <w:szCs w:val="24"/>
        </w:rPr>
        <w:t>Classification/Coding for each decisions</w:t>
      </w:r>
    </w:p>
    <w:p w14:paraId="0BD89E4E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103DC817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We use the CEO Excellence framework with 6 focus areas for Chairman decisions:</w:t>
      </w:r>
    </w:p>
    <w:p w14:paraId="2D31E536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Priority Setting &amp; Foresight:</w:t>
      </w:r>
      <w:r w:rsidRPr="00857BA5">
        <w:rPr>
          <w:rFonts w:ascii="Calibri" w:hAnsi="Calibri" w:cs="Calibri"/>
          <w:sz w:val="24"/>
          <w:szCs w:val="24"/>
        </w:rPr>
        <w:t xml:space="preserve"> Long-term vision, strategy development, breaking strategy into operational priorities</w:t>
      </w:r>
    </w:p>
    <w:p w14:paraId="6E330DB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Operational Alignment &amp; Performance:</w:t>
      </w:r>
      <w:r w:rsidRPr="00857BA5">
        <w:rPr>
          <w:rFonts w:ascii="Calibri" w:hAnsi="Calibri" w:cs="Calibri"/>
          <w:sz w:val="24"/>
          <w:szCs w:val="24"/>
        </w:rPr>
        <w:t xml:space="preserve"> Approvals, reviews, resolving blockers (50-60% of chairman's time)</w:t>
      </w:r>
    </w:p>
    <w:p w14:paraId="37A17800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Team &amp; Talent Management:</w:t>
      </w:r>
      <w:r w:rsidRPr="00857BA5">
        <w:rPr>
          <w:rFonts w:ascii="Calibri" w:hAnsi="Calibri" w:cs="Calibri"/>
          <w:sz w:val="24"/>
          <w:szCs w:val="24"/>
        </w:rPr>
        <w:t xml:space="preserve"> Org design, hiring, performance management, 1:1 coaching</w:t>
      </w:r>
    </w:p>
    <w:p w14:paraId="4885681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Engagement with Board/Top Leadership:</w:t>
      </w:r>
      <w:r w:rsidRPr="00857BA5">
        <w:rPr>
          <w:rFonts w:ascii="Calibri" w:hAnsi="Calibri" w:cs="Calibri"/>
          <w:sz w:val="24"/>
          <w:szCs w:val="24"/>
        </w:rPr>
        <w:t xml:space="preserve"> HH engagement, ADEO, subcommittees (15-20% of time)</w:t>
      </w:r>
    </w:p>
    <w:p w14:paraId="40F76797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Internal &amp; External Communication:</w:t>
      </w:r>
      <w:r w:rsidRPr="00857BA5">
        <w:rPr>
          <w:rFonts w:ascii="Calibri" w:hAnsi="Calibri" w:cs="Calibri"/>
          <w:sz w:val="24"/>
          <w:szCs w:val="24"/>
        </w:rPr>
        <w:t xml:space="preserve"> Town halls, public communication (minimal time)</w:t>
      </w:r>
    </w:p>
    <w:p w14:paraId="6E4DE3E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Personal Effectiveness:</w:t>
      </w:r>
      <w:r w:rsidRPr="00857BA5">
        <w:rPr>
          <w:rFonts w:ascii="Calibri" w:hAnsi="Calibri" w:cs="Calibri"/>
          <w:sz w:val="24"/>
          <w:szCs w:val="24"/>
        </w:rPr>
        <w:t xml:space="preserve"> Time allocation, calendar management, focus time (10-15%)</w:t>
      </w:r>
    </w:p>
    <w:p w14:paraId="3D2CB271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ADEO committees, proposals are classified into 4 archetypes: Law &amp; Regulatory, Capital &amp; Infrastructure, Platforms &amp; Data, and Programs &amp; Operations.</w:t>
      </w:r>
    </w:p>
    <w:p w14:paraId="76C66241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No single "master code list" with numeric IDs per decision yet; this is a deliverable from the CM logic tree work.</w:t>
      </w:r>
    </w:p>
    <w:p w14:paraId="33B44336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b) </w:t>
      </w:r>
      <w:r w:rsidRPr="00857BA5">
        <w:rPr>
          <w:rFonts w:ascii="Calibri" w:hAnsi="Calibri" w:cs="Calibri"/>
          <w:i/>
          <w:iCs/>
          <w:sz w:val="24"/>
          <w:szCs w:val="24"/>
        </w:rPr>
        <w:t>Decision Trigger (Scheduled/On-Demand)</w:t>
      </w:r>
    </w:p>
    <w:p w14:paraId="2583422A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05131" w:rsidRPr="00857BA5" w14:paraId="41BDBCDA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78E0D0A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F9712EB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F05131" w:rsidRPr="00857BA5" w14:paraId="7E7E1EB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2DE39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Scheduled / Recurring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4012E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Biweekly DG catch-ups (30 min), vertical team sessions, ADEO committee cycles, annual KPIs/OKRs</w:t>
            </w:r>
          </w:p>
        </w:tc>
      </w:tr>
      <w:tr w:rsidR="00F05131" w:rsidRPr="00857BA5" w14:paraId="2FE615D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C7C76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On-Demand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FA6FE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DOA approvals (now batched twice daily), policy exceptions, risk actions, ad-hoc ADEO decisions</w:t>
            </w:r>
          </w:p>
        </w:tc>
      </w:tr>
    </w:tbl>
    <w:p w14:paraId="28E1DD50" w14:textId="77777777" w:rsidR="00F05131" w:rsidRPr="00857BA5" w:rsidRDefault="00F05131">
      <w:pPr>
        <w:spacing w:after="150"/>
        <w:rPr>
          <w:rFonts w:ascii="Calibri" w:hAnsi="Calibri" w:cs="Calibri"/>
          <w:sz w:val="24"/>
          <w:szCs w:val="24"/>
        </w:rPr>
      </w:pPr>
    </w:p>
    <w:p w14:paraId="7BF3FC9B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c) </w:t>
      </w:r>
      <w:r w:rsidRPr="00857BA5">
        <w:rPr>
          <w:rFonts w:ascii="Calibri" w:hAnsi="Calibri" w:cs="Calibri"/>
          <w:i/>
          <w:iCs/>
          <w:sz w:val="24"/>
          <w:szCs w:val="24"/>
        </w:rPr>
        <w:t>Inputs for Decision (Forms, slides, readout etc)</w:t>
      </w:r>
    </w:p>
    <w:p w14:paraId="5A2ECF80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50DB51D1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Chairman / CM Office Inputs:</w:t>
      </w:r>
    </w:p>
    <w:p w14:paraId="08DEA37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Progress update documents and KPI dashboards</w:t>
      </w:r>
    </w:p>
    <w:p w14:paraId="60327661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CM emails with blockers / "attention needed" points</w:t>
      </w:r>
    </w:p>
    <w:p w14:paraId="0AF45922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Meeting transcripts and notes (1:1s, reviews, steering meetings)</w:t>
      </w:r>
    </w:p>
    <w:p w14:paraId="5B0C246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ADEO submissions and operating documents</w:t>
      </w:r>
    </w:p>
    <w:p w14:paraId="7BDE307A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Authority &amp; approval ledger, DOAs, DGE strategies, policy frameworks</w:t>
      </w:r>
    </w:p>
    <w:p w14:paraId="15F6B215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ADEO Committee Inputs:</w:t>
      </w:r>
    </w:p>
    <w:p w14:paraId="341A898D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ECAS submissions (proposal forms + attachments)</w:t>
      </w:r>
    </w:p>
    <w:p w14:paraId="791BA95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Archetype assignment + completeness checklist</w:t>
      </w:r>
    </w:p>
    <w:p w14:paraId="353CFEA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>Evaluation questionnaires + scoring sheets</w:t>
      </w:r>
    </w:p>
    <w:p w14:paraId="0002D4A5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Currently everything is document- and slide-based, with email / calendar / ECAS as the main systems.</w:t>
      </w:r>
    </w:p>
    <w:p w14:paraId="07A46E59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d) </w:t>
      </w:r>
      <w:r w:rsidRPr="00857BA5">
        <w:rPr>
          <w:rFonts w:ascii="Calibri" w:hAnsi="Calibri" w:cs="Calibri"/>
          <w:i/>
          <w:iCs/>
          <w:sz w:val="24"/>
          <w:szCs w:val="24"/>
        </w:rPr>
        <w:t>Policy/Criteria for each decision domains</w:t>
      </w:r>
    </w:p>
    <w:p w14:paraId="4A2A0CD9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A3BB134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ADEO Proposal Evaluation – Full evaluation framework with 4 areas: Value &amp; Alignment, Feasibility &amp; Readiness, Financials &amp; Commercials, Governance &amp; Delivery. Each broken into components → subcomponents → question sets with scoring logic.</w:t>
      </w:r>
    </w:p>
    <w:p w14:paraId="6F09E67D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Chairman Decisions – Decision Trees being developed for 3 POC areas:</w:t>
      </w:r>
    </w:p>
    <w:p w14:paraId="69DC3801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POC A:</w:t>
      </w:r>
      <w:r w:rsidRPr="00857BA5">
        <w:rPr>
          <w:rFonts w:ascii="Calibri" w:hAnsi="Calibri" w:cs="Calibri"/>
          <w:sz w:val="24"/>
          <w:szCs w:val="24"/>
        </w:rPr>
        <w:t xml:space="preserve"> Business Progress Review – evaluate/challenge progress updates, resolve bottlenecks</w:t>
      </w:r>
    </w:p>
    <w:p w14:paraId="405D5C1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POC B:</w:t>
      </w:r>
      <w:r w:rsidRPr="00857BA5">
        <w:rPr>
          <w:rFonts w:ascii="Calibri" w:hAnsi="Calibri" w:cs="Calibri"/>
          <w:sz w:val="24"/>
          <w:szCs w:val="24"/>
        </w:rPr>
        <w:t xml:space="preserve"> Operational Approvals within DOA – pre-screen, highlight risks &amp; trade-offs</w:t>
      </w:r>
    </w:p>
    <w:p w14:paraId="58A30DD6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POC C:</w:t>
      </w:r>
      <w:r w:rsidRPr="00857BA5">
        <w:rPr>
          <w:rFonts w:ascii="Calibri" w:hAnsi="Calibri" w:cs="Calibri"/>
          <w:sz w:val="24"/>
          <w:szCs w:val="24"/>
        </w:rPr>
        <w:t xml:space="preserve"> Setting Mid &amp; Long-Term Priorities – approve strategy, vision, themes</w:t>
      </w:r>
    </w:p>
    <w:p w14:paraId="0256B405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Fully codified policy file per decision domain is a deliverable from the CM logic tree + data cube work.</w:t>
      </w:r>
    </w:p>
    <w:p w14:paraId="5344DF29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e) </w:t>
      </w:r>
      <w:r w:rsidRPr="00857BA5">
        <w:rPr>
          <w:rFonts w:ascii="Calibri" w:hAnsi="Calibri" w:cs="Calibri"/>
          <w:i/>
          <w:iCs/>
          <w:sz w:val="24"/>
          <w:szCs w:val="24"/>
        </w:rPr>
        <w:t>Approval Process</w:t>
      </w:r>
    </w:p>
    <w:p w14:paraId="1431FC58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5CAA7B48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ADEO Approvals follow a clear 6-step flow: (1) Upload to ECAS, (2) Archetype definition, (3) Completeness check, (4) Framework evaluation, (5) Scoring &amp; prioritization, (6) Committee decision.</w:t>
      </w:r>
    </w:p>
    <w:p w14:paraId="134865A8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Chairman Approvals: Now batched twice daily (morning/evening) vs. previously ad-hoc throughout day. DOA-based workflows for HR/payroll, policy exceptions, operational requests. Strategic decisions via recurring governance forums and direct reviews.</w:t>
      </w:r>
    </w:p>
    <w:p w14:paraId="5B70921B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f) </w:t>
      </w:r>
      <w:r w:rsidRPr="00857BA5">
        <w:rPr>
          <w:rFonts w:ascii="Calibri" w:hAnsi="Calibri" w:cs="Calibri"/>
          <w:i/>
          <w:iCs/>
          <w:sz w:val="24"/>
          <w:szCs w:val="24"/>
        </w:rPr>
        <w:t>Decision Documentation (MoM, Memo etc)</w:t>
      </w:r>
    </w:p>
    <w:p w14:paraId="08A1F8DE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8D51512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Action Tracking Evolution:</w:t>
      </w:r>
    </w:p>
    <w:p w14:paraId="319624C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Asana (stopped June 2025)</w:t>
      </w:r>
    </w:p>
    <w:p w14:paraId="680D22C8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Email templates (stopped September 2025 – staff sick leave)</w:t>
      </w:r>
    </w:p>
    <w:p w14:paraId="5AFC399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2do tool (current) – consolidates actions, plan to print before meetings</w:t>
      </w:r>
    </w:p>
    <w:p w14:paraId="193ADF2E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Only action items tracked, not full minutes. Chairman has strong memory and notices incomplete commitments immediately.</w:t>
      </w:r>
    </w:p>
    <w:p w14:paraId="0290A275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These are distributed across ECAS, email, shared drives. A unified "decision log" is a stated objective of Agent-0.</w:t>
      </w:r>
    </w:p>
    <w:p w14:paraId="01B52592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Q2. </w:t>
      </w:r>
      <w:r w:rsidRPr="00857BA5">
        <w:rPr>
          <w:rFonts w:ascii="Calibri" w:hAnsi="Calibri" w:cs="Calibri"/>
          <w:b/>
          <w:bCs/>
          <w:sz w:val="24"/>
          <w:szCs w:val="24"/>
        </w:rPr>
        <w:t>Can you share list of key use-cases and have these been prioritised?</w:t>
      </w:r>
    </w:p>
    <w:p w14:paraId="1D6EF4F6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4B83E34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Yes. Current PoC focus areas under validation:</w:t>
      </w:r>
    </w:p>
    <w:p w14:paraId="6B3735F7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POC A:</w:t>
      </w:r>
      <w:r w:rsidRPr="00857BA5">
        <w:rPr>
          <w:rFonts w:ascii="Calibri" w:hAnsi="Calibri" w:cs="Calibri"/>
          <w:sz w:val="24"/>
          <w:szCs w:val="24"/>
        </w:rPr>
        <w:t xml:space="preserve"> Business Progress Review – evaluate/challenge progress deliverables, resolve bottlenecks/conflicts</w:t>
      </w:r>
    </w:p>
    <w:p w14:paraId="401E463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POC B:</w:t>
      </w:r>
      <w:r w:rsidRPr="00857BA5">
        <w:rPr>
          <w:rFonts w:ascii="Calibri" w:hAnsi="Calibri" w:cs="Calibri"/>
          <w:sz w:val="24"/>
          <w:szCs w:val="24"/>
        </w:rPr>
        <w:t xml:space="preserve"> Operational Approvals within DOA – pre-screen, highlight risks &amp; trade-offs</w:t>
      </w:r>
    </w:p>
    <w:p w14:paraId="6478344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POC C:</w:t>
      </w:r>
      <w:r w:rsidRPr="00857BA5">
        <w:rPr>
          <w:rFonts w:ascii="Calibri" w:hAnsi="Calibri" w:cs="Calibri"/>
          <w:sz w:val="24"/>
          <w:szCs w:val="24"/>
        </w:rPr>
        <w:t xml:space="preserve"> Setting Mid &amp; Long-Term Priorities – high priority chairman activity</w:t>
      </w:r>
    </w:p>
    <w:p w14:paraId="727B27AA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Additional ambitious POCs recommended from our strategic analysis:</w:t>
      </w:r>
    </w:p>
    <w:p w14:paraId="79AD9FB6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>ADEO Proposal Evaluation Observer – multi-agent scoring assistant</w:t>
      </w:r>
    </w:p>
    <w:p w14:paraId="14D50C2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Meeting Intelligence + Commitment Tracker – addresses action tracking gaps</w:t>
      </w:r>
    </w:p>
    <w:p w14:paraId="4C409B9F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HH/ADEO Strategic Prep Engine – for board engagement prep (20% of time)</w:t>
      </w:r>
    </w:p>
    <w:p w14:paraId="659EFFF8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Cross-Entity Portfolio Radar – monitors DGE vs other Abu Dhabi entities</w:t>
      </w:r>
    </w:p>
    <w:p w14:paraId="1FCECBCD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Performance &amp; Feedback Intelligence – for constant year-round feedback</w:t>
      </w:r>
    </w:p>
    <w:p w14:paraId="5B6D30DE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Status: Agent-0 is at L1 – Concept Definition; ADEO Observer &amp; MRG already have POCs running.</w:t>
      </w:r>
    </w:p>
    <w:p w14:paraId="06F893BC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Q3. </w:t>
      </w:r>
      <w:r w:rsidRPr="00857BA5">
        <w:rPr>
          <w:rFonts w:ascii="Calibri" w:hAnsi="Calibri" w:cs="Calibri"/>
          <w:b/>
          <w:bCs/>
          <w:sz w:val="24"/>
          <w:szCs w:val="24"/>
        </w:rPr>
        <w:t>Is there mapping of decisions to stakeholders impacted list?</w:t>
      </w:r>
    </w:p>
    <w:p w14:paraId="09485A08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37B2AA5E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Partial mapping exists:</w:t>
      </w:r>
    </w:p>
    <w:p w14:paraId="5C3E9A3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ADEO deck lists all committees and their mandates/decision scope</w:t>
      </w:r>
    </w:p>
    <w:p w14:paraId="68AFD19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Chairman blueprint maps decisions to counterparties – HH, ADEO, ADGEs, external executives, internal teams</w:t>
      </w:r>
    </w:p>
    <w:p w14:paraId="3C07F62E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No explicit per-decision stakeholder impact register yet; this will be defined in the decision-logic + data cube work.</w:t>
      </w:r>
    </w:p>
    <w:p w14:paraId="187C0D44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Q4. </w:t>
      </w:r>
      <w:r w:rsidRPr="00857BA5">
        <w:rPr>
          <w:rFonts w:ascii="Calibri" w:hAnsi="Calibri" w:cs="Calibri"/>
          <w:b/>
          <w:bCs/>
          <w:sz w:val="24"/>
          <w:szCs w:val="24"/>
        </w:rPr>
        <w:t>In terms of data readiness, has the data sources been reviewed for readiness?</w:t>
      </w:r>
    </w:p>
    <w:p w14:paraId="6A15B946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5E71AEE2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Conceptually yes, but not fully executed yet:</w:t>
      </w:r>
    </w:p>
    <w:p w14:paraId="4A4F08FD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Data readiness is one of three prioritisation axes (Impact, Tech maturity, Data readiness)</w:t>
      </w:r>
    </w:p>
    <w:p w14:paraId="5518B98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Business-scoping deliverables include "CM AI twin data cube" and data source mapping</w:t>
      </w:r>
    </w:p>
    <w:p w14:paraId="30929EA1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MRG, ~700+ governing documents already analyzed with gaps identified</w:t>
      </w:r>
    </w:p>
    <w:p w14:paraId="03DC4283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For Agent-0 specifically (emails, HR/ERP/CRM, decision docs), data readiness analysis is in progress.</w:t>
      </w:r>
    </w:p>
    <w:p w14:paraId="33F03BA9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Q5. </w:t>
      </w:r>
      <w:r w:rsidRPr="00857BA5">
        <w:rPr>
          <w:rFonts w:ascii="Calibri" w:hAnsi="Calibri" w:cs="Calibri"/>
          <w:b/>
          <w:bCs/>
          <w:sz w:val="24"/>
          <w:szCs w:val="24"/>
        </w:rPr>
        <w:t>Is there a decision register or historical repository for past decisions?</w:t>
      </w:r>
    </w:p>
    <w:p w14:paraId="222D9258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9540C8A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Multiple repositories exist, but not unified:</w:t>
      </w:r>
    </w:p>
    <w:p w14:paraId="3871EA6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ADEO: proposals archive + scoring outcomes</w:t>
      </w:r>
    </w:p>
    <w:p w14:paraId="053ACE0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Chairman &amp; DGE: Authority/approval ledger, DOFs/DOAs, funding decisions, risk reviews</w:t>
      </w:r>
    </w:p>
    <w:p w14:paraId="3BFDF2FA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Action tracking: historical data in Asana, email templates, now 2do tool</w:t>
      </w:r>
    </w:p>
    <w:p w14:paraId="185F28E7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MRG domain: inspection reports and enforcement records</w:t>
      </w:r>
    </w:p>
    <w:p w14:paraId="15B0F5B8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Agent-0's vision includes "Consolidating memory &amp; knowledge" – creating the unified decision register is a project objective.</w:t>
      </w:r>
    </w:p>
    <w:p w14:paraId="40CF587A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Q6. </w:t>
      </w:r>
      <w:r w:rsidRPr="00857BA5">
        <w:rPr>
          <w:rFonts w:ascii="Calibri" w:hAnsi="Calibri" w:cs="Calibri"/>
          <w:b/>
          <w:bCs/>
          <w:sz w:val="24"/>
          <w:szCs w:val="24"/>
        </w:rPr>
        <w:t>What are the requirements and guidelines for security, compliance and ethics? Please share samples.</w:t>
      </w:r>
    </w:p>
    <w:p w14:paraId="6D8228D8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3565CF38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AI-Native Blueprint includes:</w:t>
      </w:r>
    </w:p>
    <w:p w14:paraId="1DCB6EA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AI governance framework (draft exists, in review)</w:t>
      </w:r>
    </w:p>
    <w:p w14:paraId="20602E2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AI Policy (pending ADEO approval)</w:t>
      </w:r>
    </w:p>
    <w:p w14:paraId="24D70D7F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AI Maturity Index (implemented with Gartner baseline)</w:t>
      </w:r>
    </w:p>
    <w:p w14:paraId="692D829F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AI Command Center to oversee transformation risk and performance</w:t>
      </w:r>
    </w:p>
    <w:p w14:paraId="11F90487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Agent-0 Core Principles:</w:t>
      </w:r>
    </w:p>
    <w:p w14:paraId="192F5EB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lastRenderedPageBreak/>
        <w:t>Elevate judgment, not imitate or inherit biases – enhance, not replace:</w:t>
      </w:r>
    </w:p>
    <w:p w14:paraId="4950C09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Ground every decision in evidence &amp; facts, not assumptions:</w:t>
      </w:r>
    </w:p>
    <w:p w14:paraId="39F8FFE0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Act within clear guardrails, with human-in-the-loop approval:</w:t>
      </w:r>
    </w:p>
    <w:p w14:paraId="207D15DC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Framework recognizes government leadership (public service, law-bound) differs from corporate leadership.</w:t>
      </w:r>
    </w:p>
    <w:p w14:paraId="79BC5875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Detailed AI Policy text and security standards referenced but not included in decks. Samples available from AI Policy document post-ADEO approval.</w:t>
      </w:r>
    </w:p>
    <w:p w14:paraId="499A81E8" w14:textId="77777777" w:rsidR="00F05131" w:rsidRPr="00857BA5" w:rsidRDefault="00000000">
      <w:p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br w:type="page"/>
      </w:r>
    </w:p>
    <w:p w14:paraId="47766F6E" w14:textId="77777777" w:rsidR="00F05131" w:rsidRPr="00857BA5" w:rsidRDefault="00000000">
      <w:pPr>
        <w:pStyle w:val="Heading1"/>
        <w:shd w:val="clear" w:color="auto" w:fill="1F4E79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 xml:space="preserve">  SECTION B: Decision Complexity &amp; Integration Scope  </w:t>
      </w:r>
    </w:p>
    <w:p w14:paraId="259DBA1C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Q7. </w:t>
      </w:r>
      <w:r w:rsidRPr="00857BA5">
        <w:rPr>
          <w:rFonts w:ascii="Calibri" w:hAnsi="Calibri" w:cs="Calibri"/>
          <w:b/>
          <w:bCs/>
          <w:sz w:val="24"/>
          <w:szCs w:val="24"/>
        </w:rPr>
        <w:t>How many distinct decision types does the organization currently handle, and how many decision branches typically exist for each major decision type?</w:t>
      </w:r>
    </w:p>
    <w:p w14:paraId="2EF99446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37B9FB93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Chairman decisions mapped via CEO Excellence into dozens of distinct activities across 6 pillars. Key activities include:</w:t>
      </w:r>
    </w:p>
    <w:p w14:paraId="74F50E71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Setting mid &amp; long-term priorities, approving strategy/vision/themes</w:t>
      </w:r>
    </w:p>
    <w:p w14:paraId="7837EF4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Business progress review, removing blockers and resolving conflicts</w:t>
      </w:r>
    </w:p>
    <w:p w14:paraId="14E4262E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Operational approvals within DOA, policy exceptions</w:t>
      </w:r>
    </w:p>
    <w:p w14:paraId="0F997806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Risk management, corrective actions, pre/post mortems</w:t>
      </w:r>
    </w:p>
    <w:p w14:paraId="0D9E325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Executive hiring decisions, performance standards, role rotations</w:t>
      </w:r>
    </w:p>
    <w:p w14:paraId="08FDAA8B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Decision trees use cognitive layers: Perception (15%), Analysis (60%), Personal Experience (10%), Intuition (15%).</w:t>
      </w:r>
    </w:p>
    <w:p w14:paraId="06844ACD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number of decision types and average branch count will come from CM logic-tree deliverable.</w:t>
      </w:r>
    </w:p>
    <w:p w14:paraId="1C3645B5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Q8. </w:t>
      </w:r>
      <w:r w:rsidRPr="00857BA5">
        <w:rPr>
          <w:rFonts w:ascii="Calibri" w:hAnsi="Calibri" w:cs="Calibri"/>
          <w:b/>
          <w:bCs/>
          <w:sz w:val="24"/>
          <w:szCs w:val="24"/>
        </w:rPr>
        <w:t>What percentage of current decisions fall into each of the three authority levels defined in the Agent-0 framework?</w:t>
      </w:r>
    </w:p>
    <w:p w14:paraId="28CA2C7F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No current percentage split documented. Will be produced once role heatmap is populated from logic trees.</w:t>
      </w:r>
    </w:p>
    <w:p w14:paraId="6F19D342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Q9. </w:t>
      </w:r>
      <w:r w:rsidRPr="00857BA5">
        <w:rPr>
          <w:rFonts w:ascii="Calibri" w:hAnsi="Calibri" w:cs="Calibri"/>
          <w:b/>
          <w:bCs/>
          <w:sz w:val="24"/>
          <w:szCs w:val="24"/>
        </w:rPr>
        <w:t>What is the total number of business systems that require integration (ERP, CRM, document management)?</w:t>
      </w:r>
    </w:p>
    <w:p w14:paraId="4CCA83FC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103641E0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Structured Enterprise Systems in scope:</w:t>
      </w:r>
    </w:p>
    <w:p w14:paraId="0C89F45D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ERP (Oracle Fusion referenced)</w:t>
      </w:r>
    </w:p>
    <w:p w14:paraId="237039ED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HRIS and payroll systems</w:t>
      </w:r>
    </w:p>
    <w:p w14:paraId="236AFE0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CRM / licensing / case management systems in sectoral entities</w:t>
      </w:r>
    </w:p>
    <w:p w14:paraId="5AA056F1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Data Exchange Platform, Data-in-a-Box, shared platforms</w:t>
      </w:r>
    </w:p>
    <w:p w14:paraId="543433D1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ECAS (for ADEO submissions)</w:t>
      </w:r>
    </w:p>
    <w:p w14:paraId="71B4B1B7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2do tool (current action tracking)</w:t>
      </w:r>
    </w:p>
    <w:p w14:paraId="3C129CB0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system names and integration capabilities (REST vs DB) need confirmation with DGE IT / GovDigital.</w:t>
      </w:r>
    </w:p>
    <w:p w14:paraId="3111D24C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Q10. </w:t>
      </w:r>
      <w:r w:rsidRPr="00857BA5">
        <w:rPr>
          <w:rFonts w:ascii="Calibri" w:hAnsi="Calibri" w:cs="Calibri"/>
          <w:b/>
          <w:bCs/>
          <w:sz w:val="24"/>
          <w:szCs w:val="24"/>
        </w:rPr>
        <w:t>What is the total number of communication systems that require integration?</w:t>
      </w:r>
    </w:p>
    <w:p w14:paraId="13BD7698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a) </w:t>
      </w:r>
      <w:r w:rsidRPr="00857BA5">
        <w:rPr>
          <w:rFonts w:ascii="Calibri" w:hAnsi="Calibri" w:cs="Calibri"/>
          <w:i/>
          <w:iCs/>
          <w:sz w:val="24"/>
          <w:szCs w:val="24"/>
        </w:rPr>
        <w:t>Which email systems, messaging platforms, video conferencing tools, and document repositories require integration, and what is the message volume for each channel?</w:t>
      </w:r>
    </w:p>
    <w:p w14:paraId="667B558C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248DBBC5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Communication channels in scope:</w:t>
      </w:r>
    </w:p>
    <w:p w14:paraId="6C693B3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Email: CM mailbox (O365)</w:t>
      </w:r>
    </w:p>
    <w:p w14:paraId="1C11DE90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Enterprise messaging: MS Teams</w:t>
      </w:r>
    </w:p>
    <w:p w14:paraId="74940084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Meeting recordings/transcripts: board meetings, ADEO, 1:1s, townhalls</w:t>
      </w:r>
    </w:p>
    <w:p w14:paraId="6CE4CFB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Document repositories: SharePoint, shared drives</w:t>
      </w:r>
    </w:p>
    <w:p w14:paraId="2101CB2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>Action tracking: 2do tool</w:t>
      </w:r>
    </w:p>
    <w:p w14:paraId="5CDB0350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message volumes (emails/day, Teams messages/day, meeting hours/month) need to be measured.</w:t>
      </w:r>
    </w:p>
    <w:p w14:paraId="591AE8BB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Q11. </w:t>
      </w:r>
      <w:r w:rsidRPr="00857BA5">
        <w:rPr>
          <w:rFonts w:ascii="Calibri" w:hAnsi="Calibri" w:cs="Calibri"/>
          <w:b/>
          <w:bCs/>
          <w:sz w:val="24"/>
          <w:szCs w:val="24"/>
        </w:rPr>
        <w:t>What is the total number of external data sources that needs to be integrated?</w:t>
      </w:r>
    </w:p>
    <w:p w14:paraId="785F3183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a) </w:t>
      </w:r>
      <w:r w:rsidRPr="00857BA5">
        <w:rPr>
          <w:rFonts w:ascii="Calibri" w:hAnsi="Calibri" w:cs="Calibri"/>
          <w:i/>
          <w:iCs/>
          <w:sz w:val="24"/>
          <w:szCs w:val="24"/>
        </w:rPr>
        <w:t>Which external data providers, news feeds, market intelligence sources, and regulatory databases require integration?</w:t>
      </w:r>
    </w:p>
    <w:p w14:paraId="76FB57C9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2363BB20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In scope conceptually:</w:t>
      </w:r>
    </w:p>
    <w:p w14:paraId="440E6CE7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Agent-0/Chairman: External publications, media coverage, economic &amp; sector intel</w:t>
      </w:r>
    </w:p>
    <w:p w14:paraId="7874AF2F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ADEO/MRG/sectoral: Sectoral statistics, demographic data, global/national standards</w:t>
      </w:r>
    </w:p>
    <w:p w14:paraId="2F71930A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list of external providers (Bloomberg, local news feeds, regulatory DBs) not yet enumerated.</w:t>
      </w:r>
    </w:p>
    <w:p w14:paraId="3322AEF1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Q12. </w:t>
      </w:r>
      <w:r w:rsidRPr="00857BA5">
        <w:rPr>
          <w:rFonts w:ascii="Calibri" w:hAnsi="Calibri" w:cs="Calibri"/>
          <w:b/>
          <w:bCs/>
          <w:sz w:val="24"/>
          <w:szCs w:val="24"/>
        </w:rPr>
        <w:t>Are there an existing data platform with the data needed for the solution already ingested?</w:t>
      </w:r>
    </w:p>
    <w:p w14:paraId="549E11E4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F213676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Yes, data platforms exist, but not all Agent-0 data is ingested yet:</w:t>
      </w:r>
    </w:p>
    <w:p w14:paraId="48333684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Data Exchange Platform</w:t>
      </w:r>
    </w:p>
    <w:p w14:paraId="6FBF442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Data-in-a-Box</w:t>
      </w:r>
    </w:p>
    <w:p w14:paraId="17A5D8E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Federated data fabric (design &amp; roll-out in progress)</w:t>
      </w:r>
    </w:p>
    <w:p w14:paraId="507F7FE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Agentic Memory Enablement for AI agents</w:t>
      </w:r>
    </w:p>
    <w:p w14:paraId="465B3E53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CM-specific data (emails, calendar, ADEO decision packs) not yet ingested into central analytics store – this is part of the CM AI twin data cube work.</w:t>
      </w:r>
    </w:p>
    <w:p w14:paraId="3572DBD5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Q13. </w:t>
      </w:r>
      <w:r w:rsidRPr="00857BA5">
        <w:rPr>
          <w:rFonts w:ascii="Calibri" w:hAnsi="Calibri" w:cs="Calibri"/>
          <w:b/>
          <w:bCs/>
          <w:sz w:val="24"/>
          <w:szCs w:val="24"/>
        </w:rPr>
        <w:t>What are the synchronization frequency requirements for maintaining data consistency across integrated platforms?</w:t>
      </w:r>
    </w:p>
    <w:p w14:paraId="12684084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47FBC07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Vision: "0 latency on key outputs and decisions" and "always-on observation of signals and sentiment".</w:t>
      </w:r>
    </w:p>
    <w:p w14:paraId="735D3B98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Practical expectation:</w:t>
      </w:r>
    </w:p>
    <w:p w14:paraId="5AC43B5D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Near real-time:</w:t>
      </w:r>
      <w:r w:rsidRPr="00857BA5">
        <w:rPr>
          <w:rFonts w:ascii="Calibri" w:hAnsi="Calibri" w:cs="Calibri"/>
          <w:sz w:val="24"/>
          <w:szCs w:val="24"/>
        </w:rPr>
        <w:t xml:space="preserve"> emails, meetings, ADEO pipeline, major approvals</w:t>
      </w:r>
    </w:p>
    <w:p w14:paraId="35265672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Daily/intra-day batch:</w:t>
      </w:r>
      <w:r w:rsidRPr="00857BA5">
        <w:rPr>
          <w:rFonts w:ascii="Calibri" w:hAnsi="Calibri" w:cs="Calibri"/>
          <w:sz w:val="24"/>
          <w:szCs w:val="24"/>
        </w:rPr>
        <w:t xml:space="preserve"> HR snapshots, some financials</w:t>
      </w:r>
    </w:p>
    <w:p w14:paraId="1ACF3054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SLAs per data domain need agreement in architecture workshops.</w:t>
      </w:r>
    </w:p>
    <w:p w14:paraId="197DC2FC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Q14. </w:t>
      </w:r>
      <w:r w:rsidRPr="00857BA5">
        <w:rPr>
          <w:rFonts w:ascii="Calibri" w:hAnsi="Calibri" w:cs="Calibri"/>
          <w:b/>
          <w:bCs/>
          <w:sz w:val="24"/>
          <w:szCs w:val="24"/>
        </w:rPr>
        <w:t>How many organizational policies, procedures, and precedents must be integrated into the decision framework?</w:t>
      </w:r>
    </w:p>
    <w:p w14:paraId="08AE076E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175FBE30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Magnitude hints:</w:t>
      </w:r>
    </w:p>
    <w:p w14:paraId="4F0FE5E4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MRG cross-entity review: ~700+ governance documents (laws, policies, manuals)</w:t>
      </w:r>
    </w:p>
    <w:p w14:paraId="2FF34D59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ADAFSA food imports: &gt;20 governing docs per product subcategory</w:t>
      </w:r>
    </w:p>
    <w:p w14:paraId="23EB09EE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>Agent-0 scope: All applicable laws/decrees, government regulations, DGE governance frameworks, DOFs/DOAs, internal policies (HR, procurement, finance, risk)</w:t>
      </w:r>
    </w:p>
    <w:p w14:paraId="0AE8A497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Closed list/count not yet available; MRG and Agent-0 will help discover and codify the universe.</w:t>
      </w:r>
    </w:p>
    <w:p w14:paraId="19FEE004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Q15. </w:t>
      </w:r>
      <w:r w:rsidRPr="00857BA5">
        <w:rPr>
          <w:rFonts w:ascii="Calibri" w:hAnsi="Calibri" w:cs="Calibri"/>
          <w:b/>
          <w:bCs/>
          <w:sz w:val="24"/>
          <w:szCs w:val="24"/>
        </w:rPr>
        <w:t>How many regulatory frameworks and compliance requirements impact decision-making processes?</w:t>
      </w:r>
    </w:p>
    <w:p w14:paraId="61E4C4E7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2062CEC0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Examples documented:</w:t>
      </w:r>
    </w:p>
    <w:p w14:paraId="09A266C2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Sector-specific regulatory regimes in MRG pipeline</w:t>
      </w:r>
    </w:p>
    <w:p w14:paraId="364CCD22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WoG-level cyber and data governance policies</w:t>
      </w:r>
    </w:p>
    <w:p w14:paraId="3B667515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AI-specific governance framework and policy (being created)</w:t>
      </w:r>
    </w:p>
    <w:p w14:paraId="64A67766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No numeric count, but assume multiple per sector + cross-cutting AI/data/cyber requirements.</w:t>
      </w:r>
    </w:p>
    <w:p w14:paraId="613F7CEA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Q16. </w:t>
      </w:r>
      <w:r w:rsidRPr="00857BA5">
        <w:rPr>
          <w:rFonts w:ascii="Calibri" w:hAnsi="Calibri" w:cs="Calibri"/>
          <w:b/>
          <w:bCs/>
          <w:sz w:val="24"/>
          <w:szCs w:val="24"/>
        </w:rPr>
        <w:t>Are there historical data records for different types of decisions, success rate and how is success measured?</w:t>
      </w:r>
    </w:p>
    <w:p w14:paraId="5BA7F652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55A19568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AI-Native use cases overall, GovAI tracks: # of live use cases, # with measurable value, impact metrics (hours saved / cost reduction).</w:t>
      </w:r>
    </w:p>
    <w:p w14:paraId="32EDAD05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Agent-0, success metrics defined as: Decision latency, coverage of CM decisions, adoption, and satisfaction.</w:t>
      </w:r>
    </w:p>
    <w:p w14:paraId="6313646B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No single quantified "success rate per decision type" yet; defining such metrics is part of the scoping work.</w:t>
      </w:r>
    </w:p>
    <w:p w14:paraId="7A004146" w14:textId="77777777" w:rsidR="00F05131" w:rsidRPr="00857BA5" w:rsidRDefault="00000000">
      <w:p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br w:type="page"/>
      </w:r>
    </w:p>
    <w:p w14:paraId="76D5038D" w14:textId="77777777" w:rsidR="00F05131" w:rsidRPr="00857BA5" w:rsidRDefault="00000000">
      <w:pPr>
        <w:pStyle w:val="Heading1"/>
        <w:shd w:val="clear" w:color="auto" w:fill="1F4E79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 xml:space="preserve">  SECTION C: Technical Infrastructure Questions  </w:t>
      </w:r>
    </w:p>
    <w:p w14:paraId="64F6326E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Q17. </w:t>
      </w:r>
      <w:r w:rsidRPr="00857BA5">
        <w:rPr>
          <w:rFonts w:ascii="Calibri" w:hAnsi="Calibri" w:cs="Calibri"/>
          <w:b/>
          <w:bCs/>
          <w:sz w:val="24"/>
          <w:szCs w:val="24"/>
        </w:rPr>
        <w:t>Do the current systems (Fusion, HRIS, CRM) have active, accessible REST APIs today, or will we need to build custom database connectors?</w:t>
      </w:r>
    </w:p>
    <w:p w14:paraId="53F989B1" w14:textId="77777777" w:rsidR="00F05131" w:rsidRPr="00857BA5" w:rsidRDefault="00000000">
      <w:pPr>
        <w:spacing w:before="100" w:after="50"/>
        <w:ind w:left="7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2E75B6"/>
          <w:sz w:val="24"/>
          <w:szCs w:val="24"/>
        </w:rPr>
        <w:t xml:space="preserve">a) </w:t>
      </w:r>
      <w:r w:rsidRPr="00857BA5">
        <w:rPr>
          <w:rFonts w:ascii="Calibri" w:hAnsi="Calibri" w:cs="Calibri"/>
          <w:i/>
          <w:iCs/>
          <w:sz w:val="24"/>
          <w:szCs w:val="24"/>
        </w:rPr>
        <w:t>Is the implementation of Fusion the Oracle Cloud SaaS version, or is it hosted on-premise? What modules are in scope?</w:t>
      </w:r>
    </w:p>
    <w:p w14:paraId="27241C13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0B353D5F" w14:textId="0604F956" w:rsidR="00F05131" w:rsidRPr="00857BA5" w:rsidRDefault="00084636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Hosted on Prem</w:t>
      </w:r>
    </w:p>
    <w:p w14:paraId="14802CC6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Q18. </w:t>
      </w:r>
      <w:r w:rsidRPr="00857BA5">
        <w:rPr>
          <w:rFonts w:ascii="Calibri" w:hAnsi="Calibri" w:cs="Calibri"/>
          <w:b/>
          <w:bCs/>
          <w:sz w:val="24"/>
          <w:szCs w:val="24"/>
        </w:rPr>
        <w:t>How many months/years of historical email, decision logs, and documents are immediately available and "cleaned" to train the Persona?</w:t>
      </w:r>
    </w:p>
    <w:p w14:paraId="14425171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F3B27A7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Scoping plan sets out to collect:</w:t>
      </w:r>
    </w:p>
    <w:p w14:paraId="2B6D1613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3 months of CM calendar and emails for blueprinting and analysis</w:t>
      </w:r>
    </w:p>
    <w:p w14:paraId="12F499AB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Past meeting recordings/transcripts, ADEO submissions, DOAs, operational docs</w:t>
      </w:r>
    </w:p>
    <w:p w14:paraId="4CB7E287" w14:textId="7773915E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Available? Yes – dispersed across O365 / shared drives / existing systems.</w:t>
      </w:r>
    </w:p>
    <w:p w14:paraId="457A31BB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Cleaned and centralized? No – scoping phase includes ingestion, mapping and cleaning, particularly for persona training and memory.</w:t>
      </w:r>
    </w:p>
    <w:p w14:paraId="7BD2A0DB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Q19. </w:t>
      </w:r>
      <w:r w:rsidRPr="00857BA5">
        <w:rPr>
          <w:rFonts w:ascii="Calibri" w:hAnsi="Calibri" w:cs="Calibri"/>
          <w:b/>
          <w:bCs/>
          <w:sz w:val="24"/>
          <w:szCs w:val="24"/>
        </w:rPr>
        <w:t>For the "Ambient Meeting Intelligence," do the physical boardrooms already have high-fidelity microphones connected to a central server?</w:t>
      </w:r>
    </w:p>
    <w:p w14:paraId="5A71EE2A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7B145B18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Hardware details not documented. Assume additional hardware or integration work may be required for "emotional undertones" fidelity unless DGE confirms existing high-quality, centrally-recorded audio.</w:t>
      </w:r>
    </w:p>
    <w:p w14:paraId="56F7AC91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Q20. </w:t>
      </w:r>
      <w:r w:rsidRPr="00857BA5">
        <w:rPr>
          <w:rFonts w:ascii="Calibri" w:hAnsi="Calibri" w:cs="Calibri"/>
          <w:b/>
          <w:bCs/>
          <w:sz w:val="24"/>
          <w:szCs w:val="24"/>
        </w:rPr>
        <w:t>Do you currently use an Integration Middleware or a central Data Lake that Agent-0 can connect to?</w:t>
      </w:r>
    </w:p>
    <w:p w14:paraId="76A41276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0F652644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Strong indicators of central data infrastructure from AI-Native:</w:t>
      </w:r>
    </w:p>
    <w:p w14:paraId="3679B9A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Data Exchange Platform</w:t>
      </w:r>
    </w:p>
    <w:p w14:paraId="76D4D372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Data-in-a-Box</w:t>
      </w:r>
    </w:p>
    <w:p w14:paraId="5DC0C60E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Federated Data Fabric design &amp; roll-out</w:t>
      </w:r>
    </w:p>
    <w:p w14:paraId="477AFADA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Target architecture is NOT pure point-to-point; Agent-0 expected to sit within shared data and AI platform ecosystem.</w:t>
      </w:r>
    </w:p>
    <w:p w14:paraId="53F64906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technologies (specific data lake / middleware platform) need confirmation with GovDigital.</w:t>
      </w:r>
    </w:p>
    <w:p w14:paraId="2A5C3E21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Q21. </w:t>
      </w:r>
      <w:r w:rsidRPr="00857BA5">
        <w:rPr>
          <w:rFonts w:ascii="Calibri" w:hAnsi="Calibri" w:cs="Calibri"/>
          <w:b/>
          <w:bCs/>
          <w:sz w:val="24"/>
          <w:szCs w:val="24"/>
        </w:rPr>
        <w:t>For the MVP, does Agent-0 need to technically "execute" the action in the system (write-back), or is it enough to surface a recommendation for a human to click?</w:t>
      </w:r>
    </w:p>
    <w:p w14:paraId="2FC82E63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2DA860DC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Core principle: "Act within clear guardrails, with a human-in-the-loop."</w:t>
      </w:r>
    </w:p>
    <w:p w14:paraId="2F98AA0B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For MVP, safest design (consistent with docs):</w:t>
      </w:r>
    </w:p>
    <w:p w14:paraId="0EC044D6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lastRenderedPageBreak/>
        <w:t>Agent-0 surfaces recommendations, pre-screenings, and structured actions</w:t>
      </w:r>
    </w:p>
    <w:p w14:paraId="011D7B3F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Human (Chairman or delegate) confirms/triggers final execution</w:t>
      </w:r>
    </w:p>
    <w:p w14:paraId="630DC786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Only low-risk DOA-based workflows could be candidates for write-back after governance sign-off</w:t>
      </w:r>
    </w:p>
    <w:p w14:paraId="22AC3CE5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Current artefacts lean towards recommendation + human click, with roadmap to expand to auto-execution in tightly-guardrailed flows.</w:t>
      </w:r>
    </w:p>
    <w:p w14:paraId="44A8DAA2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Q22. </w:t>
      </w:r>
      <w:r w:rsidRPr="00857BA5">
        <w:rPr>
          <w:rFonts w:ascii="Calibri" w:hAnsi="Calibri" w:cs="Calibri"/>
          <w:b/>
          <w:bCs/>
          <w:sz w:val="24"/>
          <w:szCs w:val="24"/>
        </w:rPr>
        <w:t>Does a digital "Delegation of Authority" matrix already exist that maps specific decision types to rules/limits?</w:t>
      </w:r>
    </w:p>
    <w:p w14:paraId="1CD85098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481591E8" w14:textId="65E1009B" w:rsidR="00F05131" w:rsidRPr="00857BA5" w:rsidRDefault="00000000" w:rsidP="00084636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Multiple slides reference authority and approval ledger, DOAs, and DOFs as existing artefacts</w:t>
      </w:r>
      <w:r w:rsidR="00084636">
        <w:rPr>
          <w:rFonts w:ascii="Calibri" w:hAnsi="Calibri" w:cs="Calibri"/>
          <w:sz w:val="24"/>
          <w:szCs w:val="24"/>
        </w:rPr>
        <w:t xml:space="preserve">, </w:t>
      </w:r>
      <w:r w:rsidRPr="00857BA5">
        <w:rPr>
          <w:rFonts w:ascii="Calibri" w:hAnsi="Calibri" w:cs="Calibri"/>
          <w:sz w:val="24"/>
          <w:szCs w:val="24"/>
        </w:rPr>
        <w:t>although:</w:t>
      </w:r>
    </w:p>
    <w:p w14:paraId="7E8B5B60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May be in static form (documents/ledgers) rather than API-ready</w:t>
      </w:r>
    </w:p>
    <w:p w14:paraId="433D79DF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Has not been converted to "dynamic decision tree" – that is part of Agent-0's design work</w:t>
      </w:r>
    </w:p>
    <w:p w14:paraId="28792D90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Agent-0 logic trees will be built from these DOA documents + historical approvals.</w:t>
      </w:r>
    </w:p>
    <w:p w14:paraId="4BD5C714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Q23. </w:t>
      </w:r>
      <w:r w:rsidRPr="00857BA5">
        <w:rPr>
          <w:rFonts w:ascii="Calibri" w:hAnsi="Calibri" w:cs="Calibri"/>
          <w:b/>
          <w:bCs/>
          <w:sz w:val="24"/>
          <w:szCs w:val="24"/>
        </w:rPr>
        <w:t>Since we are using local models, what specific GPU infrastructure is currently provisioned and ready for us to use?</w:t>
      </w:r>
    </w:p>
    <w:p w14:paraId="634314F8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26BBBF2C" w14:textId="03E132B9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GPU infrastructure must be treated as TBC. Need specifics from (existing GPU clusters, cloud tenancy, or whether AWS GPUs are expected as primary hosting).</w:t>
      </w:r>
    </w:p>
    <w:p w14:paraId="0BA1B535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Q24. </w:t>
      </w:r>
      <w:r w:rsidRPr="00857BA5">
        <w:rPr>
          <w:rFonts w:ascii="Calibri" w:hAnsi="Calibri" w:cs="Calibri"/>
          <w:b/>
          <w:bCs/>
          <w:sz w:val="24"/>
          <w:szCs w:val="24"/>
        </w:rPr>
        <w:t>Is the system architecture intended for a single specific pilot executive initially, or must we build a multi-tenant platform from Day 1?</w:t>
      </w:r>
    </w:p>
    <w:p w14:paraId="55B16AE6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5CB80627" w14:textId="689C8FE7" w:rsidR="00F05131" w:rsidRPr="00857BA5" w:rsidRDefault="00000000" w:rsidP="00084636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"Chairman AI Twin" – single highly-personalised CM twin</w:t>
      </w:r>
    </w:p>
    <w:p w14:paraId="1AD0EE3F" w14:textId="77777777" w:rsidR="00F05131" w:rsidRPr="00084636" w:rsidRDefault="00000000" w:rsidP="00084636">
      <w:pPr>
        <w:rPr>
          <w:rFonts w:ascii="Calibri" w:hAnsi="Calibri" w:cs="Calibri"/>
          <w:sz w:val="24"/>
          <w:szCs w:val="24"/>
        </w:rPr>
      </w:pPr>
      <w:r w:rsidRPr="00084636">
        <w:rPr>
          <w:rFonts w:ascii="Calibri" w:hAnsi="Calibri" w:cs="Calibri"/>
          <w:sz w:val="24"/>
          <w:szCs w:val="24"/>
        </w:rPr>
        <w:t>Agent-0 as "common capability" – implying eventual multi-executive/multi-entity support</w:t>
      </w:r>
    </w:p>
    <w:p w14:paraId="5C50A5D3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Build Approach:</w:t>
      </w:r>
    </w:p>
    <w:p w14:paraId="1CF67FAC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Short term (MVP):</w:t>
      </w:r>
      <w:r w:rsidRPr="00857BA5">
        <w:rPr>
          <w:rFonts w:ascii="Calibri" w:hAnsi="Calibri" w:cs="Calibri"/>
          <w:sz w:val="24"/>
          <w:szCs w:val="24"/>
        </w:rPr>
        <w:t xml:space="preserve"> Architecture optimised around one pilot executive (CM)</w:t>
      </w:r>
    </w:p>
    <w:p w14:paraId="378CB22A" w14:textId="77777777" w:rsidR="00F05131" w:rsidRPr="00857BA5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sz w:val="24"/>
          <w:szCs w:val="24"/>
        </w:rPr>
        <w:t>Medium term:</w:t>
      </w:r>
      <w:r w:rsidRPr="00857BA5">
        <w:rPr>
          <w:rFonts w:ascii="Calibri" w:hAnsi="Calibri" w:cs="Calibri"/>
          <w:sz w:val="24"/>
          <w:szCs w:val="24"/>
        </w:rPr>
        <w:t xml:space="preserve"> Must be designed as multi-tenant on the same underlying platform</w:t>
      </w:r>
    </w:p>
    <w:p w14:paraId="2B9BD671" w14:textId="77777777" w:rsidR="00F05131" w:rsidRPr="00857BA5" w:rsidRDefault="00000000">
      <w:pPr>
        <w:pBdr>
          <w:left w:val="single" w:sz="24" w:space="0" w:color="2E75B6"/>
        </w:pBdr>
        <w:shd w:val="clear" w:color="auto" w:fill="E8F4FD"/>
        <w:spacing w:before="300" w:after="100"/>
        <w:ind w:left="2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 xml:space="preserve">Q25. </w:t>
      </w:r>
      <w:r w:rsidRPr="00857BA5">
        <w:rPr>
          <w:rFonts w:ascii="Calibri" w:hAnsi="Calibri" w:cs="Calibri"/>
          <w:b/>
          <w:bCs/>
          <w:sz w:val="24"/>
          <w:szCs w:val="24"/>
        </w:rPr>
        <w:t>For the "Context Engine," is daily batch processing of data acceptable, or do you require strictly real-time streaming for financial and HR updates?</w:t>
      </w:r>
    </w:p>
    <w:p w14:paraId="147E7715" w14:textId="77777777" w:rsidR="00F05131" w:rsidRPr="00857BA5" w:rsidRDefault="00000000">
      <w:pPr>
        <w:spacing w:before="150" w:after="10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b/>
          <w:bCs/>
          <w:color w:val="1F4E79"/>
          <w:sz w:val="24"/>
          <w:szCs w:val="24"/>
        </w:rPr>
        <w:t>Answer:</w:t>
      </w:r>
    </w:p>
    <w:p w14:paraId="52AB25C9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Vision: "Achieving 0 latency on key outputs &amp; decisions" and "always-on observer" over signals and sentiment.</w:t>
      </w:r>
    </w:p>
    <w:p w14:paraId="0AD582F7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Practical reality: No explicit SLA per data domain; legacy constraints acknowledged.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5131" w:rsidRPr="00857BA5" w14:paraId="283D20D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C0DE345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BD4A7FA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Frequency Expectation</w:t>
            </w:r>
          </w:p>
        </w:tc>
      </w:tr>
      <w:tr w:rsidR="00F05131" w:rsidRPr="00857BA5" w14:paraId="6E66FC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113FF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High-value streams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8F335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Near real-time (emails, meetings, ADEO pipeline, major approvals)</w:t>
            </w:r>
          </w:p>
        </w:tc>
      </w:tr>
      <w:tr w:rsidR="00F05131" w:rsidRPr="00857BA5" w14:paraId="51A87B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C59E4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Slower-moving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1856D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Daily or intra-day batch acceptable (HR snapshots, some financials)</w:t>
            </w:r>
          </w:p>
        </w:tc>
      </w:tr>
    </w:tbl>
    <w:p w14:paraId="4790A327" w14:textId="77777777" w:rsidR="00F05131" w:rsidRPr="00857BA5" w:rsidRDefault="00000000">
      <w:pPr>
        <w:shd w:val="clear" w:color="auto" w:fill="FFF3CD"/>
        <w:spacing w:before="100" w:after="150"/>
        <w:ind w:left="200" w:right="200"/>
        <w:rPr>
          <w:rFonts w:ascii="Calibri" w:hAnsi="Calibri" w:cs="Calibri"/>
          <w:sz w:val="24"/>
          <w:szCs w:val="24"/>
        </w:rPr>
      </w:pPr>
      <w:r w:rsidRPr="00857BA5">
        <w:rPr>
          <w:rFonts w:ascii="Apple Color Emoji" w:hAnsi="Apple Color Emoji" w:cs="Apple Color Emoji"/>
          <w:b/>
          <w:bCs/>
          <w:color w:val="856404"/>
          <w:sz w:val="24"/>
          <w:szCs w:val="24"/>
        </w:rPr>
        <w:t>⚠</w:t>
      </w:r>
      <w:r w:rsidRPr="00857BA5">
        <w:rPr>
          <w:rFonts w:ascii="Calibri" w:hAnsi="Calibri" w:cs="Calibri"/>
          <w:b/>
          <w:bCs/>
          <w:color w:val="856404"/>
          <w:sz w:val="24"/>
          <w:szCs w:val="24"/>
        </w:rPr>
        <w:t xml:space="preserve"> TBC: </w:t>
      </w:r>
      <w:r w:rsidRPr="00857BA5">
        <w:rPr>
          <w:rFonts w:ascii="Calibri" w:hAnsi="Calibri" w:cs="Calibri"/>
          <w:color w:val="856404"/>
          <w:sz w:val="24"/>
          <w:szCs w:val="24"/>
        </w:rPr>
        <w:t>Exact frequency requirements are open design decisions to be agreed in architecture workshops.</w:t>
      </w:r>
    </w:p>
    <w:p w14:paraId="12CFF440" w14:textId="536F1B5A" w:rsidR="00F05131" w:rsidRPr="00857BA5" w:rsidRDefault="00F05131">
      <w:pPr>
        <w:rPr>
          <w:rFonts w:ascii="Calibri" w:hAnsi="Calibri" w:cs="Calibri"/>
          <w:sz w:val="24"/>
          <w:szCs w:val="24"/>
        </w:rPr>
      </w:pPr>
    </w:p>
    <w:p w14:paraId="4ED9F000" w14:textId="77777777" w:rsidR="00F05131" w:rsidRPr="00857BA5" w:rsidRDefault="00000000">
      <w:pPr>
        <w:pStyle w:val="Heading1"/>
        <w:shd w:val="clear" w:color="auto" w:fill="1F4E79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 xml:space="preserve">  SUMMARY: Key Items To Be Confirmed (TBC)  </w:t>
      </w:r>
    </w:p>
    <w:p w14:paraId="19D9050C" w14:textId="77777777" w:rsidR="00F05131" w:rsidRPr="00857BA5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857BA5">
        <w:rPr>
          <w:rFonts w:ascii="Calibri" w:hAnsi="Calibri" w:cs="Calibri"/>
          <w:sz w:val="24"/>
          <w:szCs w:val="24"/>
        </w:rPr>
        <w:t>The following items require clarification from DGE IT / GovDigital before architecture finalization:</w:t>
      </w:r>
    </w:p>
    <w:p w14:paraId="35A3570E" w14:textId="77777777" w:rsidR="00F05131" w:rsidRPr="00857BA5" w:rsidRDefault="00F05131">
      <w:pPr>
        <w:spacing w:after="200"/>
        <w:rPr>
          <w:rFonts w:ascii="Calibri" w:hAnsi="Calibri" w:cs="Calibri"/>
          <w:sz w:val="24"/>
          <w:szCs w:val="24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5131" w:rsidRPr="00857BA5" w14:paraId="33A5009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64F88AE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43B57D3" w14:textId="22539ADB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Information </w:t>
            </w:r>
            <w:r w:rsidR="00F27CD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TBC</w:t>
            </w:r>
          </w:p>
        </w:tc>
      </w:tr>
      <w:tr w:rsidR="00F05131" w:rsidRPr="00857BA5" w14:paraId="095C19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53B09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Systems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6A45B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REST API availability for Fusion, HRIS, CRM; exact system names and versions</w:t>
            </w:r>
          </w:p>
        </w:tc>
      </w:tr>
      <w:tr w:rsidR="00F05131" w:rsidRPr="00857BA5" w14:paraId="36D128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CE994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Oracle Fusion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9AC3A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SaaS vs on-prem deployment; modules in scope (Finance, Procurement, HCM)</w:t>
            </w:r>
          </w:p>
        </w:tc>
      </w:tr>
      <w:tr w:rsidR="00F05131" w:rsidRPr="00857BA5" w14:paraId="1FD861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0701F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Data Volumes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A219D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Emails/day, Teams messages/day, meeting hours/month, ADEO submissions/month</w:t>
            </w:r>
          </w:p>
        </w:tc>
      </w:tr>
      <w:tr w:rsidR="00F05131" w:rsidRPr="00857BA5" w14:paraId="7960CA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D45F8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AV Hardware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2129C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Boardroom microphone quality and central recording capability for ambient intelligence</w:t>
            </w:r>
          </w:p>
        </w:tc>
      </w:tr>
      <w:tr w:rsidR="00F05131" w:rsidRPr="00857BA5" w14:paraId="72697A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59CEB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GPU Infrastructure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1A5FC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Cloud provider, GPU type (H100/A100/L40), quantity provisioned</w:t>
            </w:r>
          </w:p>
        </w:tc>
      </w:tr>
      <w:tr w:rsidR="00F05131" w:rsidRPr="00857BA5" w14:paraId="187E95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8C02A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Sync Frequency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0FEDF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SLAs per data domain (real-time vs daily batch)</w:t>
            </w:r>
          </w:p>
        </w:tc>
      </w:tr>
      <w:tr w:rsidR="00F05131" w:rsidRPr="00857BA5" w14:paraId="213DCE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12CE4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External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402D7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Specific providers (Bloomberg, news feeds, regulatory DBs) and access methods</w:t>
            </w:r>
          </w:p>
        </w:tc>
      </w:tr>
      <w:tr w:rsidR="00F05131" w:rsidRPr="00857BA5" w14:paraId="10860D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650F7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Data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CECD3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Exact middleware / data lake technologies in use</w:t>
            </w:r>
          </w:p>
        </w:tc>
      </w:tr>
      <w:tr w:rsidR="00F05131" w:rsidRPr="00857BA5" w14:paraId="67020F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DBB9B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Action Tracking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2E46E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Integration capabilities of 2do tool; historical data export from Asana/email</w:t>
            </w:r>
          </w:p>
        </w:tc>
      </w:tr>
      <w:tr w:rsidR="00F05131" w:rsidRPr="00857BA5" w14:paraId="4A097D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99389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Security Policies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DC709" w14:textId="77777777" w:rsidR="00F05131" w:rsidRPr="00857BA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857BA5">
              <w:rPr>
                <w:rFonts w:ascii="Calibri" w:hAnsi="Calibri" w:cs="Calibri"/>
                <w:color w:val="000000"/>
                <w:sz w:val="24"/>
                <w:szCs w:val="24"/>
              </w:rPr>
              <w:t>AI Policy document (post-ADEO approval), WoG cyber governance details</w:t>
            </w:r>
          </w:p>
        </w:tc>
      </w:tr>
    </w:tbl>
    <w:p w14:paraId="690F8BA7" w14:textId="48506F1E" w:rsidR="00F05131" w:rsidRPr="00857BA5" w:rsidRDefault="00F05131">
      <w:pPr>
        <w:spacing w:before="600"/>
        <w:jc w:val="center"/>
        <w:rPr>
          <w:rFonts w:ascii="Calibri" w:hAnsi="Calibri" w:cs="Calibri"/>
          <w:sz w:val="24"/>
          <w:szCs w:val="24"/>
        </w:rPr>
      </w:pPr>
    </w:p>
    <w:sectPr w:rsidR="00F05131" w:rsidRPr="00857BA5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2C5F" w14:textId="77777777" w:rsidR="00D0059C" w:rsidRDefault="00D0059C">
      <w:r>
        <w:separator/>
      </w:r>
    </w:p>
  </w:endnote>
  <w:endnote w:type="continuationSeparator" w:id="0">
    <w:p w14:paraId="2A04E0C2" w14:textId="77777777" w:rsidR="00D0059C" w:rsidRDefault="00D00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9024" w14:textId="7F29963C" w:rsidR="00F27CDC" w:rsidRDefault="004021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9756ECF" wp14:editId="4E6BDF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121932671" name="Text Box 5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8FC11" w14:textId="5C2ACDAC" w:rsidR="00402166" w:rsidRPr="00402166" w:rsidRDefault="00402166" w:rsidP="0040216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</w:t>
                          </w: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  <w:rtl/>
                            </w:rPr>
                            <w:t>مفتوحة</w:t>
                          </w: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56E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OPEN | مفتوحة " style="position:absolute;margin-left:0;margin-top:0;width:77.7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2338FC11" w14:textId="5C2ACDAC" w:rsidR="00402166" w:rsidRPr="00402166" w:rsidRDefault="00402166" w:rsidP="0040216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</w:t>
                    </w: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  <w:rtl/>
                      </w:rPr>
                      <w:t>مفتوحة</w:t>
                    </w: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3317" w14:textId="18A4FCFF" w:rsidR="00F05131" w:rsidRDefault="00402166">
    <w:pPr>
      <w:jc w:val="center"/>
    </w:pPr>
    <w:r>
      <w:rPr>
        <w:noProof/>
        <w:color w:val="666666"/>
        <w:sz w:val="18"/>
        <w:szCs w:val="18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C8A7E0F" wp14:editId="7ADCE3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1440337012" name="Text Box 6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98B0E" w14:textId="54A867A9" w:rsidR="00402166" w:rsidRPr="00402166" w:rsidRDefault="00402166" w:rsidP="0040216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</w:t>
                          </w: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  <w:rtl/>
                            </w:rPr>
                            <w:t>مفتوحة</w:t>
                          </w: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A7E0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OPEN | مفتوحة " style="position:absolute;left:0;text-align:left;margin-left:0;margin-top:0;width:77.7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1898B0E" w14:textId="54A867A9" w:rsidR="00402166" w:rsidRPr="00402166" w:rsidRDefault="00402166" w:rsidP="0040216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</w:t>
                    </w: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  <w:rtl/>
                      </w:rPr>
                      <w:t>مفتوحة</w:t>
                    </w: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7CDC">
      <w:rPr>
        <w:color w:val="666666"/>
        <w:sz w:val="18"/>
        <w:szCs w:val="18"/>
      </w:rPr>
      <w:t xml:space="preserve">Department of Government Enablement – Abu Dhabi | Page </w:t>
    </w:r>
    <w:r w:rsidR="00F27CDC">
      <w:rPr>
        <w:color w:val="666666"/>
        <w:sz w:val="18"/>
        <w:szCs w:val="18"/>
      </w:rPr>
      <w:fldChar w:fldCharType="begin"/>
    </w:r>
    <w:r w:rsidR="00F27CDC">
      <w:rPr>
        <w:color w:val="666666"/>
        <w:sz w:val="18"/>
        <w:szCs w:val="18"/>
      </w:rPr>
      <w:instrText>PAGE</w:instrText>
    </w:r>
    <w:r w:rsidR="00F27CDC">
      <w:rPr>
        <w:color w:val="666666"/>
        <w:sz w:val="18"/>
        <w:szCs w:val="18"/>
      </w:rPr>
      <w:fldChar w:fldCharType="separate"/>
    </w:r>
    <w:r w:rsidR="00857BA5">
      <w:rPr>
        <w:noProof/>
        <w:color w:val="666666"/>
        <w:sz w:val="18"/>
        <w:szCs w:val="18"/>
      </w:rPr>
      <w:t>1</w:t>
    </w:r>
    <w:r w:rsidR="00F27CDC"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3871" w14:textId="272D6B1C" w:rsidR="00F27CDC" w:rsidRDefault="004021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72D37D" wp14:editId="708D0F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2086708800" name="Text Box 4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F678F" w14:textId="4FE4CAFD" w:rsidR="00402166" w:rsidRPr="00402166" w:rsidRDefault="00402166" w:rsidP="0040216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</w:t>
                          </w: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  <w:rtl/>
                            </w:rPr>
                            <w:t>مفتوحة</w:t>
                          </w:r>
                          <w:r w:rsidRPr="0040216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2D37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OPEN | مفتوحة " style="position:absolute;margin-left:0;margin-top:0;width:77.7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5F6F678F" w14:textId="4FE4CAFD" w:rsidR="00402166" w:rsidRPr="00402166" w:rsidRDefault="00402166" w:rsidP="0040216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</w:t>
                    </w: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  <w:rtl/>
                      </w:rPr>
                      <w:t>مفتوحة</w:t>
                    </w:r>
                    <w:r w:rsidRPr="0040216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55F2" w14:textId="77777777" w:rsidR="00D0059C" w:rsidRDefault="00D0059C">
      <w:r>
        <w:separator/>
      </w:r>
    </w:p>
  </w:footnote>
  <w:footnote w:type="continuationSeparator" w:id="0">
    <w:p w14:paraId="52D8BA37" w14:textId="77777777" w:rsidR="00D0059C" w:rsidRDefault="00D00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6EF5" w14:textId="3C816124" w:rsidR="00F05131" w:rsidRDefault="00F27CDC">
    <w:pPr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787A32" wp14:editId="69BC0817">
          <wp:simplePos x="0" y="0"/>
          <wp:positionH relativeFrom="column">
            <wp:posOffset>4159410</wp:posOffset>
          </wp:positionH>
          <wp:positionV relativeFrom="paragraph">
            <wp:posOffset>-441815</wp:posOffset>
          </wp:positionV>
          <wp:extent cx="2664035" cy="640971"/>
          <wp:effectExtent l="0" t="0" r="0" b="0"/>
          <wp:wrapNone/>
          <wp:docPr id="370735150" name="Picture 6" descr="A close-up of a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86967" name="Picture 2" descr="A close-up of a logo  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873" b="11084"/>
                  <a:stretch/>
                </pic:blipFill>
                <pic:spPr bwMode="auto">
                  <a:xfrm>
                    <a:off x="0" y="0"/>
                    <a:ext cx="2664035" cy="6409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425D0"/>
    <w:multiLevelType w:val="hybridMultilevel"/>
    <w:tmpl w:val="B9CA03A4"/>
    <w:lvl w:ilvl="0" w:tplc="E7CC3FDE">
      <w:start w:val="1"/>
      <w:numFmt w:val="bullet"/>
      <w:lvlText w:val="•"/>
      <w:lvlJc w:val="left"/>
      <w:pPr>
        <w:ind w:left="720" w:hanging="360"/>
      </w:pPr>
    </w:lvl>
    <w:lvl w:ilvl="1" w:tplc="AF98102C">
      <w:numFmt w:val="decimal"/>
      <w:lvlText w:val=""/>
      <w:lvlJc w:val="left"/>
    </w:lvl>
    <w:lvl w:ilvl="2" w:tplc="D488163A">
      <w:numFmt w:val="decimal"/>
      <w:lvlText w:val=""/>
      <w:lvlJc w:val="left"/>
    </w:lvl>
    <w:lvl w:ilvl="3" w:tplc="165639AA">
      <w:numFmt w:val="decimal"/>
      <w:lvlText w:val=""/>
      <w:lvlJc w:val="left"/>
    </w:lvl>
    <w:lvl w:ilvl="4" w:tplc="BD40BF62">
      <w:numFmt w:val="decimal"/>
      <w:lvlText w:val=""/>
      <w:lvlJc w:val="left"/>
    </w:lvl>
    <w:lvl w:ilvl="5" w:tplc="86C24258">
      <w:numFmt w:val="decimal"/>
      <w:lvlText w:val=""/>
      <w:lvlJc w:val="left"/>
    </w:lvl>
    <w:lvl w:ilvl="6" w:tplc="9F8EBBF8">
      <w:numFmt w:val="decimal"/>
      <w:lvlText w:val=""/>
      <w:lvlJc w:val="left"/>
    </w:lvl>
    <w:lvl w:ilvl="7" w:tplc="CDE447C2">
      <w:numFmt w:val="decimal"/>
      <w:lvlText w:val=""/>
      <w:lvlJc w:val="left"/>
    </w:lvl>
    <w:lvl w:ilvl="8" w:tplc="47726572">
      <w:numFmt w:val="decimal"/>
      <w:lvlText w:val=""/>
      <w:lvlJc w:val="left"/>
    </w:lvl>
  </w:abstractNum>
  <w:abstractNum w:abstractNumId="1" w15:restartNumberingAfterBreak="0">
    <w:nsid w:val="7EDF7EB3"/>
    <w:multiLevelType w:val="hybridMultilevel"/>
    <w:tmpl w:val="CD6AE880"/>
    <w:lvl w:ilvl="0" w:tplc="FBDA9B28">
      <w:start w:val="1"/>
      <w:numFmt w:val="bullet"/>
      <w:lvlText w:val="●"/>
      <w:lvlJc w:val="left"/>
      <w:pPr>
        <w:ind w:left="720" w:hanging="360"/>
      </w:pPr>
    </w:lvl>
    <w:lvl w:ilvl="1" w:tplc="D95E7526">
      <w:start w:val="1"/>
      <w:numFmt w:val="bullet"/>
      <w:lvlText w:val="○"/>
      <w:lvlJc w:val="left"/>
      <w:pPr>
        <w:ind w:left="1440" w:hanging="360"/>
      </w:pPr>
    </w:lvl>
    <w:lvl w:ilvl="2" w:tplc="D486A368">
      <w:start w:val="1"/>
      <w:numFmt w:val="bullet"/>
      <w:lvlText w:val="■"/>
      <w:lvlJc w:val="left"/>
      <w:pPr>
        <w:ind w:left="2160" w:hanging="360"/>
      </w:pPr>
    </w:lvl>
    <w:lvl w:ilvl="3" w:tplc="7F706B06">
      <w:start w:val="1"/>
      <w:numFmt w:val="bullet"/>
      <w:lvlText w:val="●"/>
      <w:lvlJc w:val="left"/>
      <w:pPr>
        <w:ind w:left="2880" w:hanging="360"/>
      </w:pPr>
    </w:lvl>
    <w:lvl w:ilvl="4" w:tplc="2ED63EE6">
      <w:start w:val="1"/>
      <w:numFmt w:val="bullet"/>
      <w:lvlText w:val="○"/>
      <w:lvlJc w:val="left"/>
      <w:pPr>
        <w:ind w:left="3600" w:hanging="360"/>
      </w:pPr>
    </w:lvl>
    <w:lvl w:ilvl="5" w:tplc="4B288E30">
      <w:start w:val="1"/>
      <w:numFmt w:val="bullet"/>
      <w:lvlText w:val="■"/>
      <w:lvlJc w:val="left"/>
      <w:pPr>
        <w:ind w:left="4320" w:hanging="360"/>
      </w:pPr>
    </w:lvl>
    <w:lvl w:ilvl="6" w:tplc="481242BE">
      <w:start w:val="1"/>
      <w:numFmt w:val="bullet"/>
      <w:lvlText w:val="●"/>
      <w:lvlJc w:val="left"/>
      <w:pPr>
        <w:ind w:left="5040" w:hanging="360"/>
      </w:pPr>
    </w:lvl>
    <w:lvl w:ilvl="7" w:tplc="F51A7A30">
      <w:start w:val="1"/>
      <w:numFmt w:val="bullet"/>
      <w:lvlText w:val="●"/>
      <w:lvlJc w:val="left"/>
      <w:pPr>
        <w:ind w:left="5760" w:hanging="360"/>
      </w:pPr>
    </w:lvl>
    <w:lvl w:ilvl="8" w:tplc="28EC2B5C">
      <w:start w:val="1"/>
      <w:numFmt w:val="bullet"/>
      <w:lvlText w:val="●"/>
      <w:lvlJc w:val="left"/>
      <w:pPr>
        <w:ind w:left="6480" w:hanging="360"/>
      </w:pPr>
    </w:lvl>
  </w:abstractNum>
  <w:num w:numId="1" w16cid:durableId="1366560512">
    <w:abstractNumId w:val="1"/>
    <w:lvlOverride w:ilvl="0">
      <w:startOverride w:val="1"/>
    </w:lvlOverride>
  </w:num>
  <w:num w:numId="2" w16cid:durableId="292685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131"/>
    <w:rsid w:val="00084636"/>
    <w:rsid w:val="00402166"/>
    <w:rsid w:val="005A4B57"/>
    <w:rsid w:val="00857BA5"/>
    <w:rsid w:val="00D0059C"/>
    <w:rsid w:val="00EC5935"/>
    <w:rsid w:val="00F05131"/>
    <w:rsid w:val="00F27CDC"/>
    <w:rsid w:val="00F7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01422"/>
  <w15:docId w15:val="{6109552E-DEC3-C842-BC08-49B46A70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7C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CDC"/>
  </w:style>
  <w:style w:type="paragraph" w:styleId="Footer">
    <w:name w:val="footer"/>
    <w:basedOn w:val="Normal"/>
    <w:link w:val="FooterChar"/>
    <w:uiPriority w:val="99"/>
    <w:unhideWhenUsed/>
    <w:rsid w:val="00F27C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2558</Words>
  <Characters>14586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Ehab Mohamed</cp:lastModifiedBy>
  <cp:revision>3</cp:revision>
  <dcterms:created xsi:type="dcterms:W3CDTF">2025-12-11T13:17:00Z</dcterms:created>
  <dcterms:modified xsi:type="dcterms:W3CDTF">2025-12-11T14:40:00Z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7c60a640,7448b7f,55d9cc74</vt:lpwstr>
  </property>
  <property fmtid="{D5CDD505-2E9C-101B-9397-08002B2CF9AE}" pid="3" name="ClassificationContentMarkingFooterFontProps">
    <vt:lpwstr>#45bf50,10,Calibri</vt:lpwstr>
  </property>
  <property fmtid="{D5CDD505-2E9C-101B-9397-08002B2CF9AE}" pid="4" name="ClassificationContentMarkingFooterText">
    <vt:lpwstr>OPEN | مفتوحة </vt:lpwstr>
  </property>
  <property fmtid="{D5CDD505-2E9C-101B-9397-08002B2CF9AE}" pid="5" name="MSIP_Label_81c27b0d-d15d-47ac-9dd4-a321583f4439_Enabled">
    <vt:lpwstr>true</vt:lpwstr>
  </property>
  <property fmtid="{D5CDD505-2E9C-101B-9397-08002B2CF9AE}" pid="6" name="MSIP_Label_81c27b0d-d15d-47ac-9dd4-a321583f4439_SetDate">
    <vt:lpwstr>2025-12-11T14:40:39Z</vt:lpwstr>
  </property>
  <property fmtid="{D5CDD505-2E9C-101B-9397-08002B2CF9AE}" pid="7" name="MSIP_Label_81c27b0d-d15d-47ac-9dd4-a321583f4439_Method">
    <vt:lpwstr>Privileged</vt:lpwstr>
  </property>
  <property fmtid="{D5CDD505-2E9C-101B-9397-08002B2CF9AE}" pid="8" name="MSIP_Label_81c27b0d-d15d-47ac-9dd4-a321583f4439_Name">
    <vt:lpwstr>Open</vt:lpwstr>
  </property>
  <property fmtid="{D5CDD505-2E9C-101B-9397-08002B2CF9AE}" pid="9" name="MSIP_Label_81c27b0d-d15d-47ac-9dd4-a321583f4439_SiteId">
    <vt:lpwstr>0cefd05a-5b38-4ce7-96bb-c31e6e251d18</vt:lpwstr>
  </property>
  <property fmtid="{D5CDD505-2E9C-101B-9397-08002B2CF9AE}" pid="10" name="MSIP_Label_81c27b0d-d15d-47ac-9dd4-a321583f4439_ActionId">
    <vt:lpwstr>48c1458c-ef20-4728-a14a-01de293e0d4f</vt:lpwstr>
  </property>
  <property fmtid="{D5CDD505-2E9C-101B-9397-08002B2CF9AE}" pid="11" name="MSIP_Label_81c27b0d-d15d-47ac-9dd4-a321583f4439_ContentBits">
    <vt:lpwstr>2</vt:lpwstr>
  </property>
  <property fmtid="{D5CDD505-2E9C-101B-9397-08002B2CF9AE}" pid="12" name="MSIP_Label_81c27b0d-d15d-47ac-9dd4-a321583f4439_Tag">
    <vt:lpwstr>50, 0, 1, 1</vt:lpwstr>
  </property>
</Properties>
</file>