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C8" w:rsidRPr="00B618C8" w:rsidRDefault="00B618C8" w:rsidP="00B61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8C8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Решить кейс: собрать оптимальную конфигурацию на рынке для </w:t>
      </w:r>
      <w:proofErr w:type="spellStart"/>
      <w:r w:rsidRPr="00B618C8">
        <w:rPr>
          <w:rFonts w:ascii="Arial" w:eastAsia="Times New Roman" w:hAnsi="Arial" w:cs="Arial"/>
          <w:b/>
          <w:bCs/>
          <w:color w:val="000000"/>
          <w:lang w:eastAsia="ru-RU"/>
        </w:rPr>
        <w:t>Front-end</w:t>
      </w:r>
      <w:proofErr w:type="spellEnd"/>
      <w:r w:rsidRPr="00B618C8">
        <w:rPr>
          <w:rFonts w:ascii="Arial" w:eastAsia="Times New Roman" w:hAnsi="Arial" w:cs="Arial"/>
          <w:b/>
          <w:bCs/>
          <w:color w:val="000000"/>
          <w:lang w:eastAsia="ru-RU"/>
        </w:rPr>
        <w:t xml:space="preserve"> разработчика</w:t>
      </w:r>
    </w:p>
    <w:p w:rsidR="00B618C8" w:rsidRPr="00B618C8" w:rsidRDefault="00B618C8" w:rsidP="00B61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8C8" w:rsidRPr="00B618C8" w:rsidRDefault="00B618C8" w:rsidP="00B61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8C8">
        <w:rPr>
          <w:rFonts w:ascii="Arial" w:eastAsia="Times New Roman" w:hAnsi="Arial" w:cs="Arial"/>
          <w:color w:val="000000"/>
          <w:lang w:eastAsia="ru-RU"/>
        </w:rPr>
        <w:t xml:space="preserve">Для работы </w:t>
      </w:r>
      <w:proofErr w:type="spellStart"/>
      <w:r w:rsidRPr="00B618C8">
        <w:rPr>
          <w:rFonts w:ascii="Arial" w:eastAsia="Times New Roman" w:hAnsi="Arial" w:cs="Arial"/>
          <w:color w:val="000000"/>
          <w:lang w:eastAsia="ru-RU"/>
        </w:rPr>
        <w:t>Front-end</w:t>
      </w:r>
      <w:proofErr w:type="spellEnd"/>
      <w:r w:rsidRPr="00B618C8">
        <w:rPr>
          <w:rFonts w:ascii="Arial" w:eastAsia="Times New Roman" w:hAnsi="Arial" w:cs="Arial"/>
          <w:color w:val="000000"/>
          <w:lang w:eastAsia="ru-RU"/>
        </w:rPr>
        <w:t xml:space="preserve"> разработчика, обычно нужен 1 24” (минимум </w:t>
      </w:r>
      <w:proofErr w:type="spellStart"/>
      <w:r w:rsidRPr="00B618C8">
        <w:rPr>
          <w:rFonts w:ascii="Arial" w:eastAsia="Times New Roman" w:hAnsi="Arial" w:cs="Arial"/>
          <w:color w:val="000000"/>
          <w:lang w:eastAsia="ru-RU"/>
        </w:rPr>
        <w:t>FullHD</w:t>
      </w:r>
      <w:proofErr w:type="spellEnd"/>
      <w:r w:rsidRPr="00B618C8">
        <w:rPr>
          <w:rFonts w:ascii="Arial" w:eastAsia="Times New Roman" w:hAnsi="Arial" w:cs="Arial"/>
          <w:color w:val="000000"/>
          <w:lang w:eastAsia="ru-RU"/>
        </w:rPr>
        <w:t>) монитор,  не менее 16GB RAM,  SSD диск и гарнитура с микрофоном, для проведения совещаний.</w:t>
      </w:r>
    </w:p>
    <w:p w:rsidR="00B618C8" w:rsidRPr="00B618C8" w:rsidRDefault="00B618C8" w:rsidP="00B61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18C8">
        <w:rPr>
          <w:rFonts w:ascii="Arial" w:eastAsia="Times New Roman" w:hAnsi="Arial" w:cs="Arial"/>
          <w:color w:val="000000"/>
          <w:lang w:eastAsia="ru-RU"/>
        </w:rPr>
        <w:t>Бюджет: 45000₽</w:t>
      </w:r>
    </w:p>
    <w:p w:rsidR="00465E6E" w:rsidRDefault="00465E6E"/>
    <w:p w:rsidR="00B618C8" w:rsidRPr="00465E6E" w:rsidRDefault="00465E6E" w:rsidP="00B618C8">
      <w:pPr>
        <w:rPr>
          <w:sz w:val="28"/>
          <w:szCs w:val="28"/>
        </w:rPr>
      </w:pPr>
      <w:r w:rsidRPr="00465E6E">
        <w:rPr>
          <w:sz w:val="28"/>
          <w:szCs w:val="28"/>
        </w:rPr>
        <w:t xml:space="preserve">                                                    </w:t>
      </w:r>
      <w:r w:rsidR="00B618C8" w:rsidRPr="00465E6E">
        <w:rPr>
          <w:sz w:val="28"/>
          <w:szCs w:val="28"/>
        </w:rPr>
        <w:t>Системный блок в сборе: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79"/>
        <w:gridCol w:w="1034"/>
        <w:gridCol w:w="1383"/>
      </w:tblGrid>
      <w:tr w:rsidR="00B618C8" w:rsidTr="00B618C8">
        <w:tc>
          <w:tcPr>
            <w:tcW w:w="675" w:type="dxa"/>
          </w:tcPr>
          <w:p w:rsidR="00B618C8" w:rsidRPr="00B618C8" w:rsidRDefault="00B618C8" w:rsidP="00B618C8">
            <w:pPr>
              <w:jc w:val="center"/>
              <w:rPr>
                <w:b/>
              </w:rPr>
            </w:pPr>
            <w:r w:rsidRPr="00B618C8">
              <w:rPr>
                <w:b/>
              </w:rPr>
              <w:t xml:space="preserve">№ </w:t>
            </w:r>
            <w:proofErr w:type="gramStart"/>
            <w:r w:rsidRPr="00B618C8">
              <w:rPr>
                <w:b/>
              </w:rPr>
              <w:t>п</w:t>
            </w:r>
            <w:proofErr w:type="gramEnd"/>
            <w:r w:rsidRPr="00B618C8">
              <w:rPr>
                <w:b/>
              </w:rPr>
              <w:t>/п</w:t>
            </w:r>
          </w:p>
        </w:tc>
        <w:tc>
          <w:tcPr>
            <w:tcW w:w="6479" w:type="dxa"/>
          </w:tcPr>
          <w:p w:rsidR="00B618C8" w:rsidRPr="00B618C8" w:rsidRDefault="00B618C8" w:rsidP="00B618C8">
            <w:pPr>
              <w:jc w:val="center"/>
              <w:rPr>
                <w:b/>
              </w:rPr>
            </w:pPr>
            <w:r w:rsidRPr="00B618C8">
              <w:rPr>
                <w:b/>
              </w:rPr>
              <w:t>Наименование товара</w:t>
            </w:r>
          </w:p>
        </w:tc>
        <w:tc>
          <w:tcPr>
            <w:tcW w:w="1034" w:type="dxa"/>
          </w:tcPr>
          <w:p w:rsidR="00B618C8" w:rsidRPr="00B618C8" w:rsidRDefault="00B618C8" w:rsidP="00B618C8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1383" w:type="dxa"/>
          </w:tcPr>
          <w:p w:rsidR="00B618C8" w:rsidRPr="00B618C8" w:rsidRDefault="00B618C8" w:rsidP="00B618C8">
            <w:pPr>
              <w:jc w:val="center"/>
              <w:rPr>
                <w:b/>
              </w:rPr>
            </w:pPr>
            <w:r w:rsidRPr="00B618C8">
              <w:rPr>
                <w:b/>
              </w:rPr>
              <w:t>цена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</w:p>
        </w:tc>
        <w:tc>
          <w:tcPr>
            <w:tcW w:w="6479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6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Процессор AMD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Ryzen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3 2200G OEM</w:t>
              </w:r>
            </w:hyperlink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 xml:space="preserve">  </w:t>
            </w:r>
          </w:p>
        </w:tc>
        <w:tc>
          <w:tcPr>
            <w:tcW w:w="1034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8.199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2.</w:t>
            </w:r>
          </w:p>
        </w:tc>
        <w:tc>
          <w:tcPr>
            <w:tcW w:w="6479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7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Материнская плата GIGABYTE GA-A320M-S2H V2</w:t>
              </w:r>
            </w:hyperlink>
          </w:p>
        </w:tc>
        <w:tc>
          <w:tcPr>
            <w:tcW w:w="1034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4599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3.</w:t>
            </w:r>
          </w:p>
        </w:tc>
        <w:tc>
          <w:tcPr>
            <w:tcW w:w="6479" w:type="dxa"/>
          </w:tcPr>
          <w:p w:rsidR="00B618C8" w:rsidRPr="00AB2D16" w:rsidRDefault="00AB2D16" w:rsidP="00465E6E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hyperlink r:id="rId8" w:history="1">
              <w:r w:rsidRPr="00AB2D16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Корпус </w:t>
              </w:r>
              <w:proofErr w:type="spellStart"/>
              <w:r w:rsidRPr="00AB2D16">
                <w:rPr>
                  <w:rFonts w:ascii="Arial" w:eastAsia="Times New Roman" w:hAnsi="Arial" w:cs="Arial"/>
                  <w:color w:val="000000"/>
                  <w:lang w:eastAsia="ru-RU"/>
                </w:rPr>
                <w:t>AeroCool</w:t>
              </w:r>
              <w:proofErr w:type="spellEnd"/>
              <w:r w:rsidRPr="00AB2D16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CS-1101 черный</w:t>
              </w:r>
            </w:hyperlink>
          </w:p>
        </w:tc>
        <w:tc>
          <w:tcPr>
            <w:tcW w:w="1034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AB2D1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="00AB2D1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00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4.</w:t>
            </w:r>
          </w:p>
        </w:tc>
        <w:tc>
          <w:tcPr>
            <w:tcW w:w="6479" w:type="dxa"/>
          </w:tcPr>
          <w:p w:rsidR="00B618C8" w:rsidRPr="00465E6E" w:rsidRDefault="00B618C8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9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Оперативная память Kingston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ValueRAM</w:t>
              </w:r>
              <w:proofErr w:type="spellEnd"/>
            </w:hyperlink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 xml:space="preserve"> 16 Гб</w:t>
            </w:r>
          </w:p>
        </w:tc>
        <w:tc>
          <w:tcPr>
            <w:tcW w:w="1034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6099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5.</w:t>
            </w:r>
          </w:p>
        </w:tc>
        <w:tc>
          <w:tcPr>
            <w:tcW w:w="6479" w:type="dxa"/>
          </w:tcPr>
          <w:p w:rsidR="00B618C8" w:rsidRPr="00B618C8" w:rsidRDefault="00B618C8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0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Кулер для процессора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PCCooler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GI-X3B V2</w:t>
              </w:r>
            </w:hyperlink>
          </w:p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1400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6.</w:t>
            </w:r>
          </w:p>
        </w:tc>
        <w:tc>
          <w:tcPr>
            <w:tcW w:w="6479" w:type="dxa"/>
          </w:tcPr>
          <w:p w:rsidR="00B618C8" w:rsidRPr="00B618C8" w:rsidRDefault="00B618C8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1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250 ГБ SSD-накопитель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Seagate</w:t>
              </w:r>
              <w:proofErr w:type="spellEnd"/>
            </w:hyperlink>
          </w:p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4699</w:t>
            </w:r>
          </w:p>
        </w:tc>
      </w:tr>
      <w:tr w:rsidR="00B618C8" w:rsidRPr="00465E6E" w:rsidTr="00B618C8">
        <w:tc>
          <w:tcPr>
            <w:tcW w:w="675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7.</w:t>
            </w:r>
          </w:p>
        </w:tc>
        <w:tc>
          <w:tcPr>
            <w:tcW w:w="6479" w:type="dxa"/>
          </w:tcPr>
          <w:p w:rsidR="00B618C8" w:rsidRPr="00B618C8" w:rsidRDefault="00B618C8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2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Блок питания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Corsair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VS450W [CP-9020170-EU]</w:t>
              </w:r>
            </w:hyperlink>
          </w:p>
          <w:p w:rsidR="00B618C8" w:rsidRPr="00465E6E" w:rsidRDefault="00B618C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B618C8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3999</w:t>
            </w:r>
          </w:p>
        </w:tc>
      </w:tr>
      <w:tr w:rsidR="005A67CD" w:rsidRPr="00465E6E" w:rsidTr="00B618C8">
        <w:tc>
          <w:tcPr>
            <w:tcW w:w="675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8.</w:t>
            </w:r>
          </w:p>
        </w:tc>
        <w:tc>
          <w:tcPr>
            <w:tcW w:w="6479" w:type="dxa"/>
          </w:tcPr>
          <w:p w:rsidR="005A67CD" w:rsidRPr="005A67CD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3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24" Монитор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Samsung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S24D300H</w:t>
              </w:r>
            </w:hyperlink>
          </w:p>
          <w:p w:rsidR="005A67CD" w:rsidRPr="00465E6E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7999</w:t>
            </w:r>
          </w:p>
        </w:tc>
      </w:tr>
      <w:tr w:rsidR="005A67CD" w:rsidRPr="00465E6E" w:rsidTr="00B618C8">
        <w:tc>
          <w:tcPr>
            <w:tcW w:w="675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9.</w:t>
            </w:r>
          </w:p>
        </w:tc>
        <w:tc>
          <w:tcPr>
            <w:tcW w:w="6479" w:type="dxa"/>
          </w:tcPr>
          <w:p w:rsidR="005A67CD" w:rsidRPr="005A67CD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4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Клавиатура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Logitech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K280E</w:t>
              </w:r>
            </w:hyperlink>
          </w:p>
          <w:p w:rsidR="005A67CD" w:rsidRPr="00465E6E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1299</w:t>
            </w:r>
          </w:p>
        </w:tc>
      </w:tr>
      <w:tr w:rsidR="005A67CD" w:rsidRPr="00465E6E" w:rsidTr="005A67CD">
        <w:trPr>
          <w:trHeight w:val="465"/>
        </w:trPr>
        <w:tc>
          <w:tcPr>
            <w:tcW w:w="675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10.</w:t>
            </w:r>
          </w:p>
        </w:tc>
        <w:tc>
          <w:tcPr>
            <w:tcW w:w="6479" w:type="dxa"/>
          </w:tcPr>
          <w:p w:rsidR="005A67CD" w:rsidRPr="005A67CD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5" w:tgtFrame="_blank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Мышь проводная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Logitech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M500  </w:t>
              </w:r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  </w:t>
              </w:r>
            </w:hyperlink>
          </w:p>
          <w:p w:rsidR="005A67CD" w:rsidRPr="00465E6E" w:rsidRDefault="005A67CD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5A67CD" w:rsidRPr="00465E6E" w:rsidRDefault="005A67CD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65E6E">
              <w:rPr>
                <w:rFonts w:ascii="Arial" w:eastAsia="Times New Roman" w:hAnsi="Arial" w:cs="Arial"/>
                <w:color w:val="000000"/>
                <w:lang w:eastAsia="ru-RU"/>
              </w:rPr>
              <w:t>1699</w:t>
            </w:r>
          </w:p>
        </w:tc>
      </w:tr>
      <w:tr w:rsidR="00465E6E" w:rsidRPr="00465E6E" w:rsidTr="005A67CD">
        <w:trPr>
          <w:trHeight w:val="465"/>
        </w:trPr>
        <w:tc>
          <w:tcPr>
            <w:tcW w:w="675" w:type="dxa"/>
          </w:tcPr>
          <w:p w:rsidR="00465E6E" w:rsidRPr="00465E6E" w:rsidRDefault="00465E6E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11.</w:t>
            </w:r>
          </w:p>
        </w:tc>
        <w:tc>
          <w:tcPr>
            <w:tcW w:w="6479" w:type="dxa"/>
          </w:tcPr>
          <w:p w:rsidR="00465E6E" w:rsidRPr="00465E6E" w:rsidRDefault="00465E6E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16" w:history="1"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Проводная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стереогарнитура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</w:t>
              </w:r>
              <w:proofErr w:type="spellStart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Sony</w:t>
              </w:r>
              <w:proofErr w:type="spellEnd"/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 xml:space="preserve"> </w:t>
              </w:r>
              <w:r w:rsidRPr="00465E6E">
                <w:rPr>
                  <w:rFonts w:ascii="Arial" w:eastAsia="Times New Roman" w:hAnsi="Arial" w:cs="Arial"/>
                  <w:color w:val="000000"/>
                  <w:lang w:eastAsia="ru-RU"/>
                </w:rPr>
                <w:t>MDR-XB550AP черный</w:t>
              </w:r>
            </w:hyperlink>
          </w:p>
          <w:p w:rsidR="00465E6E" w:rsidRPr="005A67CD" w:rsidRDefault="00465E6E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465E6E" w:rsidRPr="00465E6E" w:rsidRDefault="00465E6E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383" w:type="dxa"/>
          </w:tcPr>
          <w:p w:rsidR="00465E6E" w:rsidRPr="00465E6E" w:rsidRDefault="00CE6C44" w:rsidP="00AB2D1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  <w:r w:rsidR="00AB2D16">
              <w:rPr>
                <w:rFonts w:ascii="Arial" w:eastAsia="Times New Roman" w:hAnsi="Arial" w:cs="Arial"/>
                <w:color w:val="000000"/>
                <w:lang w:eastAsia="ru-RU"/>
              </w:rPr>
              <w:t>99</w:t>
            </w:r>
          </w:p>
        </w:tc>
      </w:tr>
      <w:tr w:rsidR="00754F28" w:rsidRPr="00465E6E" w:rsidTr="005A67CD">
        <w:trPr>
          <w:trHeight w:val="465"/>
        </w:trPr>
        <w:tc>
          <w:tcPr>
            <w:tcW w:w="675" w:type="dxa"/>
          </w:tcPr>
          <w:p w:rsidR="00754F28" w:rsidRDefault="00754F2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479" w:type="dxa"/>
          </w:tcPr>
          <w:p w:rsidR="00754F28" w:rsidRPr="00465E6E" w:rsidRDefault="00754F28" w:rsidP="00465E6E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034" w:type="dxa"/>
          </w:tcPr>
          <w:p w:rsidR="00754F28" w:rsidRDefault="00754F28" w:rsidP="00B618C8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Общая сумма</w:t>
            </w:r>
          </w:p>
        </w:tc>
        <w:tc>
          <w:tcPr>
            <w:tcW w:w="1383" w:type="dxa"/>
          </w:tcPr>
          <w:p w:rsidR="00754F28" w:rsidRPr="00AB2D16" w:rsidRDefault="00AB2D16" w:rsidP="00B618C8">
            <w:pPr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ru-RU"/>
              </w:rPr>
              <w:t>44691</w:t>
            </w:r>
          </w:p>
        </w:tc>
      </w:tr>
    </w:tbl>
    <w:p w:rsidR="00B618C8" w:rsidRPr="00465E6E" w:rsidRDefault="00B618C8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465E6E" w:rsidRDefault="00465E6E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</w:t>
      </w:r>
    </w:p>
    <w:p w:rsidR="00465E6E" w:rsidRDefault="00465E6E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54F28" w:rsidRDefault="00465E6E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65E6E">
        <w:rPr>
          <w:rFonts w:ascii="Arial" w:eastAsia="Times New Roman" w:hAnsi="Arial" w:cs="Arial"/>
          <w:b/>
          <w:color w:val="000000"/>
          <w:lang w:eastAsia="ru-RU"/>
        </w:rPr>
        <w:t>Обоснование: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 xml:space="preserve">Исходя из задания данного кейса, системный блок предназначен для работы специалиста </w:t>
      </w:r>
      <w:r>
        <w:rPr>
          <w:rFonts w:ascii="Arial" w:eastAsia="Times New Roman" w:hAnsi="Arial" w:cs="Arial"/>
          <w:color w:val="000000"/>
          <w:lang w:val="en-US" w:eastAsia="ru-RU"/>
        </w:rPr>
        <w:t>Front</w:t>
      </w:r>
      <w:r w:rsidRPr="00465E6E">
        <w:rPr>
          <w:rFonts w:ascii="Arial" w:eastAsia="Times New Roman" w:hAnsi="Arial" w:cs="Arial"/>
          <w:color w:val="000000"/>
          <w:lang w:eastAsia="ru-RU"/>
        </w:rPr>
        <w:t>-</w:t>
      </w:r>
      <w:r w:rsidR="00754F28">
        <w:rPr>
          <w:rFonts w:ascii="Arial" w:eastAsia="Times New Roman" w:hAnsi="Arial" w:cs="Arial"/>
          <w:color w:val="000000"/>
          <w:lang w:val="en-US" w:eastAsia="ru-RU"/>
        </w:rPr>
        <w:t>end</w:t>
      </w:r>
      <w:r w:rsidR="00754F28" w:rsidRPr="00754F2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54F28">
        <w:rPr>
          <w:rFonts w:ascii="Arial" w:eastAsia="Times New Roman" w:hAnsi="Arial" w:cs="Arial"/>
          <w:color w:val="000000"/>
          <w:lang w:eastAsia="ru-RU"/>
        </w:rPr>
        <w:t xml:space="preserve">разработчика, следовательно, одним из главных показателей ПК, будет его функциональность, а именно: в сборке используется процессор </w:t>
      </w:r>
      <w:r w:rsidR="00754F28">
        <w:rPr>
          <w:rFonts w:ascii="Arial" w:eastAsia="Times New Roman" w:hAnsi="Arial" w:cs="Arial"/>
          <w:color w:val="000000"/>
          <w:lang w:val="en-US" w:eastAsia="ru-RU"/>
        </w:rPr>
        <w:t>AMD</w:t>
      </w:r>
      <w:r w:rsidR="00754F28" w:rsidRPr="00754F2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54F28">
        <w:rPr>
          <w:rFonts w:ascii="Arial" w:eastAsia="Times New Roman" w:hAnsi="Arial" w:cs="Arial"/>
          <w:color w:val="000000"/>
          <w:lang w:val="en-US" w:eastAsia="ru-RU"/>
        </w:rPr>
        <w:t>Ryzen</w:t>
      </w:r>
      <w:proofErr w:type="spellEnd"/>
      <w:r w:rsidR="00754F28" w:rsidRPr="00754F28">
        <w:rPr>
          <w:rFonts w:ascii="Arial" w:eastAsia="Times New Roman" w:hAnsi="Arial" w:cs="Arial"/>
          <w:color w:val="000000"/>
          <w:lang w:eastAsia="ru-RU"/>
        </w:rPr>
        <w:t xml:space="preserve"> 3 2200 </w:t>
      </w:r>
      <w:r w:rsidR="00754F28">
        <w:rPr>
          <w:rFonts w:ascii="Arial" w:eastAsia="Times New Roman" w:hAnsi="Arial" w:cs="Arial"/>
          <w:color w:val="000000"/>
          <w:lang w:val="en-US" w:eastAsia="ru-RU"/>
        </w:rPr>
        <w:t>G</w:t>
      </w:r>
      <w:r w:rsidR="00754F28">
        <w:rPr>
          <w:rFonts w:ascii="Arial" w:eastAsia="Times New Roman" w:hAnsi="Arial" w:cs="Arial"/>
          <w:color w:val="000000"/>
          <w:lang w:eastAsia="ru-RU"/>
        </w:rPr>
        <w:t xml:space="preserve">, имеющий 4 ядра с частотой 3500 МГц, </w:t>
      </w:r>
      <w:r w:rsidR="000B21E6" w:rsidRPr="000B21E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54F28">
        <w:rPr>
          <w:rFonts w:ascii="Arial" w:eastAsia="Times New Roman" w:hAnsi="Arial" w:cs="Arial"/>
          <w:color w:val="000000"/>
          <w:lang w:eastAsia="ru-RU"/>
        </w:rPr>
        <w:t xml:space="preserve">а также </w:t>
      </w:r>
      <w:r w:rsidR="00754F28" w:rsidRPr="000B21E6">
        <w:rPr>
          <w:rFonts w:ascii="Arial" w:eastAsia="Times New Roman" w:hAnsi="Arial" w:cs="Arial"/>
          <w:color w:val="000000"/>
          <w:lang w:eastAsia="ru-RU"/>
        </w:rPr>
        <w:t xml:space="preserve">имеет интегрированное графическое ядро </w:t>
      </w:r>
      <w:proofErr w:type="spellStart"/>
      <w:r w:rsidR="00754F28" w:rsidRPr="000B21E6">
        <w:rPr>
          <w:rFonts w:ascii="Arial" w:eastAsia="Times New Roman" w:hAnsi="Arial" w:cs="Arial"/>
          <w:color w:val="000000"/>
          <w:lang w:eastAsia="ru-RU"/>
        </w:rPr>
        <w:t>Radeon</w:t>
      </w:r>
      <w:proofErr w:type="spellEnd"/>
      <w:r w:rsidR="00754F28" w:rsidRPr="000B21E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54F28" w:rsidRPr="000B21E6">
        <w:rPr>
          <w:rFonts w:ascii="Arial" w:eastAsia="Times New Roman" w:hAnsi="Arial" w:cs="Arial"/>
          <w:color w:val="000000"/>
          <w:lang w:eastAsia="ru-RU"/>
        </w:rPr>
        <w:t>Vega</w:t>
      </w:r>
      <w:proofErr w:type="spellEnd"/>
      <w:r w:rsidR="00754F28" w:rsidRPr="000B21E6">
        <w:rPr>
          <w:rFonts w:ascii="Arial" w:eastAsia="Times New Roman" w:hAnsi="Arial" w:cs="Arial"/>
          <w:color w:val="000000"/>
          <w:lang w:eastAsia="ru-RU"/>
        </w:rPr>
        <w:t xml:space="preserve"> 8</w:t>
      </w:r>
      <w:r w:rsidR="000B21E6">
        <w:rPr>
          <w:rFonts w:ascii="Arial" w:eastAsia="Times New Roman" w:hAnsi="Arial" w:cs="Arial"/>
          <w:color w:val="000000"/>
          <w:lang w:eastAsia="ru-RU"/>
        </w:rPr>
        <w:t>, что дает нам возможность использовать данную сборку без отдельного графического адаптера</w:t>
      </w:r>
      <w:proofErr w:type="gramEnd"/>
      <w:r w:rsidR="000B21E6">
        <w:rPr>
          <w:rFonts w:ascii="Arial" w:eastAsia="Times New Roman" w:hAnsi="Arial" w:cs="Arial"/>
          <w:color w:val="000000"/>
          <w:lang w:eastAsia="ru-RU"/>
        </w:rPr>
        <w:t>, тем самым мы имеем пониженное энергопотребление, что повышает наш КПД, экономим финансовые средства</w:t>
      </w:r>
      <w:r w:rsidR="002E51C6">
        <w:rPr>
          <w:rFonts w:ascii="Arial" w:eastAsia="Times New Roman" w:hAnsi="Arial" w:cs="Arial"/>
          <w:color w:val="000000"/>
          <w:lang w:eastAsia="ru-RU"/>
        </w:rPr>
        <w:t xml:space="preserve"> на закупку блока питания и графического адаптера</w:t>
      </w:r>
      <w:r w:rsidR="000B21E6">
        <w:rPr>
          <w:rFonts w:ascii="Arial" w:eastAsia="Times New Roman" w:hAnsi="Arial" w:cs="Arial"/>
          <w:color w:val="000000"/>
          <w:lang w:eastAsia="ru-RU"/>
        </w:rPr>
        <w:t xml:space="preserve">, но при этом имеем функциональное устройство, способное полностью удовлетворить поставленные перед  </w:t>
      </w:r>
      <w:r w:rsidR="000B21E6">
        <w:rPr>
          <w:rFonts w:ascii="Arial" w:eastAsia="Times New Roman" w:hAnsi="Arial" w:cs="Arial"/>
          <w:color w:val="000000"/>
          <w:lang w:val="en-US" w:eastAsia="ru-RU"/>
        </w:rPr>
        <w:t>Front</w:t>
      </w:r>
      <w:r w:rsidR="000B21E6" w:rsidRPr="00465E6E">
        <w:rPr>
          <w:rFonts w:ascii="Arial" w:eastAsia="Times New Roman" w:hAnsi="Arial" w:cs="Arial"/>
          <w:color w:val="000000"/>
          <w:lang w:eastAsia="ru-RU"/>
        </w:rPr>
        <w:t>-</w:t>
      </w:r>
      <w:r w:rsidR="000B21E6">
        <w:rPr>
          <w:rFonts w:ascii="Arial" w:eastAsia="Times New Roman" w:hAnsi="Arial" w:cs="Arial"/>
          <w:color w:val="000000"/>
          <w:lang w:val="en-US" w:eastAsia="ru-RU"/>
        </w:rPr>
        <w:t>end</w:t>
      </w:r>
      <w:r w:rsidR="000B21E6">
        <w:rPr>
          <w:rFonts w:ascii="Arial" w:eastAsia="Times New Roman" w:hAnsi="Arial" w:cs="Arial"/>
          <w:color w:val="000000"/>
          <w:lang w:eastAsia="ru-RU"/>
        </w:rPr>
        <w:t xml:space="preserve"> разработчиком задачи. </w:t>
      </w:r>
      <w:r w:rsidR="002E51C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AB2D16" w:rsidRPr="000B21E6" w:rsidRDefault="00AB2D16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Каждая позиция имеет ссылку на </w:t>
      </w:r>
      <w:r w:rsidR="00B25884">
        <w:rPr>
          <w:rFonts w:ascii="Arial" w:eastAsia="Times New Roman" w:hAnsi="Arial" w:cs="Arial"/>
          <w:color w:val="000000"/>
          <w:lang w:eastAsia="ru-RU"/>
        </w:rPr>
        <w:t>приобретаемый товар.</w:t>
      </w:r>
      <w:bookmarkStart w:id="0" w:name="_GoBack"/>
      <w:bookmarkEnd w:id="0"/>
    </w:p>
    <w:p w:rsidR="00465E6E" w:rsidRDefault="00465E6E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465E6E" w:rsidRPr="00465E6E" w:rsidRDefault="00465E6E" w:rsidP="00465E6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ectPr w:rsidR="00465E6E" w:rsidRPr="0046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B77"/>
    <w:multiLevelType w:val="hybridMultilevel"/>
    <w:tmpl w:val="7EA61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71AF"/>
    <w:multiLevelType w:val="hybridMultilevel"/>
    <w:tmpl w:val="457AC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C2E97"/>
    <w:multiLevelType w:val="hybridMultilevel"/>
    <w:tmpl w:val="E5A81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C8"/>
    <w:rsid w:val="000B21E6"/>
    <w:rsid w:val="002E51C6"/>
    <w:rsid w:val="00465E6E"/>
    <w:rsid w:val="005A67CD"/>
    <w:rsid w:val="00694726"/>
    <w:rsid w:val="00754F28"/>
    <w:rsid w:val="00AB2D16"/>
    <w:rsid w:val="00B25884"/>
    <w:rsid w:val="00B618C8"/>
    <w:rsid w:val="00CE6C44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18C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618C8"/>
    <w:rPr>
      <w:color w:val="0000FF"/>
      <w:u w:val="single"/>
    </w:rPr>
  </w:style>
  <w:style w:type="character" w:customStyle="1" w:styleId="product-code">
    <w:name w:val="product-code"/>
    <w:basedOn w:val="a0"/>
    <w:rsid w:val="00B618C8"/>
  </w:style>
  <w:style w:type="table" w:styleId="a6">
    <w:name w:val="Table Grid"/>
    <w:basedOn w:val="a1"/>
    <w:uiPriority w:val="59"/>
    <w:rsid w:val="00B61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18C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618C8"/>
    <w:rPr>
      <w:color w:val="0000FF"/>
      <w:u w:val="single"/>
    </w:rPr>
  </w:style>
  <w:style w:type="character" w:customStyle="1" w:styleId="product-code">
    <w:name w:val="product-code"/>
    <w:basedOn w:val="a0"/>
    <w:rsid w:val="00B618C8"/>
  </w:style>
  <w:style w:type="table" w:styleId="a6">
    <w:name w:val="Table Grid"/>
    <w:basedOn w:val="a1"/>
    <w:uiPriority w:val="59"/>
    <w:rsid w:val="00B61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921">
              <w:marLeft w:val="0"/>
              <w:marRight w:val="15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963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703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688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013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277">
              <w:marLeft w:val="0"/>
              <w:marRight w:val="15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125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074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3313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239">
              <w:marLeft w:val="0"/>
              <w:marRight w:val="15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382">
          <w:marLeft w:val="0"/>
          <w:marRight w:val="15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1b72be11e0243330/korpus-aerocool-cs-1101--cernyj/" TargetMode="External"/><Relationship Id="rId13" Type="http://schemas.openxmlformats.org/officeDocument/2006/relationships/hyperlink" Target="https://www.dns-shop.ru/product/8bb0c208e55b3120/24-monitor-samsung-s24d300h-ls24d300hsiru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ns-shop.ru/product/8e53aec7fc503332/materinskaa-plata-gigabyte-ga-a320m-s2h-v2/" TargetMode="External"/><Relationship Id="rId12" Type="http://schemas.openxmlformats.org/officeDocument/2006/relationships/hyperlink" Target="https://www.dns-shop.ru/product/2eef661c882b3332/blok-pitania-corsair-vs450w-cp-9020170-e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ns-shop.ru/product/7565509a1b323330/provodnaa-stereogarnitura-sony-mdr-xb550ap-cernyj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ns-shop.ru/product/5594d18dfbf43330/processor-amd-ryzen-3-2200g-oem/" TargetMode="External"/><Relationship Id="rId11" Type="http://schemas.openxmlformats.org/officeDocument/2006/relationships/hyperlink" Target="https://www.dns-shop.ru/product/88716fd6461f3332/250-gb-ssd-nakopitel-seagate-barracuda-120-za250cm1000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b4f354edeaa93120/mys-provodnaa-logitech-m500-cernyj/" TargetMode="External"/><Relationship Id="rId10" Type="http://schemas.openxmlformats.org/officeDocument/2006/relationships/hyperlink" Target="https://www.dns-shop.ru/product/60c8c6c6c7ef3332/kuler-dla-processora-pccooler-gi-x3b-v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ns-shop.ru/product/1b2e2c88b41f3332/operativnaa-pamat-kingston-valueram-kvr32n22d816-16-gb/" TargetMode="External"/><Relationship Id="rId14" Type="http://schemas.openxmlformats.org/officeDocument/2006/relationships/hyperlink" Target="https://www.dns-shop.ru/product/9140f181caac3120/klaviatura-logitech-k280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79785100864</dc:creator>
  <cp:lastModifiedBy>79785100864</cp:lastModifiedBy>
  <cp:revision>4</cp:revision>
  <dcterms:created xsi:type="dcterms:W3CDTF">2020-10-05T09:31:00Z</dcterms:created>
  <dcterms:modified xsi:type="dcterms:W3CDTF">2020-10-05T10:46:00Z</dcterms:modified>
</cp:coreProperties>
</file>