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Корпоративна база знань регламент</w:t>
      </w:r>
    </w:p>
    <w:p>
      <w:r>
        <w:t>Регламент ведення корпоративної бази знань</w:t>
      </w:r>
    </w:p>
    <w:p>
      <w:r>
        <w:t>База знань містить технічну документацію, інструкції, регламенти та шаблони.</w:t>
      </w:r>
    </w:p>
    <w:p>
      <w:r>
        <w:t>Документи мають мати назву, автора, дату оновлення та короткий опис.</w:t>
      </w:r>
    </w:p>
    <w:p>
      <w:r>
        <w:t>Рекомендовано використовувати пошук за змістом (семантичний пошук), щоб знаходити інформацію навіть без точних ключових слів.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