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Incident Response Runbook</w:t>
      </w:r>
    </w:p>
    <w:p>
      <w:r>
        <w:t>Incident response runbook</w:t>
      </w:r>
    </w:p>
    <w:p>
      <w:r>
        <w:t>Steps for triage: confirm impact, identify scope, assign an incident commander, and start a timeline.</w:t>
      </w:r>
    </w:p>
    <w:p>
      <w:r>
        <w:t>Collect logs, metrics, and traces. Roll back if needed.</w:t>
      </w:r>
    </w:p>
    <w:p>
      <w:r>
        <w:t>Post-incident: write an RCA, define action items, and track them to completion.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