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kampania-hiszpański-start"/>
    <w:p>
      <w:pPr>
        <w:pStyle w:val="Heading1"/>
      </w:pPr>
      <w:r>
        <w:t xml:space="preserve">KAMPANIA „HISZPAŃSKI START”</w:t>
      </w:r>
    </w:p>
    <w:bookmarkStart w:id="9" w:name="X5f6aa17b60e1f031f5adf60c7ed42ee1c4b4220"/>
    <w:p>
      <w:pPr>
        <w:pStyle w:val="Heading2"/>
      </w:pPr>
      <w:r>
        <w:t xml:space="preserve">Hola Bank – dobry początek nowej bankowej relacji</w:t>
      </w:r>
    </w:p>
    <w:p>
      <w:r>
        <w:pict>
          <v:rect style="width:0;height:1.5pt" o:hralign="center" o:hrstd="t" o:hr="t"/>
        </w:pict>
      </w:r>
    </w:p>
    <w:bookmarkEnd w:id="9"/>
    <w:bookmarkStart w:id="10" w:name="idea-kampanii"/>
    <w:p>
      <w:pPr>
        <w:pStyle w:val="Heading2"/>
      </w:pPr>
      <w:r>
        <w:t xml:space="preserve">1. Idea kampanii</w:t>
      </w:r>
    </w:p>
    <w:p>
      <w:pPr>
        <w:pStyle w:val="FirstParagraph"/>
      </w:pPr>
      <w:r>
        <w:rPr>
          <w:b/>
          <w:bCs/>
        </w:rPr>
        <w:t xml:space="preserve">Hiszpański Start</w:t>
      </w:r>
      <w:r>
        <w:t xml:space="preserve"> </w:t>
      </w:r>
      <w:r>
        <w:t xml:space="preserve">to kampania akwizycyjna skierowana do nowych i stosunkowo niedawno pozyskanych klientów na rynku hiszpańskim, którzy znajdują się na początku swojej relacji z bankiem.</w:t>
      </w:r>
    </w:p>
    <w:p>
      <w:pPr>
        <w:pStyle w:val="BodyText"/>
      </w:pPr>
      <w:r>
        <w:t xml:space="preserve">Kampania ma na celu stworzenie</w:t>
      </w:r>
      <w:r>
        <w:t xml:space="preserve"> </w:t>
      </w:r>
      <w:r>
        <w:rPr>
          <w:b/>
          <w:bCs/>
        </w:rPr>
        <w:t xml:space="preserve">prostego, atrakcyjnego i pozbawionego barier wejścia do bankowości</w:t>
      </w:r>
      <w:r>
        <w:t xml:space="preserve">, które zachęci klienta do przeniesienia swojej codziennej bankowości do banku.</w:t>
      </w:r>
    </w:p>
    <w:p>
      <w:pPr>
        <w:pStyle w:val="BodyText"/>
      </w:pPr>
      <w:r>
        <w:t xml:space="preserve">Oferta odpowiada na potrzeby osób w wieku 25–45 lat, które osiągają regularne dochody i są w aktywnym okresie życia zawodowego. Dla tej grupy ważne są przede wszystkim</w:t>
      </w:r>
      <w:r>
        <w:t xml:space="preserve"> </w:t>
      </w:r>
      <w:r>
        <w:rPr>
          <w:b/>
          <w:bCs/>
        </w:rPr>
        <w:t xml:space="preserve">prostota, niskie koszty, wygoda oraz możliwość korzystania z bankowości bez zbędnych opłat</w:t>
      </w:r>
      <w:r>
        <w:t xml:space="preserve">.</w:t>
      </w:r>
    </w:p>
    <w:p>
      <w:pPr>
        <w:pStyle w:val="BodyText"/>
      </w:pPr>
      <w:r>
        <w:t xml:space="preserve">Głównym elementem kampanii jest</w:t>
      </w:r>
      <w:r>
        <w:t xml:space="preserve"> </w:t>
      </w:r>
      <w:r>
        <w:rPr>
          <w:b/>
          <w:bCs/>
        </w:rPr>
        <w:t xml:space="preserve">Welcome Pack „Hola Bank”</w:t>
      </w:r>
      <w:r>
        <w:t xml:space="preserve">, obejmujący zwolnienie z opłat za prowadzenie konta oraz bezpłatne przelewy europejskie przez 24 miesiące dla nowych klientów spełniających warunki oferty, w szczególności regularnie otrzymujących wynagrodzenie na konto.</w:t>
      </w:r>
    </w:p>
    <w:p>
      <w:pPr>
        <w:pStyle w:val="BodyText"/>
      </w:pPr>
      <w:r>
        <w:t xml:space="preserve">Kampania ma nie tylko pozyskać nowego klienta, ale przede wszystkim sprawić, aby</w:t>
      </w:r>
      <w:r>
        <w:t xml:space="preserve"> </w:t>
      </w:r>
      <w:r>
        <w:rPr>
          <w:b/>
          <w:bCs/>
        </w:rPr>
        <w:t xml:space="preserve">pierwsze doświadczenia z bankiem były na tyle pozytywne, że klient zdecyduje się zbudować z nim długoterminową relację</w:t>
      </w:r>
      <w:r>
        <w:t xml:space="preserve">.</w:t>
      </w:r>
    </w:p>
    <w:p>
      <w:pPr>
        <w:pStyle w:val="BodyText"/>
      </w:pPr>
      <w:r>
        <w:t xml:space="preserve">Celem kampanii jest:</w:t>
      </w:r>
    </w:p>
    <w:p>
      <w:pPr>
        <w:pStyle w:val="Compact"/>
        <w:numPr>
          <w:ilvl w:val="0"/>
          <w:numId w:val="1001"/>
        </w:numPr>
      </w:pPr>
      <w:r>
        <w:t xml:space="preserve">zwiększenie liczby nowych klientów na rynku hiszpańskim;</w:t>
      </w:r>
    </w:p>
    <w:p>
      <w:pPr>
        <w:pStyle w:val="Compact"/>
        <w:numPr>
          <w:ilvl w:val="0"/>
          <w:numId w:val="1001"/>
        </w:numPr>
      </w:pPr>
      <w:r>
        <w:t xml:space="preserve">obniżenie bariery wejścia dla nowych użytkowników;</w:t>
      </w:r>
    </w:p>
    <w:p>
      <w:pPr>
        <w:pStyle w:val="Compact"/>
        <w:numPr>
          <w:ilvl w:val="0"/>
          <w:numId w:val="1001"/>
        </w:numPr>
      </w:pPr>
      <w:r>
        <w:t xml:space="preserve">zachęcenie do przeniesienia wynagrodzenia do banku;</w:t>
      </w:r>
    </w:p>
    <w:p>
      <w:pPr>
        <w:pStyle w:val="Compact"/>
        <w:numPr>
          <w:ilvl w:val="0"/>
          <w:numId w:val="1001"/>
        </w:numPr>
      </w:pPr>
      <w:r>
        <w:t xml:space="preserve">budowanie relacji od pierwszych miesięcy;</w:t>
      </w:r>
    </w:p>
    <w:p>
      <w:pPr>
        <w:pStyle w:val="Compact"/>
        <w:numPr>
          <w:ilvl w:val="0"/>
          <w:numId w:val="1001"/>
        </w:numPr>
      </w:pPr>
      <w:r>
        <w:t xml:space="preserve">zwiększenie aktywności nowych klientów;</w:t>
      </w:r>
    </w:p>
    <w:p>
      <w:pPr>
        <w:pStyle w:val="Compact"/>
        <w:numPr>
          <w:ilvl w:val="0"/>
          <w:numId w:val="1001"/>
        </w:numPr>
      </w:pPr>
      <w:r>
        <w:t xml:space="preserve">rozwijanie bazy klientów w Hiszpanii;</w:t>
      </w:r>
    </w:p>
    <w:p>
      <w:pPr>
        <w:pStyle w:val="Compact"/>
        <w:numPr>
          <w:ilvl w:val="0"/>
          <w:numId w:val="1001"/>
        </w:numPr>
      </w:pPr>
      <w:r>
        <w:t xml:space="preserve">zwiększenie wykorzystania rachunku jako podstawowego konta;</w:t>
      </w:r>
    </w:p>
    <w:p>
      <w:pPr>
        <w:pStyle w:val="Compact"/>
        <w:numPr>
          <w:ilvl w:val="0"/>
          <w:numId w:val="1001"/>
        </w:numPr>
      </w:pPr>
      <w:r>
        <w:t xml:space="preserve">stworzenie podstaw do dalszej sprzedaży produktów i usług;</w:t>
      </w:r>
    </w:p>
    <w:p>
      <w:pPr>
        <w:pStyle w:val="Compact"/>
        <w:numPr>
          <w:ilvl w:val="0"/>
          <w:numId w:val="1001"/>
        </w:numPr>
      </w:pPr>
      <w:r>
        <w:t xml:space="preserve">budowanie rozpoznawalności banku na rynku hiszpańskim.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grupa-docelowa"/>
    <w:p>
      <w:pPr>
        <w:pStyle w:val="Heading1"/>
      </w:pPr>
      <w:r>
        <w:t xml:space="preserve">2. Grupa docelowa</w:t>
      </w:r>
    </w:p>
    <w:p>
      <w:pPr>
        <w:pStyle w:val="FirstParagraph"/>
      </w:pPr>
      <w:r>
        <w:t xml:space="preserve">Kampania skierowana jest do</w:t>
      </w:r>
      <w:r>
        <w:t xml:space="preserve"> </w:t>
      </w:r>
      <w:r>
        <w:rPr>
          <w:b/>
          <w:bCs/>
        </w:rPr>
        <w:t xml:space="preserve">osób w wieku 25–45 lat mieszkających w Hiszpanii</w:t>
      </w:r>
      <w:r>
        <w:t xml:space="preserve">, znajdujących się w aktywnym okresie zawodowym i osiągających regularne dochody.</w:t>
      </w:r>
    </w:p>
    <w:p>
      <w:pPr>
        <w:pStyle w:val="BodyText"/>
      </w:pPr>
      <w:r>
        <w:t xml:space="preserve">Są to osoby, które mogą być na początku relacji z bankiem lub dopiero rozważają zmianę swojej głównej instytucji finansowej.</w:t>
      </w:r>
    </w:p>
    <w:p>
      <w:pPr>
        <w:pStyle w:val="BodyText"/>
      </w:pPr>
      <w:r>
        <w:t xml:space="preserve">Grupa ta jest szczególnie atrakcyjna ze względu na możliwość budowania</w:t>
      </w:r>
      <w:r>
        <w:t xml:space="preserve"> </w:t>
      </w:r>
      <w:r>
        <w:rPr>
          <w:b/>
          <w:bCs/>
        </w:rPr>
        <w:t xml:space="preserve">długoterminowej relacji</w:t>
      </w:r>
      <w:r>
        <w:t xml:space="preserve">, obejmującej w przyszłości rachunki, oszczędności, karty, kredyty oraz inne produkty finansowe.</w:t>
      </w:r>
    </w:p>
    <w:p>
      <w:r>
        <w:pict>
          <v:rect style="width:0;height:1.5pt" o:hralign="center" o:hrstd="t" o:hr="t"/>
        </w:pict>
      </w:r>
    </w:p>
    <w:bookmarkStart w:id="12" w:name="profil-klienta"/>
    <w:p>
      <w:pPr>
        <w:pStyle w:val="Heading2"/>
      </w:pPr>
      <w:r>
        <w:t xml:space="preserve">2.1. Profil klienta</w:t>
      </w:r>
    </w:p>
    <w:p>
      <w:pPr>
        <w:pStyle w:val="FirstParagraph"/>
      </w:pPr>
      <w:r>
        <w:t xml:space="preserve">Typowy odbiorca kampanii to osoba w wieku</w:t>
      </w:r>
      <w:r>
        <w:t xml:space="preserve"> </w:t>
      </w:r>
      <w:r>
        <w:rPr>
          <w:b/>
          <w:bCs/>
        </w:rPr>
        <w:t xml:space="preserve">25–45 lat</w:t>
      </w:r>
      <w:r>
        <w:t xml:space="preserve">, mieszkająca w Hiszpanii, osiągająca dochody w przedziale</w:t>
      </w:r>
      <w:r>
        <w:t xml:space="preserve"> </w:t>
      </w:r>
      <w:r>
        <w:rPr>
          <w:b/>
          <w:bCs/>
        </w:rPr>
        <w:t xml:space="preserve">40 000–90 000</w:t>
      </w:r>
      <w:r>
        <w:t xml:space="preserve"> </w:t>
      </w:r>
      <w:r>
        <w:t xml:space="preserve">i pozostająca na początku relacji z bankiem.</w:t>
      </w:r>
    </w:p>
    <w:p>
      <w:pPr>
        <w:pStyle w:val="BodyText"/>
      </w:pPr>
      <w:r>
        <w:t xml:space="preserve">Jest to klient, który:</w:t>
      </w:r>
    </w:p>
    <w:p>
      <w:pPr>
        <w:pStyle w:val="Compact"/>
        <w:numPr>
          <w:ilvl w:val="0"/>
          <w:numId w:val="1002"/>
        </w:numPr>
      </w:pPr>
      <w:r>
        <w:t xml:space="preserve">znajduje się w aktywnym okresie zawodowym;</w:t>
      </w:r>
    </w:p>
    <w:p>
      <w:pPr>
        <w:pStyle w:val="Compact"/>
        <w:numPr>
          <w:ilvl w:val="0"/>
          <w:numId w:val="1002"/>
        </w:numPr>
      </w:pPr>
      <w:r>
        <w:t xml:space="preserve">osiąga regularne dochody;</w:t>
      </w:r>
    </w:p>
    <w:p>
      <w:pPr>
        <w:pStyle w:val="Compact"/>
        <w:numPr>
          <w:ilvl w:val="0"/>
          <w:numId w:val="1002"/>
        </w:numPr>
      </w:pPr>
      <w:r>
        <w:t xml:space="preserve">może być zainteresowany zmianą banku;</w:t>
      </w:r>
    </w:p>
    <w:p>
      <w:pPr>
        <w:pStyle w:val="Compact"/>
        <w:numPr>
          <w:ilvl w:val="0"/>
          <w:numId w:val="1002"/>
        </w:numPr>
      </w:pPr>
      <w:r>
        <w:t xml:space="preserve">może posiadać konto w innej instytucji;</w:t>
      </w:r>
    </w:p>
    <w:p>
      <w:pPr>
        <w:pStyle w:val="Compact"/>
        <w:numPr>
          <w:ilvl w:val="0"/>
          <w:numId w:val="1002"/>
        </w:numPr>
      </w:pPr>
      <w:r>
        <w:t xml:space="preserve">szuka prostych i przejrzystych warunków;</w:t>
      </w:r>
    </w:p>
    <w:p>
      <w:pPr>
        <w:pStyle w:val="Compact"/>
        <w:numPr>
          <w:ilvl w:val="0"/>
          <w:numId w:val="1002"/>
        </w:numPr>
      </w:pPr>
      <w:r>
        <w:t xml:space="preserve">zwraca uwagę na opłaty;</w:t>
      </w:r>
    </w:p>
    <w:p>
      <w:pPr>
        <w:pStyle w:val="Compact"/>
        <w:numPr>
          <w:ilvl w:val="0"/>
          <w:numId w:val="1002"/>
        </w:numPr>
      </w:pPr>
      <w:r>
        <w:t xml:space="preserve">regularnie korzysta z przelewów i płatności;</w:t>
      </w:r>
    </w:p>
    <w:p>
      <w:pPr>
        <w:pStyle w:val="Compact"/>
        <w:numPr>
          <w:ilvl w:val="0"/>
          <w:numId w:val="1002"/>
        </w:numPr>
      </w:pPr>
      <w:r>
        <w:t xml:space="preserve">może mieć kontakty finansowe w innych krajach europejskich;</w:t>
      </w:r>
    </w:p>
    <w:p>
      <w:pPr>
        <w:pStyle w:val="Compact"/>
        <w:numPr>
          <w:ilvl w:val="0"/>
          <w:numId w:val="1002"/>
        </w:numPr>
      </w:pPr>
      <w:r>
        <w:t xml:space="preserve">jest otwarty na bankowość cyfrową;</w:t>
      </w:r>
    </w:p>
    <w:p>
      <w:pPr>
        <w:pStyle w:val="Compact"/>
        <w:numPr>
          <w:ilvl w:val="0"/>
          <w:numId w:val="1002"/>
        </w:numPr>
      </w:pPr>
      <w:r>
        <w:t xml:space="preserve">ma potencjał do zbudowania długoterminowej relacji z bankiem.</w:t>
      </w:r>
    </w:p>
    <w:p>
      <w:r>
        <w:pict>
          <v:rect style="width:0;height:1.5pt" o:hralign="center" o:hrstd="t" o:hr="t"/>
        </w:pict>
      </w:r>
    </w:p>
    <w:bookmarkEnd w:id="12"/>
    <w:bookmarkStart w:id="13" w:name="segmentacja-grupy-docelowej"/>
    <w:p>
      <w:pPr>
        <w:pStyle w:val="Heading2"/>
      </w:pPr>
      <w:r>
        <w:t xml:space="preserve">2.2. Segmentacja grupy docelowej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Charakterystyka grupy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Rynek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Hiszpania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25–45 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Staż relacji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Mniej niż 2 lata / początek relacji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Dochody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40 000–90 000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Nowy lub niedawno pozyskany klient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Główna potrzeba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 i korzystna kosztowo bankowość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Potencjał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Wysoki potencjał do budowania długoterminowej relacji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dlaczego-właśnie-ta-grupa"/>
    <w:p>
      <w:pPr>
        <w:pStyle w:val="Heading2"/>
      </w:pPr>
      <w:r>
        <w:t xml:space="preserve">2.3. Dlaczego właśnie ta grupa?</w:t>
      </w:r>
    </w:p>
    <w:p>
      <w:pPr>
        <w:pStyle w:val="FirstParagraph"/>
      </w:pPr>
      <w:r>
        <w:t xml:space="preserve">Wybrany segment łączy</w:t>
      </w:r>
      <w:r>
        <w:t xml:space="preserve"> </w:t>
      </w:r>
      <w:r>
        <w:rPr>
          <w:b/>
          <w:bCs/>
        </w:rPr>
        <w:t xml:space="preserve">aktywność zawodową, stabilne dochody i krótki staż relacji z bankiem</w:t>
      </w:r>
      <w:r>
        <w:t xml:space="preserve">.</w:t>
      </w:r>
    </w:p>
    <w:bookmarkStart w:id="14" w:name="aktywny-okres-życia"/>
    <w:p>
      <w:pPr>
        <w:pStyle w:val="Heading3"/>
      </w:pPr>
      <w:r>
        <w:t xml:space="preserve">Aktywny okres życia</w:t>
      </w:r>
    </w:p>
    <w:p>
      <w:pPr>
        <w:pStyle w:val="FirstParagraph"/>
      </w:pPr>
      <w:r>
        <w:t xml:space="preserve">Osoby w wieku 25–45 lat często intensywnie korzystają z usług finansowych.</w:t>
      </w:r>
    </w:p>
    <w:p>
      <w:pPr>
        <w:pStyle w:val="BodyText"/>
      </w:pPr>
      <w:r>
        <w:t xml:space="preserve">Mogą potrzebować:</w:t>
      </w:r>
    </w:p>
    <w:p>
      <w:pPr>
        <w:pStyle w:val="Compact"/>
        <w:numPr>
          <w:ilvl w:val="0"/>
          <w:numId w:val="1003"/>
        </w:numPr>
      </w:pPr>
      <w:r>
        <w:t xml:space="preserve">rachunku osobistego;</w:t>
      </w:r>
    </w:p>
    <w:p>
      <w:pPr>
        <w:pStyle w:val="Compact"/>
        <w:numPr>
          <w:ilvl w:val="0"/>
          <w:numId w:val="1003"/>
        </w:numPr>
      </w:pPr>
      <w:r>
        <w:t xml:space="preserve">karty;</w:t>
      </w:r>
    </w:p>
    <w:p>
      <w:pPr>
        <w:pStyle w:val="Compact"/>
        <w:numPr>
          <w:ilvl w:val="0"/>
          <w:numId w:val="1003"/>
        </w:numPr>
      </w:pPr>
      <w:r>
        <w:t xml:space="preserve">oszczędności;</w:t>
      </w:r>
    </w:p>
    <w:p>
      <w:pPr>
        <w:pStyle w:val="Compact"/>
        <w:numPr>
          <w:ilvl w:val="0"/>
          <w:numId w:val="1003"/>
        </w:numPr>
      </w:pPr>
      <w:r>
        <w:t xml:space="preserve">finansowania;</w:t>
      </w:r>
    </w:p>
    <w:p>
      <w:pPr>
        <w:pStyle w:val="Compact"/>
        <w:numPr>
          <w:ilvl w:val="0"/>
          <w:numId w:val="1003"/>
        </w:numPr>
      </w:pPr>
      <w:r>
        <w:t xml:space="preserve">przelewów;</w:t>
      </w:r>
    </w:p>
    <w:p>
      <w:pPr>
        <w:pStyle w:val="Compact"/>
        <w:numPr>
          <w:ilvl w:val="0"/>
          <w:numId w:val="1003"/>
        </w:numPr>
      </w:pPr>
      <w:r>
        <w:t xml:space="preserve">usług mobilnych;</w:t>
      </w:r>
    </w:p>
    <w:p>
      <w:pPr>
        <w:pStyle w:val="Compact"/>
        <w:numPr>
          <w:ilvl w:val="0"/>
          <w:numId w:val="1003"/>
        </w:numPr>
      </w:pPr>
      <w:r>
        <w:t xml:space="preserve">produktów związanych z mieszkaniem, podróżami czy codziennymi wydatkami.</w:t>
      </w:r>
    </w:p>
    <w:p>
      <w:pPr>
        <w:pStyle w:val="FirstParagraph"/>
      </w:pPr>
      <w:r>
        <w:t xml:space="preserve">Oznacza to duży potencjał do budowania wartości klienta w długim okresie.</w:t>
      </w:r>
    </w:p>
    <w:bookmarkEnd w:id="14"/>
    <w:bookmarkStart w:id="15" w:name="regularne-dochody"/>
    <w:p>
      <w:pPr>
        <w:pStyle w:val="Heading3"/>
      </w:pPr>
      <w:r>
        <w:t xml:space="preserve">Regularne dochody</w:t>
      </w:r>
    </w:p>
    <w:p>
      <w:pPr>
        <w:pStyle w:val="FirstParagraph"/>
      </w:pPr>
      <w:r>
        <w:t xml:space="preserve">Regularne wynagrodzenie jest naturalnym punktem wejścia do relacji bankowej.</w:t>
      </w:r>
    </w:p>
    <w:p>
      <w:pPr>
        <w:pStyle w:val="BodyText"/>
      </w:pPr>
      <w:r>
        <w:t xml:space="preserve">Jeżeli klient zacznie otrzymywać pensję na konto, rachunek może stać się jego</w:t>
      </w:r>
      <w:r>
        <w:t xml:space="preserve"> </w:t>
      </w:r>
      <w:r>
        <w:rPr>
          <w:b/>
          <w:bCs/>
        </w:rPr>
        <w:t xml:space="preserve">głównym centrum finansowym</w:t>
      </w:r>
      <w:r>
        <w:t xml:space="preserve">.</w:t>
      </w:r>
    </w:p>
    <w:bookmarkEnd w:id="15"/>
    <w:bookmarkStart w:id="16" w:name="krótka-relacja-z-bankiem"/>
    <w:p>
      <w:pPr>
        <w:pStyle w:val="Heading3"/>
      </w:pPr>
      <w:r>
        <w:t xml:space="preserve">Krótka relacja z bankiem</w:t>
      </w:r>
    </w:p>
    <w:p>
      <w:pPr>
        <w:pStyle w:val="FirstParagraph"/>
      </w:pPr>
      <w:r>
        <w:t xml:space="preserve">Klient na początku relacji nie jest jeszcze silnie przywiązany do instytucji.</w:t>
      </w:r>
    </w:p>
    <w:p>
      <w:pPr>
        <w:pStyle w:val="BodyText"/>
      </w:pPr>
      <w:r>
        <w:t xml:space="preserve">Jest to jednocześnie ryzyko i szansa.</w:t>
      </w:r>
    </w:p>
    <w:p>
      <w:pPr>
        <w:pStyle w:val="BodyText"/>
      </w:pPr>
      <w:r>
        <w:t xml:space="preserve">Jeżeli pierwsze doświadczenia będą pozytywne, bank może zbudować długoterminową relację.</w:t>
      </w:r>
    </w:p>
    <w:p>
      <w:pPr>
        <w:pStyle w:val="BodyText"/>
      </w:pPr>
      <w:r>
        <w:t xml:space="preserve">Jeżeli natomiast klient napotka wysokie opłaty, skomplikowane procesy lub niewygodną obsługę, łatwo może przenieść swoją aktywność gdzie indziej.</w:t>
      </w:r>
    </w:p>
    <w:bookmarkEnd w:id="16"/>
    <w:bookmarkStart w:id="17" w:name="znaczenie-prostoty"/>
    <w:p>
      <w:pPr>
        <w:pStyle w:val="Heading3"/>
      </w:pPr>
      <w:r>
        <w:t xml:space="preserve">Znaczenie prostoty</w:t>
      </w:r>
    </w:p>
    <w:p>
      <w:pPr>
        <w:pStyle w:val="FirstParagraph"/>
      </w:pPr>
      <w:r>
        <w:t xml:space="preserve">Dla nowego klienta jednym z najważniejszych argumentów jest łatwość rozpoczęcia korzystania z banku.</w:t>
      </w:r>
    </w:p>
    <w:p>
      <w:pPr>
        <w:pStyle w:val="BodyText"/>
      </w:pPr>
      <w:r>
        <w:t xml:space="preserve">Dlatego oferta powinna być możliwie prosta:</w:t>
      </w:r>
    </w:p>
    <w:p>
      <w:pPr>
        <w:pStyle w:val="BlockText"/>
      </w:pPr>
      <w:r>
        <w:rPr>
          <w:b/>
          <w:bCs/>
        </w:rPr>
        <w:t xml:space="preserve">„Otwórz konto, otrzymuj wynagrodzenie i przez 24 miesiące korzystaj bez wybranych opłat.”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segmenty-odbiorców"/>
    <w:p>
      <w:pPr>
        <w:pStyle w:val="Heading1"/>
      </w:pPr>
      <w:r>
        <w:t xml:space="preserve">3. Segmenty odbiorców</w:t>
      </w:r>
    </w:p>
    <w:p>
      <w:pPr>
        <w:pStyle w:val="FirstParagraph"/>
      </w:pPr>
      <w:r>
        <w:t xml:space="preserve">W ramach grupy docelowej można wyróżnić kilka szczególnie istotnych profili.</w:t>
      </w:r>
    </w:p>
    <w:bookmarkStart w:id="20" w:name="młody-profesjonalista"/>
    <w:p>
      <w:pPr>
        <w:pStyle w:val="Heading3"/>
      </w:pPr>
      <w:r>
        <w:t xml:space="preserve">Młody profesjonalista</w:t>
      </w:r>
    </w:p>
    <w:p>
      <w:pPr>
        <w:pStyle w:val="FirstParagraph"/>
      </w:pPr>
      <w:r>
        <w:t xml:space="preserve">Osoba w wieku 25–35 lat, aktywna zawodowo, korzystająca intensywnie z bankowości cyfrowej.</w:t>
      </w:r>
    </w:p>
    <w:p>
      <w:pPr>
        <w:pStyle w:val="BodyText"/>
      </w:pPr>
      <w:r>
        <w:t xml:space="preserve">Dla niej kluczowe będą:</w:t>
      </w:r>
    </w:p>
    <w:p>
      <w:pPr>
        <w:pStyle w:val="Compact"/>
        <w:numPr>
          <w:ilvl w:val="0"/>
          <w:numId w:val="1004"/>
        </w:numPr>
      </w:pPr>
      <w:r>
        <w:t xml:space="preserve">aplikacja;</w:t>
      </w:r>
    </w:p>
    <w:p>
      <w:pPr>
        <w:pStyle w:val="Compact"/>
        <w:numPr>
          <w:ilvl w:val="0"/>
          <w:numId w:val="1004"/>
        </w:numPr>
      </w:pPr>
      <w:r>
        <w:t xml:space="preserve">brak zbędnych opłat;</w:t>
      </w:r>
    </w:p>
    <w:p>
      <w:pPr>
        <w:pStyle w:val="Compact"/>
        <w:numPr>
          <w:ilvl w:val="0"/>
          <w:numId w:val="1004"/>
        </w:numPr>
      </w:pPr>
      <w:r>
        <w:t xml:space="preserve">szybkie przelewy;</w:t>
      </w:r>
    </w:p>
    <w:p>
      <w:pPr>
        <w:pStyle w:val="Compact"/>
        <w:numPr>
          <w:ilvl w:val="0"/>
          <w:numId w:val="1004"/>
        </w:numPr>
      </w:pPr>
      <w:r>
        <w:t xml:space="preserve">wygoda;</w:t>
      </w:r>
    </w:p>
    <w:p>
      <w:pPr>
        <w:pStyle w:val="Compact"/>
        <w:numPr>
          <w:ilvl w:val="0"/>
          <w:numId w:val="1004"/>
        </w:numPr>
      </w:pPr>
      <w:r>
        <w:t xml:space="preserve">dostęp mobilny.</w:t>
      </w:r>
    </w:p>
    <w:bookmarkEnd w:id="20"/>
    <w:bookmarkStart w:id="21" w:name="doświadczony-profesjonalista"/>
    <w:p>
      <w:pPr>
        <w:pStyle w:val="Heading3"/>
      </w:pPr>
      <w:r>
        <w:t xml:space="preserve">Doświadczony profesjonalista</w:t>
      </w:r>
    </w:p>
    <w:p>
      <w:pPr>
        <w:pStyle w:val="FirstParagraph"/>
      </w:pPr>
      <w:r>
        <w:t xml:space="preserve">Osoba w wieku 35–45 lat, posiadająca stabilną karierę i wyższe dochody.</w:t>
      </w:r>
    </w:p>
    <w:p>
      <w:pPr>
        <w:pStyle w:val="BodyText"/>
      </w:pPr>
      <w:r>
        <w:t xml:space="preserve">Może być zainteresowana bankiem oferującym prostą obsługę, dobre warunki oraz możliwość stopniowego rozszerzania relacji.</w:t>
      </w:r>
    </w:p>
    <w:bookmarkEnd w:id="21"/>
    <w:bookmarkStart w:id="22" w:name="klient-zmieniający-bank"/>
    <w:p>
      <w:pPr>
        <w:pStyle w:val="Heading3"/>
      </w:pPr>
      <w:r>
        <w:t xml:space="preserve">Klient zmieniający bank</w:t>
      </w:r>
    </w:p>
    <w:p>
      <w:pPr>
        <w:pStyle w:val="FirstParagraph"/>
      </w:pPr>
      <w:r>
        <w:t xml:space="preserve">Osoba posiadająca już rachunek w innej instytucji, ale rozważająca zmianę.</w:t>
      </w:r>
    </w:p>
    <w:p>
      <w:pPr>
        <w:pStyle w:val="BodyText"/>
      </w:pPr>
      <w:r>
        <w:t xml:space="preserve">Dla niej najważniejsza będzie wyraźna przewaga oferty:</w:t>
      </w:r>
    </w:p>
    <w:p>
      <w:pPr>
        <w:pStyle w:val="BodyText"/>
      </w:pPr>
      <w:r>
        <w:rPr>
          <w:b/>
          <w:bCs/>
        </w:rPr>
        <w:t xml:space="preserve">brak opłat + proste warunki + atrakcyjny okres powitalny.</w:t>
      </w:r>
    </w:p>
    <w:bookmarkEnd w:id="22"/>
    <w:bookmarkStart w:id="23" w:name="klient-mobilny"/>
    <w:p>
      <w:pPr>
        <w:pStyle w:val="Heading3"/>
      </w:pPr>
      <w:r>
        <w:t xml:space="preserve">Klient mobilny</w:t>
      </w:r>
    </w:p>
    <w:p>
      <w:pPr>
        <w:pStyle w:val="FirstParagraph"/>
      </w:pPr>
      <w:r>
        <w:t xml:space="preserve">Osoba, która preferuje wykonywanie większości operacji przez smartfon.</w:t>
      </w:r>
    </w:p>
    <w:p>
      <w:pPr>
        <w:pStyle w:val="BodyText"/>
      </w:pPr>
      <w:r>
        <w:t xml:space="preserve">Dla niej bank powinien być przede wszystkim:</w:t>
      </w:r>
    </w:p>
    <w:p>
      <w:pPr>
        <w:pStyle w:val="Compact"/>
        <w:numPr>
          <w:ilvl w:val="0"/>
          <w:numId w:val="1005"/>
        </w:numPr>
      </w:pPr>
      <w:r>
        <w:t xml:space="preserve">szybki;</w:t>
      </w:r>
    </w:p>
    <w:p>
      <w:pPr>
        <w:pStyle w:val="Compact"/>
        <w:numPr>
          <w:ilvl w:val="0"/>
          <w:numId w:val="1005"/>
        </w:numPr>
      </w:pPr>
      <w:r>
        <w:t xml:space="preserve">intuicyjny;</w:t>
      </w:r>
    </w:p>
    <w:p>
      <w:pPr>
        <w:pStyle w:val="Compact"/>
        <w:numPr>
          <w:ilvl w:val="0"/>
          <w:numId w:val="1005"/>
        </w:numPr>
      </w:pPr>
      <w:r>
        <w:t xml:space="preserve">dostępny;</w:t>
      </w:r>
    </w:p>
    <w:p>
      <w:pPr>
        <w:pStyle w:val="Compact"/>
        <w:numPr>
          <w:ilvl w:val="0"/>
          <w:numId w:val="1005"/>
        </w:numPr>
      </w:pPr>
      <w:r>
        <w:t xml:space="preserve">cyfrowy.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otrzeby-i-oczekiwania-grupy-docelowej"/>
    <w:p>
      <w:pPr>
        <w:pStyle w:val="Heading1"/>
      </w:pPr>
      <w:r>
        <w:t xml:space="preserve">4. Potrzeby i oczekiwania grupy docelowej</w:t>
      </w:r>
    </w:p>
    <w:p>
      <w:pPr>
        <w:pStyle w:val="FirstParagraph"/>
      </w:pPr>
      <w:r>
        <w:t xml:space="preserve">Nowy klient nie chce skomplikowanego procesu rozpoczynania współpracy.</w:t>
      </w:r>
    </w:p>
    <w:p>
      <w:pPr>
        <w:pStyle w:val="BodyText"/>
      </w:pPr>
      <w:r>
        <w:t xml:space="preserve">Potrzebuje</w:t>
      </w:r>
      <w:r>
        <w:t xml:space="preserve"> </w:t>
      </w:r>
      <w:r>
        <w:rPr>
          <w:b/>
          <w:bCs/>
        </w:rPr>
        <w:t xml:space="preserve">jasnej odpowiedzi na pytanie: „Dlaczego warto wybrać właśnie ten bank?”</w:t>
      </w:r>
    </w:p>
    <w:bookmarkStart w:id="25" w:name="niskie-koszty"/>
    <w:p>
      <w:pPr>
        <w:pStyle w:val="Heading3"/>
      </w:pPr>
      <w:r>
        <w:t xml:space="preserve">Niskie koszty</w:t>
      </w:r>
    </w:p>
    <w:p>
      <w:pPr>
        <w:pStyle w:val="FirstParagraph"/>
      </w:pPr>
      <w:r>
        <w:t xml:space="preserve">Brak lub ograniczenie podstawowych opłat jest jednym z najmocniejszych argumentów przy wyborze nowego banku.</w:t>
      </w:r>
    </w:p>
    <w:bookmarkEnd w:id="25"/>
    <w:bookmarkStart w:id="26" w:name="prostota"/>
    <w:p>
      <w:pPr>
        <w:pStyle w:val="Heading3"/>
      </w:pPr>
      <w:r>
        <w:t xml:space="preserve">Prostota</w:t>
      </w:r>
    </w:p>
    <w:p>
      <w:pPr>
        <w:pStyle w:val="FirstParagraph"/>
      </w:pPr>
      <w:r>
        <w:t xml:space="preserve">Klient powinien rozumieć ofertę bez konieczności analizowania wielu stron regulaminów.</w:t>
      </w:r>
    </w:p>
    <w:bookmarkEnd w:id="26"/>
    <w:bookmarkStart w:id="27" w:name="wygoda"/>
    <w:p>
      <w:pPr>
        <w:pStyle w:val="Heading3"/>
      </w:pPr>
      <w:r>
        <w:t xml:space="preserve">Wygoda</w:t>
      </w:r>
    </w:p>
    <w:p>
      <w:pPr>
        <w:pStyle w:val="FirstParagraph"/>
      </w:pPr>
      <w:r>
        <w:t xml:space="preserve">Codzienne operacje powinny być szybkie i łatwo dostępne.</w:t>
      </w:r>
    </w:p>
    <w:bookmarkEnd w:id="27"/>
    <w:bookmarkStart w:id="28" w:name="mobilność"/>
    <w:p>
      <w:pPr>
        <w:pStyle w:val="Heading3"/>
      </w:pPr>
      <w:r>
        <w:t xml:space="preserve">Mobilność</w:t>
      </w:r>
    </w:p>
    <w:p>
      <w:pPr>
        <w:pStyle w:val="FirstParagraph"/>
      </w:pPr>
      <w:r>
        <w:t xml:space="preserve">Aplikacja powinna umożliwiać sprawne zarządzanie kontem.</w:t>
      </w:r>
    </w:p>
    <w:bookmarkEnd w:id="28"/>
    <w:bookmarkStart w:id="29" w:name="swoboda-finansowa"/>
    <w:p>
      <w:pPr>
        <w:pStyle w:val="Heading3"/>
      </w:pPr>
      <w:r>
        <w:t xml:space="preserve">Swoboda finansowa</w:t>
      </w:r>
    </w:p>
    <w:p>
      <w:pPr>
        <w:pStyle w:val="FirstParagraph"/>
      </w:pPr>
      <w:r>
        <w:t xml:space="preserve">Bezpłatne przelewy europejskie mogą być szczególnie atrakcyjne dla osób mających kontakty finansowe poza Hiszpanią.</w:t>
      </w:r>
    </w:p>
    <w:bookmarkEnd w:id="29"/>
    <w:bookmarkStart w:id="30" w:name="poczucie-dobrego-początku"/>
    <w:p>
      <w:pPr>
        <w:pStyle w:val="Heading3"/>
      </w:pPr>
      <w:r>
        <w:t xml:space="preserve">Poczucie dobrego początku</w:t>
      </w:r>
    </w:p>
    <w:p>
      <w:pPr>
        <w:pStyle w:val="FirstParagraph"/>
      </w:pPr>
      <w:r>
        <w:t xml:space="preserve">Pierwsze miesiące relacji powinny dać klientowi przekonanie, że dokonał dobrego wyboru.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harakterystyka-psychograficzna"/>
    <w:p>
      <w:pPr>
        <w:pStyle w:val="Heading1"/>
      </w:pPr>
      <w:r>
        <w:t xml:space="preserve">5. Charakterystyka psychograficzna</w:t>
      </w:r>
    </w:p>
    <w:p>
      <w:pPr>
        <w:pStyle w:val="FirstParagraph"/>
      </w:pPr>
      <w:r>
        <w:t xml:space="preserve">Grupa docelowa może charakteryzować się wysoką potrzebą</w:t>
      </w:r>
      <w:r>
        <w:t xml:space="preserve"> </w:t>
      </w:r>
      <w:r>
        <w:rPr>
          <w:b/>
          <w:bCs/>
        </w:rPr>
        <w:t xml:space="preserve">wygody, elastyczności i kontroli nad kosztami</w:t>
      </w:r>
      <w:r>
        <w:t xml:space="preserve">.</w:t>
      </w:r>
    </w:p>
    <w:p>
      <w:pPr>
        <w:pStyle w:val="BodyText"/>
      </w:pPr>
      <w:r>
        <w:t xml:space="preserve">Klienci ci mogą szczególnie doceniać:</w:t>
      </w:r>
    </w:p>
    <w:p>
      <w:pPr>
        <w:pStyle w:val="Compact"/>
        <w:numPr>
          <w:ilvl w:val="0"/>
          <w:numId w:val="1006"/>
        </w:numPr>
      </w:pPr>
      <w:r>
        <w:t xml:space="preserve">prostotę;</w:t>
      </w:r>
    </w:p>
    <w:p>
      <w:pPr>
        <w:pStyle w:val="Compact"/>
        <w:numPr>
          <w:ilvl w:val="0"/>
          <w:numId w:val="1006"/>
        </w:numPr>
      </w:pPr>
      <w:r>
        <w:t xml:space="preserve">szybkość;</w:t>
      </w:r>
    </w:p>
    <w:p>
      <w:pPr>
        <w:pStyle w:val="Compact"/>
        <w:numPr>
          <w:ilvl w:val="0"/>
          <w:numId w:val="1006"/>
        </w:numPr>
      </w:pPr>
      <w:r>
        <w:t xml:space="preserve">cyfrową obsługę;</w:t>
      </w:r>
    </w:p>
    <w:p>
      <w:pPr>
        <w:pStyle w:val="Compact"/>
        <w:numPr>
          <w:ilvl w:val="0"/>
          <w:numId w:val="1006"/>
        </w:numPr>
      </w:pPr>
      <w:r>
        <w:t xml:space="preserve">brak opłat;</w:t>
      </w:r>
    </w:p>
    <w:p>
      <w:pPr>
        <w:pStyle w:val="Compact"/>
        <w:numPr>
          <w:ilvl w:val="0"/>
          <w:numId w:val="1006"/>
        </w:numPr>
      </w:pPr>
      <w:r>
        <w:t xml:space="preserve">przejrzystość;</w:t>
      </w:r>
    </w:p>
    <w:p>
      <w:pPr>
        <w:pStyle w:val="Compact"/>
        <w:numPr>
          <w:ilvl w:val="0"/>
          <w:numId w:val="1006"/>
        </w:numPr>
      </w:pPr>
      <w:r>
        <w:t xml:space="preserve">mobilność;</w:t>
      </w:r>
    </w:p>
    <w:p>
      <w:pPr>
        <w:pStyle w:val="Compact"/>
        <w:numPr>
          <w:ilvl w:val="0"/>
          <w:numId w:val="1006"/>
        </w:numPr>
      </w:pPr>
      <w:r>
        <w:t xml:space="preserve">elastyczność;</w:t>
      </w:r>
    </w:p>
    <w:p>
      <w:pPr>
        <w:pStyle w:val="Compact"/>
        <w:numPr>
          <w:ilvl w:val="0"/>
          <w:numId w:val="1006"/>
        </w:numPr>
      </w:pPr>
      <w:r>
        <w:t xml:space="preserve">międzynarodowość;</w:t>
      </w:r>
    </w:p>
    <w:p>
      <w:pPr>
        <w:pStyle w:val="Compact"/>
        <w:numPr>
          <w:ilvl w:val="0"/>
          <w:numId w:val="1006"/>
        </w:numPr>
      </w:pPr>
      <w:r>
        <w:t xml:space="preserve">atrakcyjne benefity;</w:t>
      </w:r>
    </w:p>
    <w:p>
      <w:pPr>
        <w:pStyle w:val="Compact"/>
        <w:numPr>
          <w:ilvl w:val="0"/>
          <w:numId w:val="1006"/>
        </w:numPr>
      </w:pPr>
      <w:r>
        <w:t xml:space="preserve">nowoczesne rozwiązania.</w:t>
      </w:r>
    </w:p>
    <w:p>
      <w:pPr>
        <w:pStyle w:val="FirstParagraph"/>
      </w:pPr>
      <w:r>
        <w:t xml:space="preserve">Nie należy przedstawiać oferty jako tradycyjnego „produktu bankowego”.</w:t>
      </w:r>
    </w:p>
    <w:p>
      <w:pPr>
        <w:pStyle w:val="BodyText"/>
      </w:pPr>
      <w:r>
        <w:t xml:space="preserve">Powinna być komunikowana jako</w:t>
      </w:r>
      <w:r>
        <w:t xml:space="preserve"> </w:t>
      </w:r>
      <w:r>
        <w:rPr>
          <w:b/>
          <w:bCs/>
        </w:rPr>
        <w:t xml:space="preserve">prosty sposób na rozpoczęcie codziennej bankowości bez zbędnych kosztów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portret-odbiorcy"/>
    <w:p>
      <w:pPr>
        <w:pStyle w:val="Heading1"/>
      </w:pPr>
      <w:r>
        <w:t xml:space="preserve">6. Portret odbiorcy</w:t>
      </w:r>
    </w:p>
    <w:p>
      <w:pPr>
        <w:pStyle w:val="FirstParagraph"/>
      </w:pPr>
      <w:r>
        <w:t xml:space="preserve">Typowy klient „Hiszpańskiego Startu” to</w:t>
      </w:r>
      <w:r>
        <w:t xml:space="preserve"> </w:t>
      </w:r>
      <w:r>
        <w:rPr>
          <w:b/>
          <w:bCs/>
        </w:rPr>
        <w:t xml:space="preserve">aktywny zawodowo mieszkaniec Hiszpanii, który chce mieć wygodne konto do codziennych finansów i nie chce płacić za podstawowe czynności bankowe</w:t>
      </w:r>
      <w:r>
        <w:t xml:space="preserve">.</w:t>
      </w:r>
    </w:p>
    <w:p>
      <w:pPr>
        <w:pStyle w:val="BodyText"/>
      </w:pPr>
      <w:r>
        <w:t xml:space="preserve">Może otrzymywać wynagrodzenie na konto innego banku, korzystać z kilku aplikacji finansowych i wykonywać przelewy w różnych krajach Europy.</w:t>
      </w:r>
    </w:p>
    <w:p>
      <w:pPr>
        <w:pStyle w:val="BodyText"/>
      </w:pPr>
      <w:r>
        <w:t xml:space="preserve">Nie potrzebuje skomplikowanej oferty.</w:t>
      </w:r>
    </w:p>
    <w:p>
      <w:pPr>
        <w:pStyle w:val="BodyText"/>
      </w:pPr>
      <w:r>
        <w:t xml:space="preserve">Potrzebuje:</w:t>
      </w:r>
    </w:p>
    <w:p>
      <w:pPr>
        <w:pStyle w:val="BlockText"/>
      </w:pPr>
      <w:r>
        <w:rPr>
          <w:b/>
          <w:bCs/>
        </w:rPr>
        <w:t xml:space="preserve">„Konta, które po prostu działa i nie generuje niepotrzebnych kosztów.”</w:t>
      </w:r>
    </w:p>
    <w:p>
      <w:pPr>
        <w:pStyle w:val="FirstParagraph"/>
      </w:pPr>
      <w:r>
        <w:t xml:space="preserve">Welcome Pack „Hola Bank” ma być odpowiedzią na tę potrzebę.</w:t>
      </w:r>
    </w:p>
    <w:p>
      <w:r>
        <w:pict>
          <v:rect style="width:0;height:1.5pt" o:hralign="center" o:hrstd="t" o:hr="t"/>
        </w:pict>
      </w:r>
    </w:p>
    <w:bookmarkEnd w:id="33"/>
    <w:bookmarkStart w:id="34" w:name="kluczowy-insight"/>
    <w:p>
      <w:pPr>
        <w:pStyle w:val="Heading1"/>
      </w:pPr>
      <w:r>
        <w:t xml:space="preserve">7. Kluczowy insight</w:t>
      </w:r>
    </w:p>
    <w:p>
      <w:pPr>
        <w:pStyle w:val="BlockText"/>
      </w:pPr>
      <w:r>
        <w:rPr>
          <w:b/>
          <w:bCs/>
        </w:rPr>
        <w:t xml:space="preserve">„Jeżeli nowy bank pozwoli mi wygodnie przenieść codzienną bankowość i przez dłuższy czas nie będę musiał martwić się podstawowymi opłatami, mam powód, żeby dać mu szansę.”</w:t>
      </w:r>
    </w:p>
    <w:p>
      <w:pPr>
        <w:pStyle w:val="FirstParagraph"/>
      </w:pPr>
      <w:r>
        <w:t xml:space="preserve">Kampania odpowiada na tę potrzebę poprzez połączenie</w:t>
      </w:r>
      <w:r>
        <w:t xml:space="preserve"> </w:t>
      </w:r>
      <w:r>
        <w:rPr>
          <w:b/>
          <w:bCs/>
        </w:rPr>
        <w:t xml:space="preserve">braku opłat, bezpłatnych przelewów europejskich oraz prostego warunku związanego z regularnym wpływem wynagrodzenia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główna-obietnica-marki"/>
    <w:p>
      <w:pPr>
        <w:pStyle w:val="Heading1"/>
      </w:pPr>
      <w:r>
        <w:t xml:space="preserve">8. Główna obietnica marki</w:t>
      </w:r>
    </w:p>
    <w:bookmarkStart w:id="39" w:name="zacznij-dobrze.-korzystaj-swobodnie."/>
    <w:p>
      <w:pPr>
        <w:pStyle w:val="Heading2"/>
      </w:pPr>
      <w:r>
        <w:t xml:space="preserve">„Zacznij dobrze. Korzystaj swobodnie.”</w:t>
      </w:r>
    </w:p>
    <w:p>
      <w:pPr>
        <w:pStyle w:val="FirstParagraph"/>
      </w:pPr>
      <w:r>
        <w:t xml:space="preserve">Hiszpański Start ma stworzyć dla nowego klienta</w:t>
      </w:r>
      <w:r>
        <w:t xml:space="preserve"> </w:t>
      </w:r>
      <w:r>
        <w:rPr>
          <w:b/>
          <w:bCs/>
        </w:rPr>
        <w:t xml:space="preserve">bezpieczny i atrakcyjny pierwszy etap relacji z bankiem</w:t>
      </w:r>
      <w:r>
        <w:t xml:space="preserve">.</w:t>
      </w:r>
    </w:p>
    <w:p>
      <w:pPr>
        <w:pStyle w:val="BodyText"/>
      </w:pPr>
      <w:r>
        <w:t xml:space="preserve">Najważniejsze wartości kampanii to:</w:t>
      </w:r>
    </w:p>
    <w:bookmarkStart w:id="35" w:name="prostota-1"/>
    <w:p>
      <w:pPr>
        <w:pStyle w:val="Heading3"/>
      </w:pPr>
      <w:r>
        <w:t xml:space="preserve">PROSTOTA</w:t>
      </w:r>
    </w:p>
    <w:p>
      <w:pPr>
        <w:pStyle w:val="FirstParagraph"/>
      </w:pPr>
      <w:r>
        <w:t xml:space="preserve">Jasna oferta bez zbędnych komplikacji.</w:t>
      </w:r>
    </w:p>
    <w:bookmarkEnd w:id="35"/>
    <w:bookmarkStart w:id="36" w:name="brak-zbędnych-opłat"/>
    <w:p>
      <w:pPr>
        <w:pStyle w:val="Heading3"/>
      </w:pPr>
      <w:r>
        <w:t xml:space="preserve">BRAK ZBĘDNYCH OPŁAT</w:t>
      </w:r>
    </w:p>
    <w:p>
      <w:pPr>
        <w:pStyle w:val="FirstParagraph"/>
      </w:pPr>
      <w:r>
        <w:t xml:space="preserve">Korzystne warunki przez pierwsze 24 miesiące zgodnie z zasadami programu.</w:t>
      </w:r>
    </w:p>
    <w:bookmarkEnd w:id="36"/>
    <w:bookmarkStart w:id="37" w:name="wygoda-1"/>
    <w:p>
      <w:pPr>
        <w:pStyle w:val="Heading3"/>
      </w:pPr>
      <w:r>
        <w:t xml:space="preserve">WYGODA</w:t>
      </w:r>
    </w:p>
    <w:p>
      <w:pPr>
        <w:pStyle w:val="FirstParagraph"/>
      </w:pPr>
      <w:r>
        <w:t xml:space="preserve">Codzienna bankowość dostępna w jednym miejscu.</w:t>
      </w:r>
    </w:p>
    <w:bookmarkEnd w:id="37"/>
    <w:bookmarkStart w:id="38" w:name="start"/>
    <w:p>
      <w:pPr>
        <w:pStyle w:val="Heading3"/>
      </w:pPr>
      <w:r>
        <w:t xml:space="preserve">START</w:t>
      </w:r>
    </w:p>
    <w:p>
      <w:pPr>
        <w:pStyle w:val="FirstParagraph"/>
      </w:pPr>
      <w:r>
        <w:t xml:space="preserve">Łatwy początek długoterminowej relacji.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oferta-specjalna"/>
    <w:p>
      <w:pPr>
        <w:pStyle w:val="Heading1"/>
      </w:pPr>
      <w:r>
        <w:t xml:space="preserve">9. Oferta specjalna</w:t>
      </w:r>
    </w:p>
    <w:bookmarkStart w:id="44" w:name="welcome-pack-hola-bank"/>
    <w:p>
      <w:pPr>
        <w:pStyle w:val="Heading2"/>
      </w:pPr>
      <w:r>
        <w:t xml:space="preserve">Welcome Pack „Hola Bank”</w:t>
      </w:r>
    </w:p>
    <w:p>
      <w:pPr>
        <w:pStyle w:val="FirstParagraph"/>
      </w:pPr>
      <w:r>
        <w:t xml:space="preserve">Głównym elementem kampanii jest pakiet powitalny dla nowych klientów.</w:t>
      </w:r>
    </w:p>
    <w:bookmarkStart w:id="41" w:name="zwolnienie-z-opłat-za-prowadzenie-konta"/>
    <w:p>
      <w:pPr>
        <w:pStyle w:val="Heading3"/>
      </w:pPr>
      <w:r>
        <w:t xml:space="preserve">Zwolnienie z opłat za prowadzenie konta</w:t>
      </w:r>
    </w:p>
    <w:p>
      <w:pPr>
        <w:pStyle w:val="FirstParagraph"/>
      </w:pPr>
      <w:r>
        <w:t xml:space="preserve">Nowy klient może korzystać z konta</w:t>
      </w:r>
      <w:r>
        <w:t xml:space="preserve"> </w:t>
      </w:r>
      <w:r>
        <w:rPr>
          <w:b/>
          <w:bCs/>
        </w:rPr>
        <w:t xml:space="preserve">bez opłat za jego prowadzenie przez 24 miesiące</w:t>
      </w:r>
      <w:r>
        <w:t xml:space="preserve">, zgodnie z warunkami oferty.</w:t>
      </w:r>
    </w:p>
    <w:p>
      <w:pPr>
        <w:pStyle w:val="BodyText"/>
      </w:pPr>
      <w:r>
        <w:t xml:space="preserve">Jest to podstawowy element oferty akwizycyjnej, którego celem jest obniżenie bariery wejścia.</w:t>
      </w:r>
    </w:p>
    <w:bookmarkEnd w:id="41"/>
    <w:bookmarkStart w:id="42" w:name="bezpłatne-przelewy-europejskie"/>
    <w:p>
      <w:pPr>
        <w:pStyle w:val="Heading3"/>
      </w:pPr>
      <w:r>
        <w:t xml:space="preserve">Bezpłatne przelewy europejskie</w:t>
      </w:r>
    </w:p>
    <w:p>
      <w:pPr>
        <w:pStyle w:val="FirstParagraph"/>
      </w:pPr>
      <w:r>
        <w:t xml:space="preserve">Przez okres 24 miesięcy klient może również korzystać z</w:t>
      </w:r>
      <w:r>
        <w:t xml:space="preserve"> </w:t>
      </w:r>
      <w:r>
        <w:rPr>
          <w:b/>
          <w:bCs/>
        </w:rPr>
        <w:t xml:space="preserve">bezpłatnych przelewów europejskich</w:t>
      </w:r>
      <w:r>
        <w:t xml:space="preserve">, zgodnie z warunkami programu.</w:t>
      </w:r>
    </w:p>
    <w:p>
      <w:pPr>
        <w:pStyle w:val="BodyText"/>
      </w:pPr>
      <w:r>
        <w:t xml:space="preserve">Benefit jest szczególnie atrakcyjny dla osób, które:</w:t>
      </w:r>
    </w:p>
    <w:p>
      <w:pPr>
        <w:pStyle w:val="Compact"/>
        <w:numPr>
          <w:ilvl w:val="0"/>
          <w:numId w:val="1007"/>
        </w:numPr>
      </w:pPr>
      <w:r>
        <w:t xml:space="preserve">pracują lub studiowały za granicą;</w:t>
      </w:r>
    </w:p>
    <w:p>
      <w:pPr>
        <w:pStyle w:val="Compact"/>
        <w:numPr>
          <w:ilvl w:val="0"/>
          <w:numId w:val="1007"/>
        </w:numPr>
      </w:pPr>
      <w:r>
        <w:t xml:space="preserve">mają rodzinę w innych krajach;</w:t>
      </w:r>
    </w:p>
    <w:p>
      <w:pPr>
        <w:pStyle w:val="Compact"/>
        <w:numPr>
          <w:ilvl w:val="0"/>
          <w:numId w:val="1007"/>
        </w:numPr>
      </w:pPr>
      <w:r>
        <w:t xml:space="preserve">regularnie podróżują;</w:t>
      </w:r>
    </w:p>
    <w:p>
      <w:pPr>
        <w:pStyle w:val="Compact"/>
        <w:numPr>
          <w:ilvl w:val="0"/>
          <w:numId w:val="1007"/>
        </w:numPr>
      </w:pPr>
      <w:r>
        <w:t xml:space="preserve">otrzymują lub przekazują środki w obrębie Europy.</w:t>
      </w:r>
    </w:p>
    <w:bookmarkEnd w:id="42"/>
    <w:bookmarkStart w:id="43" w:name="regularny-wpływ-wynagrodzenia"/>
    <w:p>
      <w:pPr>
        <w:pStyle w:val="Heading3"/>
      </w:pPr>
      <w:r>
        <w:t xml:space="preserve">Regularny wpływ wynagrodzenia</w:t>
      </w:r>
    </w:p>
    <w:p>
      <w:pPr>
        <w:pStyle w:val="FirstParagraph"/>
      </w:pPr>
      <w:r>
        <w:t xml:space="preserve">Warunkiem skorzystania z pełnego zakresu benefitów jest</w:t>
      </w:r>
      <w:r>
        <w:t xml:space="preserve"> </w:t>
      </w:r>
      <w:r>
        <w:rPr>
          <w:b/>
          <w:bCs/>
        </w:rPr>
        <w:t xml:space="preserve">regularny wpływ wynagrodzenia na konto</w:t>
      </w:r>
      <w:r>
        <w:t xml:space="preserve">, zgodnie z warunkami oferty.</w:t>
      </w:r>
    </w:p>
    <w:p>
      <w:pPr>
        <w:pStyle w:val="BodyText"/>
      </w:pPr>
      <w:r>
        <w:t xml:space="preserve">Mechanizm ten ma znaczenie strategiczne.</w:t>
      </w:r>
    </w:p>
    <w:p>
      <w:pPr>
        <w:pStyle w:val="BodyText"/>
      </w:pPr>
      <w:r>
        <w:t xml:space="preserve">Nie chodzi wyłącznie o otwarcie rachunku.</w:t>
      </w:r>
    </w:p>
    <w:p>
      <w:pPr>
        <w:pStyle w:val="BodyText"/>
      </w:pPr>
      <w:r>
        <w:t xml:space="preserve">Celem jest sprawienie, aby konto stało się</w:t>
      </w:r>
      <w:r>
        <w:t xml:space="preserve"> </w:t>
      </w:r>
      <w:r>
        <w:rPr>
          <w:b/>
          <w:bCs/>
        </w:rPr>
        <w:t xml:space="preserve">głównym rachunkiem klienta</w:t>
      </w:r>
      <w:r>
        <w:t xml:space="preserve">, z którego korzysta na co dzień.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dlaczego-warto-skorzystać-z-hola-bank"/>
    <w:p>
      <w:pPr>
        <w:pStyle w:val="Heading1"/>
      </w:pPr>
      <w:r>
        <w:t xml:space="preserve">10. Dlaczego warto skorzystać z „Hola Bank”?</w:t>
      </w:r>
    </w:p>
    <w:p>
      <w:pPr>
        <w:pStyle w:val="FirstParagraph"/>
      </w:pPr>
      <w:r>
        <w:t xml:space="preserve">Oferta odpowiada na podstawowe potrzeby nowoczesnego klienta:</w:t>
      </w:r>
    </w:p>
    <w:p>
      <w:pPr>
        <w:pStyle w:val="Compact"/>
        <w:numPr>
          <w:ilvl w:val="0"/>
          <w:numId w:val="1008"/>
        </w:numPr>
      </w:pPr>
      <w:r>
        <w:t xml:space="preserve">konto bez opłat przez określony okres;</w:t>
      </w:r>
    </w:p>
    <w:p>
      <w:pPr>
        <w:pStyle w:val="Compact"/>
        <w:numPr>
          <w:ilvl w:val="0"/>
          <w:numId w:val="1008"/>
        </w:numPr>
      </w:pPr>
      <w:r>
        <w:t xml:space="preserve">bezpłatne przelewy europejskie;</w:t>
      </w:r>
    </w:p>
    <w:p>
      <w:pPr>
        <w:pStyle w:val="Compact"/>
        <w:numPr>
          <w:ilvl w:val="0"/>
          <w:numId w:val="1008"/>
        </w:numPr>
      </w:pPr>
      <w:r>
        <w:t xml:space="preserve">wygodna bankowość;</w:t>
      </w:r>
    </w:p>
    <w:p>
      <w:pPr>
        <w:pStyle w:val="Compact"/>
        <w:numPr>
          <w:ilvl w:val="0"/>
          <w:numId w:val="1008"/>
        </w:numPr>
      </w:pPr>
      <w:r>
        <w:t xml:space="preserve">możliwość korzystania z aplikacji;</w:t>
      </w:r>
    </w:p>
    <w:p>
      <w:pPr>
        <w:pStyle w:val="Compact"/>
        <w:numPr>
          <w:ilvl w:val="0"/>
          <w:numId w:val="1008"/>
        </w:numPr>
      </w:pPr>
      <w:r>
        <w:t xml:space="preserve">prosty proces rozpoczęcia relacji;</w:t>
      </w:r>
    </w:p>
    <w:p>
      <w:pPr>
        <w:pStyle w:val="Compact"/>
        <w:numPr>
          <w:ilvl w:val="0"/>
          <w:numId w:val="1008"/>
        </w:numPr>
      </w:pPr>
      <w:r>
        <w:t xml:space="preserve">brak konieczności ponoszenia podstawowych kosztów przez pierwsze 24 miesiące.</w:t>
      </w:r>
    </w:p>
    <w:p>
      <w:pPr>
        <w:pStyle w:val="FirstParagraph"/>
      </w:pPr>
      <w:r>
        <w:t xml:space="preserve">Najważniejsza korzyść jest prosta:</w:t>
      </w:r>
    </w:p>
    <w:p>
      <w:pPr>
        <w:pStyle w:val="BlockText"/>
      </w:pPr>
      <w:r>
        <w:rPr>
          <w:b/>
          <w:bCs/>
        </w:rPr>
        <w:t xml:space="preserve">„Przenieś swoją codzienną bankowość i przez dwa lata korzystaj z podstawowych usług bez wybranych opłat.”</w:t>
      </w:r>
    </w:p>
    <w:p>
      <w:r>
        <w:pict>
          <v:rect style="width:0;height:1.5pt" o:hralign="center" o:hrstd="t" o:hr="t"/>
        </w:pict>
      </w:r>
    </w:p>
    <w:bookmarkEnd w:id="46"/>
    <w:bookmarkStart w:id="47" w:name="pozycjonowanie-komunikacji"/>
    <w:p>
      <w:pPr>
        <w:pStyle w:val="Heading1"/>
      </w:pPr>
      <w:r>
        <w:t xml:space="preserve">11. Pozycjonowanie komunikacji</w:t>
      </w:r>
    </w:p>
    <w:p>
      <w:pPr>
        <w:pStyle w:val="FirstParagraph"/>
      </w:pPr>
      <w:r>
        <w:t xml:space="preserve">Hiszpański Start powinien być komunikowany jako</w:t>
      </w:r>
      <w:r>
        <w:t xml:space="preserve"> </w:t>
      </w:r>
      <w:r>
        <w:rPr>
          <w:b/>
          <w:bCs/>
        </w:rPr>
        <w:t xml:space="preserve">nowoczesna oferta wejściowa dla osób rozpoczynających relację z bankiem</w:t>
      </w:r>
      <w:r>
        <w:t xml:space="preserve">, a nie jako standardowa promocja cenowa.</w:t>
      </w:r>
    </w:p>
    <w:p>
      <w:pPr>
        <w:pStyle w:val="BodyText"/>
      </w:pPr>
      <w:r>
        <w:t xml:space="preserve">Nie:</w:t>
      </w:r>
    </w:p>
    <w:p>
      <w:pPr>
        <w:pStyle w:val="BlockText"/>
      </w:pPr>
      <w:r>
        <w:t xml:space="preserve">„Otwórz konto, bo jest tanie.”</w:t>
      </w:r>
    </w:p>
    <w:p>
      <w:pPr>
        <w:pStyle w:val="FirstParagraph"/>
      </w:pPr>
      <w:r>
        <w:t xml:space="preserve">Lepiej:</w:t>
      </w:r>
    </w:p>
    <w:p>
      <w:pPr>
        <w:pStyle w:val="BlockText"/>
      </w:pPr>
      <w:r>
        <w:rPr>
          <w:b/>
          <w:bCs/>
        </w:rPr>
        <w:t xml:space="preserve">„Zacznij swoją bankową historię bez zbędnych kosztów.”</w:t>
      </w:r>
    </w:p>
    <w:p>
      <w:pPr>
        <w:pStyle w:val="FirstParagraph"/>
      </w:pPr>
      <w:r>
        <w:t xml:space="preserve">Komunikacja powinna koncentrować się na:</w:t>
      </w:r>
    </w:p>
    <w:p>
      <w:pPr>
        <w:pStyle w:val="Compact"/>
        <w:numPr>
          <w:ilvl w:val="0"/>
          <w:numId w:val="1009"/>
        </w:numPr>
      </w:pPr>
      <w:r>
        <w:t xml:space="preserve">nowym początku;</w:t>
      </w:r>
    </w:p>
    <w:p>
      <w:pPr>
        <w:pStyle w:val="Compact"/>
        <w:numPr>
          <w:ilvl w:val="0"/>
          <w:numId w:val="1009"/>
        </w:numPr>
      </w:pPr>
      <w:r>
        <w:t xml:space="preserve">prostocie;</w:t>
      </w:r>
    </w:p>
    <w:p>
      <w:pPr>
        <w:pStyle w:val="Compact"/>
        <w:numPr>
          <w:ilvl w:val="0"/>
          <w:numId w:val="1009"/>
        </w:numPr>
      </w:pPr>
      <w:r>
        <w:t xml:space="preserve">wygodzie;</w:t>
      </w:r>
    </w:p>
    <w:p>
      <w:pPr>
        <w:pStyle w:val="Compact"/>
        <w:numPr>
          <w:ilvl w:val="0"/>
          <w:numId w:val="1009"/>
        </w:numPr>
      </w:pPr>
      <w:r>
        <w:t xml:space="preserve">mobilności;</w:t>
      </w:r>
    </w:p>
    <w:p>
      <w:pPr>
        <w:pStyle w:val="Compact"/>
        <w:numPr>
          <w:ilvl w:val="0"/>
          <w:numId w:val="1009"/>
        </w:numPr>
      </w:pPr>
      <w:r>
        <w:t xml:space="preserve">braku opłat;</w:t>
      </w:r>
    </w:p>
    <w:p>
      <w:pPr>
        <w:pStyle w:val="Compact"/>
        <w:numPr>
          <w:ilvl w:val="0"/>
          <w:numId w:val="1009"/>
        </w:numPr>
      </w:pPr>
      <w:r>
        <w:t xml:space="preserve">międzynarodowym charakterze;</w:t>
      </w:r>
    </w:p>
    <w:p>
      <w:pPr>
        <w:pStyle w:val="Compact"/>
        <w:numPr>
          <w:ilvl w:val="0"/>
          <w:numId w:val="1009"/>
        </w:numPr>
      </w:pPr>
      <w:r>
        <w:t xml:space="preserve">długoterminowej relacji.</w:t>
      </w:r>
    </w:p>
    <w:p>
      <w:r>
        <w:pict>
          <v:rect style="width:0;height:1.5pt" o:hralign="center" o:hrstd="t" o:hr="t"/>
        </w:pict>
      </w:r>
    </w:p>
    <w:bookmarkEnd w:id="47"/>
    <w:bookmarkStart w:id="51" w:name="główny-przekaz-promocyjny"/>
    <w:p>
      <w:pPr>
        <w:pStyle w:val="Heading1"/>
      </w:pPr>
      <w:r>
        <w:t xml:space="preserve">12. Główny przekaz promocyjny</w:t>
      </w:r>
    </w:p>
    <w:bookmarkStart w:id="50" w:name="hola-bank"/>
    <w:p>
      <w:pPr>
        <w:pStyle w:val="Heading2"/>
      </w:pPr>
      <w:r>
        <w:t xml:space="preserve">Hola Bank</w:t>
      </w:r>
    </w:p>
    <w:bookmarkStart w:id="48" w:name="dobry-początek.-zero-zbędnych-opłat."/>
    <w:p>
      <w:pPr>
        <w:pStyle w:val="Heading3"/>
      </w:pPr>
      <w:r>
        <w:t xml:space="preserve">Dobry początek. Zero zbędnych opłat.</w:t>
      </w:r>
    </w:p>
    <w:p>
      <w:pPr>
        <w:pStyle w:val="FirstParagraph"/>
      </w:pPr>
      <w:r>
        <w:t xml:space="preserve">Otwórz konto, zapewnij regularny wpływ wynagrodzenia i korzystaj z Welcome Pack „Hola Bank”.</w:t>
      </w:r>
    </w:p>
    <w:p>
      <w:pPr>
        <w:pStyle w:val="BodyText"/>
      </w:pPr>
      <w:r>
        <w:t xml:space="preserve">Przez</w:t>
      </w:r>
      <w:r>
        <w:t xml:space="preserve"> </w:t>
      </w:r>
      <w:r>
        <w:rPr>
          <w:b/>
          <w:bCs/>
        </w:rPr>
        <w:t xml:space="preserve">24 miesiące</w:t>
      </w:r>
      <w:r>
        <w:t xml:space="preserve"> </w:t>
      </w:r>
      <w:r>
        <w:t xml:space="preserve">możesz korzystać ze zwolnienia z opłaty za prowadzenie konta oraz</w:t>
      </w:r>
      <w:r>
        <w:t xml:space="preserve"> </w:t>
      </w:r>
      <w:r>
        <w:rPr>
          <w:b/>
          <w:bCs/>
        </w:rPr>
        <w:t xml:space="preserve">bezpłatnych przelewów europejskich</w:t>
      </w:r>
      <w:r>
        <w:t xml:space="preserve">, zgodnie z warunkami oferty.</w:t>
      </w:r>
    </w:p>
    <w:bookmarkEnd w:id="48"/>
    <w:bookmarkStart w:id="49" w:name="zacznij-z-nami-po-hiszpańsku."/>
    <w:p>
      <w:pPr>
        <w:pStyle w:val="Heading3"/>
      </w:pPr>
      <w:r>
        <w:t xml:space="preserve">Zacznij z nami po hiszpańsku.</w:t>
      </w:r>
    </w:p>
    <w:p>
      <w:pPr>
        <w:pStyle w:val="FirstParagraph"/>
      </w:pPr>
      <w:r>
        <w:rPr>
          <w:b/>
          <w:bCs/>
        </w:rPr>
        <w:t xml:space="preserve">Poznaj Welcome Pack „Hola Bank”.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propozycje-haseł-kampanii"/>
    <w:p>
      <w:pPr>
        <w:pStyle w:val="Heading1"/>
      </w:pPr>
      <w:r>
        <w:t xml:space="preserve">13. Propozycje haseł kampanii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„Hola Bank. Hola, nowe możliwości.”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„Dobry początek zaczyna się tutaj.”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„Zacznij dobrze. Korzystaj bez zbędnych opłat.”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„Twój nowy bank. Prosty start.”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„Hola Bank — bankowość bez zbędnych kosztów.”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„24 miesiące na dobry początek.”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„Przenieś swoją pensję. Zyskaj spokojny start.”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„Hiszpański Start. Prościej od pierwszego dnia.”</w:t>
      </w:r>
    </w:p>
    <w:p>
      <w:r>
        <w:pict>
          <v:rect style="width:0;height:1.5pt" o:hralign="center" o:hrstd="t" o:hr="t"/>
        </w:pict>
      </w:r>
    </w:p>
    <w:bookmarkEnd w:id="52"/>
    <w:bookmarkStart w:id="59" w:name="mechanika-kampanii"/>
    <w:p>
      <w:pPr>
        <w:pStyle w:val="Heading1"/>
      </w:pPr>
      <w:r>
        <w:t xml:space="preserve">14. Mechanika kampanii</w:t>
      </w:r>
    </w:p>
    <w:p>
      <w:pPr>
        <w:pStyle w:val="FirstParagraph"/>
      </w:pPr>
      <w:r>
        <w:t xml:space="preserve">Kampania powinna prowadzić nowego klienta przez prostą ścieżkę.</w:t>
      </w:r>
    </w:p>
    <w:bookmarkStart w:id="53" w:name="zobacz-ofertę"/>
    <w:p>
      <w:pPr>
        <w:pStyle w:val="Heading3"/>
      </w:pPr>
      <w:r>
        <w:t xml:space="preserve">1. Zobacz ofertę</w:t>
      </w:r>
    </w:p>
    <w:p>
      <w:pPr>
        <w:pStyle w:val="FirstParagraph"/>
      </w:pPr>
      <w:r>
        <w:t xml:space="preserve">Klient poznaje Welcome Pack „Hola Bank”.</w:t>
      </w:r>
    </w:p>
    <w:bookmarkEnd w:id="53"/>
    <w:bookmarkStart w:id="54" w:name="otwórz-konto"/>
    <w:p>
      <w:pPr>
        <w:pStyle w:val="Heading3"/>
      </w:pPr>
      <w:r>
        <w:t xml:space="preserve">2. Otwórz konto</w:t>
      </w:r>
    </w:p>
    <w:p>
      <w:pPr>
        <w:pStyle w:val="FirstParagraph"/>
      </w:pPr>
      <w:r>
        <w:t xml:space="preserve">Klient zakłada rachunek zgodnie z zasadami oferty.</w:t>
      </w:r>
    </w:p>
    <w:bookmarkEnd w:id="54"/>
    <w:bookmarkStart w:id="55" w:name="przenieś-wynagrodzenie"/>
    <w:p>
      <w:pPr>
        <w:pStyle w:val="Heading3"/>
      </w:pPr>
      <w:r>
        <w:t xml:space="preserve">3. Przenieś wynagrodzenie</w:t>
      </w:r>
    </w:p>
    <w:p>
      <w:pPr>
        <w:pStyle w:val="FirstParagraph"/>
      </w:pPr>
      <w:r>
        <w:t xml:space="preserve">Klient ustawia regularny wpływ wynagrodzenia na nowe konto.</w:t>
      </w:r>
    </w:p>
    <w:bookmarkEnd w:id="55"/>
    <w:bookmarkStart w:id="56" w:name="zacznij-korzystać"/>
    <w:p>
      <w:pPr>
        <w:pStyle w:val="Heading3"/>
      </w:pPr>
      <w:r>
        <w:t xml:space="preserve">4. Zacznij korzystać</w:t>
      </w:r>
    </w:p>
    <w:p>
      <w:pPr>
        <w:pStyle w:val="FirstParagraph"/>
      </w:pPr>
      <w:r>
        <w:t xml:space="preserve">Klient wykorzystuje konto do codziennych płatności, przelewów i zarządzania finansami.</w:t>
      </w:r>
    </w:p>
    <w:bookmarkEnd w:id="56"/>
    <w:bookmarkStart w:id="57" w:name="korzystaj-z-benefitów"/>
    <w:p>
      <w:pPr>
        <w:pStyle w:val="Heading3"/>
      </w:pPr>
      <w:r>
        <w:t xml:space="preserve">5. Korzystaj z benefitów</w:t>
      </w:r>
    </w:p>
    <w:p>
      <w:pPr>
        <w:pStyle w:val="FirstParagraph"/>
      </w:pPr>
      <w:r>
        <w:t xml:space="preserve">Przez 24 miesiące klient korzysta z przewidzianych w ofercie zwolnień z opłat.</w:t>
      </w:r>
    </w:p>
    <w:bookmarkEnd w:id="57"/>
    <w:bookmarkStart w:id="58" w:name="zbuduj-relację"/>
    <w:p>
      <w:pPr>
        <w:pStyle w:val="Heading3"/>
      </w:pPr>
      <w:r>
        <w:t xml:space="preserve">6. Zbuduj relację</w:t>
      </w:r>
    </w:p>
    <w:p>
      <w:pPr>
        <w:pStyle w:val="FirstParagraph"/>
      </w:pPr>
      <w:r>
        <w:t xml:space="preserve">Po okresie powitalnym klient powinien mieć już wypracowane przyzwyczajenie do korzystania z banku jako głównego centrum swoich finansów.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trategia-kontaktu"/>
    <w:p>
      <w:pPr>
        <w:pStyle w:val="Heading1"/>
      </w:pPr>
      <w:r>
        <w:t xml:space="preserve">15. Strategia kontaktu</w:t>
      </w:r>
    </w:p>
    <w:p>
      <w:pPr>
        <w:pStyle w:val="FirstParagraph"/>
      </w:pPr>
      <w:r>
        <w:t xml:space="preserve">Ze względu na charakter grupy docelowej rekomendowana jest</w:t>
      </w:r>
      <w:r>
        <w:t xml:space="preserve"> </w:t>
      </w:r>
      <w:r>
        <w:rPr>
          <w:b/>
          <w:bCs/>
        </w:rPr>
        <w:t xml:space="preserve">cyfrowa, dynamiczna i wielokanałowa komunikacja</w:t>
      </w:r>
      <w:r>
        <w:t xml:space="preserve">.</w:t>
      </w:r>
    </w:p>
    <w:bookmarkStart w:id="60" w:name="reklama-digital"/>
    <w:p>
      <w:pPr>
        <w:pStyle w:val="Heading2"/>
      </w:pPr>
      <w:r>
        <w:t xml:space="preserve">Reklama digital</w:t>
      </w:r>
    </w:p>
    <w:p>
      <w:pPr>
        <w:pStyle w:val="FirstParagraph"/>
      </w:pPr>
      <w:r>
        <w:t xml:space="preserve">Kampania powinna być obecna przede wszystkim w kanałach cyfrowych.</w:t>
      </w:r>
    </w:p>
    <w:p>
      <w:pPr>
        <w:pStyle w:val="BodyText"/>
      </w:pPr>
      <w:r>
        <w:t xml:space="preserve">Główny komunikat:</w:t>
      </w:r>
    </w:p>
    <w:p>
      <w:pPr>
        <w:pStyle w:val="BlockText"/>
      </w:pPr>
      <w:r>
        <w:rPr>
          <w:b/>
          <w:bCs/>
        </w:rPr>
        <w:t xml:space="preserve">„Szukasz nowego banku? Zacznij bez zbędnych opłat.”</w:t>
      </w:r>
    </w:p>
    <w:bookmarkEnd w:id="60"/>
    <w:bookmarkStart w:id="61" w:name="e-mail"/>
    <w:p>
      <w:pPr>
        <w:pStyle w:val="Heading2"/>
      </w:pPr>
      <w:r>
        <w:t xml:space="preserve">E-mail</w:t>
      </w:r>
    </w:p>
    <w:p>
      <w:pPr>
        <w:pStyle w:val="FirstParagraph"/>
      </w:pPr>
      <w:r>
        <w:t xml:space="preserve">W przypadku nowych klientów e-mail powinien wspierać proces onboardingu.</w:t>
      </w:r>
    </w:p>
    <w:p>
      <w:pPr>
        <w:pStyle w:val="BodyText"/>
      </w:pPr>
      <w:r>
        <w:t xml:space="preserve">Przykład:</w:t>
      </w:r>
    </w:p>
    <w:p>
      <w:pPr>
        <w:pStyle w:val="BlockText"/>
      </w:pPr>
      <w:r>
        <w:rPr>
          <w:b/>
          <w:bCs/>
        </w:rPr>
        <w:t xml:space="preserve">Witaj w Hola Bank! Sprawdź, jak korzystać z benefitów Welcome Pack przez pierwsze 24 miesiące.</w:t>
      </w:r>
    </w:p>
    <w:p>
      <w:pPr>
        <w:pStyle w:val="FirstParagraph"/>
      </w:pPr>
      <w:r>
        <w:rPr>
          <w:b/>
          <w:bCs/>
        </w:rPr>
        <w:t xml:space="preserve">CTA: „Poznaj swoje korzyści”</w:t>
      </w:r>
    </w:p>
    <w:bookmarkEnd w:id="61"/>
    <w:bookmarkStart w:id="62" w:name="aplikacja-mobilna"/>
    <w:p>
      <w:pPr>
        <w:pStyle w:val="Heading2"/>
      </w:pPr>
      <w:r>
        <w:t xml:space="preserve">Aplikacja mobilna</w:t>
      </w:r>
    </w:p>
    <w:p>
      <w:pPr>
        <w:pStyle w:val="FirstParagraph"/>
      </w:pPr>
      <w:r>
        <w:t xml:space="preserve">Aplikacja powinna prowadzić klienta przez kolejne kroki:</w:t>
      </w:r>
    </w:p>
    <w:p>
      <w:pPr>
        <w:pStyle w:val="Compact"/>
        <w:numPr>
          <w:ilvl w:val="0"/>
          <w:numId w:val="1011"/>
        </w:numPr>
      </w:pPr>
      <w:r>
        <w:t xml:space="preserve">aktywacja konta;</w:t>
      </w:r>
    </w:p>
    <w:p>
      <w:pPr>
        <w:pStyle w:val="Compact"/>
        <w:numPr>
          <w:ilvl w:val="0"/>
          <w:numId w:val="1011"/>
        </w:numPr>
      </w:pPr>
      <w:r>
        <w:t xml:space="preserve">ustawienie wpływu wynagrodzenia;</w:t>
      </w:r>
    </w:p>
    <w:p>
      <w:pPr>
        <w:pStyle w:val="Compact"/>
        <w:numPr>
          <w:ilvl w:val="0"/>
          <w:numId w:val="1011"/>
        </w:numPr>
      </w:pPr>
      <w:r>
        <w:t xml:space="preserve">pierwsza płatność;</w:t>
      </w:r>
    </w:p>
    <w:p>
      <w:pPr>
        <w:pStyle w:val="Compact"/>
        <w:numPr>
          <w:ilvl w:val="0"/>
          <w:numId w:val="1011"/>
        </w:numPr>
      </w:pPr>
      <w:r>
        <w:t xml:space="preserve">przelewy;</w:t>
      </w:r>
    </w:p>
    <w:p>
      <w:pPr>
        <w:pStyle w:val="Compact"/>
        <w:numPr>
          <w:ilvl w:val="0"/>
          <w:numId w:val="1011"/>
        </w:numPr>
      </w:pPr>
      <w:r>
        <w:t xml:space="preserve">korzystanie z dodatkowych usług.</w:t>
      </w:r>
    </w:p>
    <w:bookmarkEnd w:id="62"/>
    <w:bookmarkStart w:id="63" w:name="push-notification"/>
    <w:p>
      <w:pPr>
        <w:pStyle w:val="Heading2"/>
      </w:pPr>
      <w:r>
        <w:t xml:space="preserve">Push notification</w:t>
      </w:r>
    </w:p>
    <w:p>
      <w:pPr>
        <w:pStyle w:val="FirstParagraph"/>
      </w:pPr>
      <w:r>
        <w:t xml:space="preserve">Przykład:</w:t>
      </w:r>
    </w:p>
    <w:p>
      <w:pPr>
        <w:pStyle w:val="BlockText"/>
      </w:pPr>
      <w:r>
        <w:rPr>
          <w:b/>
          <w:bCs/>
        </w:rPr>
        <w:t xml:space="preserve">Witaj w Hola Bank! Twój dobry start właśnie się zaczyna. Sprawdź swoje benefity.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oświadczenie-klienta"/>
    <w:p>
      <w:pPr>
        <w:pStyle w:val="Heading1"/>
      </w:pPr>
      <w:r>
        <w:t xml:space="preserve">16. Doświadczenie klienta</w:t>
      </w:r>
    </w:p>
    <w:p>
      <w:pPr>
        <w:pStyle w:val="FirstParagraph"/>
      </w:pPr>
      <w:r>
        <w:t xml:space="preserve">Doświadczenie powinno być</w:t>
      </w:r>
      <w:r>
        <w:t xml:space="preserve"> </w:t>
      </w:r>
      <w:r>
        <w:rPr>
          <w:b/>
          <w:bCs/>
        </w:rPr>
        <w:t xml:space="preserve">szybkie, cyfrowe i pozbawione niepotrzebnych barier</w:t>
      </w:r>
      <w:r>
        <w:t xml:space="preserve">.</w:t>
      </w:r>
    </w:p>
    <w:p>
      <w:pPr>
        <w:pStyle w:val="BodyText"/>
      </w:pPr>
      <w:r>
        <w:t xml:space="preserve">Klient powinien przejść przez ścieżkę:</w:t>
      </w:r>
    </w:p>
    <w:p>
      <w:pPr>
        <w:pStyle w:val="BodyText"/>
      </w:pPr>
      <w:r>
        <w:rPr>
          <w:b/>
          <w:bCs/>
        </w:rPr>
        <w:t xml:space="preserve">zobacz ofertę → otwórz konto → przenieś wynagrodzenie → korzystaj → poznaj kolejne możliwości</w:t>
      </w:r>
    </w:p>
    <w:p>
      <w:pPr>
        <w:pStyle w:val="BodyText"/>
      </w:pPr>
      <w:r>
        <w:t xml:space="preserve">Najważniejsze jest pierwsze doświadczenie.</w:t>
      </w:r>
    </w:p>
    <w:p>
      <w:pPr>
        <w:pStyle w:val="BodyText"/>
      </w:pPr>
      <w:r>
        <w:t xml:space="preserve">Klient powinien już od początku czuć:</w:t>
      </w:r>
    </w:p>
    <w:p>
      <w:pPr>
        <w:pStyle w:val="BlockText"/>
      </w:pPr>
      <w:r>
        <w:rPr>
          <w:b/>
          <w:bCs/>
        </w:rPr>
        <w:t xml:space="preserve">„To był prosty i dobry wybór.”</w:t>
      </w:r>
    </w:p>
    <w:p>
      <w:pPr>
        <w:pStyle w:val="FirstParagraph"/>
      </w:pPr>
      <w:r>
        <w:t xml:space="preserve">Wszystkie elementy onboardingu powinny być spójne z obietnicą kampanii.</w:t>
      </w:r>
    </w:p>
    <w:p>
      <w:pPr>
        <w:pStyle w:val="BodyText"/>
      </w:pPr>
      <w:r>
        <w:t xml:space="preserve">Jeżeli reklama mówi o prostocie, proces otwarcia rachunku również powinien być prosty.</w:t>
      </w:r>
    </w:p>
    <w:p>
      <w:pPr>
        <w:pStyle w:val="BodyText"/>
      </w:pPr>
      <w:r>
        <w:t xml:space="preserve">Jeżeli reklama mówi o braku opłat, warunki powinny być przedstawione jasno i transparentnie.</w:t>
      </w:r>
    </w:p>
    <w:p>
      <w:r>
        <w:pict>
          <v:rect style="width:0;height:1.5pt" o:hralign="center" o:hrstd="t" o:hr="t"/>
        </w:pict>
      </w:r>
    </w:p>
    <w:bookmarkEnd w:id="65"/>
    <w:bookmarkStart w:id="70" w:name="kluczowa-wartość-dla-klienta"/>
    <w:p>
      <w:pPr>
        <w:pStyle w:val="Heading1"/>
      </w:pPr>
      <w:r>
        <w:t xml:space="preserve">17. Kluczowa wartość dla klienta</w:t>
      </w:r>
    </w:p>
    <w:p>
      <w:pPr>
        <w:pStyle w:val="FirstParagraph"/>
      </w:pPr>
      <w:r>
        <w:t xml:space="preserve">Hiszpański Start można sprowadzić do czterech głównych wartości:</w:t>
      </w:r>
    </w:p>
    <w:bookmarkStart w:id="66" w:name="prostota-2"/>
    <w:p>
      <w:pPr>
        <w:pStyle w:val="Heading3"/>
      </w:pPr>
      <w:r>
        <w:t xml:space="preserve">PROSTOTA</w:t>
      </w:r>
    </w:p>
    <w:p>
      <w:pPr>
        <w:pStyle w:val="FirstParagraph"/>
      </w:pPr>
      <w:r>
        <w:t xml:space="preserve">Łatwy początek relacji z bankiem.</w:t>
      </w:r>
    </w:p>
    <w:bookmarkEnd w:id="66"/>
    <w:bookmarkStart w:id="67" w:name="oszczędność"/>
    <w:p>
      <w:pPr>
        <w:pStyle w:val="Heading3"/>
      </w:pPr>
      <w:r>
        <w:t xml:space="preserve">OSZCZĘDNOŚĆ</w:t>
      </w:r>
    </w:p>
    <w:p>
      <w:pPr>
        <w:pStyle w:val="FirstParagraph"/>
      </w:pPr>
      <w:r>
        <w:t xml:space="preserve">Brak wybranych opłat przez okres promocyjny.</w:t>
      </w:r>
    </w:p>
    <w:bookmarkEnd w:id="67"/>
    <w:bookmarkStart w:id="68" w:name="mobilność-1"/>
    <w:p>
      <w:pPr>
        <w:pStyle w:val="Heading3"/>
      </w:pPr>
      <w:r>
        <w:t xml:space="preserve">MOBILNOŚĆ</w:t>
      </w:r>
    </w:p>
    <w:p>
      <w:pPr>
        <w:pStyle w:val="FirstParagraph"/>
      </w:pPr>
      <w:r>
        <w:t xml:space="preserve">Wygodna bankowość dostępna z poziomu telefonu.</w:t>
      </w:r>
    </w:p>
    <w:bookmarkEnd w:id="68"/>
    <w:bookmarkStart w:id="69" w:name="swoboda"/>
    <w:p>
      <w:pPr>
        <w:pStyle w:val="Heading3"/>
      </w:pPr>
      <w:r>
        <w:t xml:space="preserve">SWOBODA</w:t>
      </w:r>
    </w:p>
    <w:p>
      <w:pPr>
        <w:pStyle w:val="FirstParagraph"/>
      </w:pPr>
      <w:r>
        <w:t xml:space="preserve">Możliwość wykonywania europejskich przelewów bez dodatkowych kosztów w ramach warunków oferty.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ola-grupy-docelowej-w-kampanii"/>
    <w:p>
      <w:pPr>
        <w:pStyle w:val="Heading1"/>
      </w:pPr>
      <w:r>
        <w:t xml:space="preserve">18. Rola grupy docelowej w kampanii</w:t>
      </w:r>
    </w:p>
    <w:p>
      <w:pPr>
        <w:pStyle w:val="FirstParagraph"/>
      </w:pPr>
      <w:r>
        <w:t xml:space="preserve">Nowi i niedawno pozyskani klienci są strategicznie ważni, ponieważ</w:t>
      </w:r>
      <w:r>
        <w:t xml:space="preserve"> </w:t>
      </w:r>
      <w:r>
        <w:rPr>
          <w:b/>
          <w:bCs/>
        </w:rPr>
        <w:t xml:space="preserve">pierwsze miesiące relacji mogą zdecydować o tym, czy bank stanie się ich główną instytucją finansową</w:t>
      </w:r>
      <w:r>
        <w:t xml:space="preserve">.</w:t>
      </w:r>
    </w:p>
    <w:p>
      <w:pPr>
        <w:pStyle w:val="BodyText"/>
      </w:pPr>
      <w:r>
        <w:t xml:space="preserve">Samo otwarcie konta nie jest wystarczającym celem.</w:t>
      </w:r>
    </w:p>
    <w:p>
      <w:pPr>
        <w:pStyle w:val="BodyText"/>
      </w:pPr>
      <w:r>
        <w:t xml:space="preserve">Kluczowe jest uzyskanie</w:t>
      </w:r>
      <w:r>
        <w:t xml:space="preserve"> </w:t>
      </w:r>
      <w:r>
        <w:rPr>
          <w:b/>
          <w:bCs/>
        </w:rPr>
        <w:t xml:space="preserve">realnej aktywności</w:t>
      </w:r>
      <w:r>
        <w:t xml:space="preserve">, przede wszystkim poprzez regularny wpływ wynagrodzenia.</w:t>
      </w:r>
    </w:p>
    <w:p>
      <w:pPr>
        <w:pStyle w:val="BodyText"/>
      </w:pPr>
      <w:r>
        <w:t xml:space="preserve">Dlatego Welcome Pack jest skonstruowany tak, aby połączyć:</w:t>
      </w:r>
    </w:p>
    <w:p>
      <w:pPr>
        <w:pStyle w:val="BodyText"/>
      </w:pPr>
      <w:r>
        <w:rPr>
          <w:b/>
          <w:bCs/>
        </w:rPr>
        <w:t xml:space="preserve">pozyskanie klienta → przeniesienie wynagrodzenia → codzienną aktywność → budowanie relacji.</w:t>
      </w:r>
    </w:p>
    <w:p>
      <w:pPr>
        <w:pStyle w:val="BodyText"/>
      </w:pPr>
      <w:r>
        <w:t xml:space="preserve">Jeżeli klient zacznie regularnie otrzymywać pensję, wykonywać przelewy i płatności oraz korzystać z aplikacji, bank ma możliwość dalszego rozwijania relacji.</w:t>
      </w:r>
    </w:p>
    <w:p>
      <w:pPr>
        <w:pStyle w:val="BodyText"/>
      </w:pPr>
      <w:r>
        <w:t xml:space="preserve">Kluczowy komunikat:</w:t>
      </w:r>
    </w:p>
    <w:p>
      <w:pPr>
        <w:pStyle w:val="BlockText"/>
      </w:pPr>
      <w:r>
        <w:rPr>
          <w:b/>
          <w:bCs/>
        </w:rPr>
        <w:t xml:space="preserve">„Nie chcemy być tylko kolejnym kontem. Chcemy być Twoim codziennym bankiem.”</w:t>
      </w:r>
    </w:p>
    <w:p>
      <w:r>
        <w:pict>
          <v:rect style="width:0;height:1.5pt" o:hralign="center" o:hrstd="t" o:hr="t"/>
        </w:pict>
      </w:r>
    </w:p>
    <w:bookmarkEnd w:id="71"/>
    <w:bookmarkStart w:id="72" w:name="ton-komunikacji"/>
    <w:p>
      <w:pPr>
        <w:pStyle w:val="Heading1"/>
      </w:pPr>
      <w:r>
        <w:t xml:space="preserve">19. Ton komunikacji</w:t>
      </w:r>
    </w:p>
    <w:p>
      <w:pPr>
        <w:pStyle w:val="FirstParagraph"/>
      </w:pPr>
      <w:r>
        <w:t xml:space="preserve">Komunikacja „Hiszpańskiego Startu” powinna być:</w:t>
      </w:r>
    </w:p>
    <w:p>
      <w:pPr>
        <w:pStyle w:val="BodyText"/>
      </w:pPr>
      <w:r>
        <w:rPr>
          <w:b/>
          <w:bCs/>
        </w:rPr>
        <w:t xml:space="preserve">Dynamiczna</w:t>
      </w:r>
      <w:r>
        <w:t xml:space="preserve"> </w:t>
      </w:r>
      <w:r>
        <w:t xml:space="preserve">— dopasowana do aktywnych zawodowo klientów.</w:t>
      </w:r>
    </w:p>
    <w:p>
      <w:pPr>
        <w:pStyle w:val="BodyText"/>
      </w:pPr>
      <w:r>
        <w:rPr>
          <w:b/>
          <w:bCs/>
        </w:rPr>
        <w:t xml:space="preserve">Nowoczesna</w:t>
      </w:r>
      <w:r>
        <w:t xml:space="preserve"> </w:t>
      </w:r>
      <w:r>
        <w:t xml:space="preserve">— oparta na cyfrowej bankowości.</w:t>
      </w:r>
    </w:p>
    <w:p>
      <w:pPr>
        <w:pStyle w:val="BodyText"/>
      </w:pPr>
      <w:r>
        <w:rPr>
          <w:b/>
          <w:bCs/>
        </w:rPr>
        <w:t xml:space="preserve">Prosta</w:t>
      </w:r>
      <w:r>
        <w:t xml:space="preserve"> </w:t>
      </w:r>
      <w:r>
        <w:t xml:space="preserve">— łatwa do zrozumienia.</w:t>
      </w:r>
    </w:p>
    <w:p>
      <w:pPr>
        <w:pStyle w:val="BodyText"/>
      </w:pPr>
      <w:r>
        <w:rPr>
          <w:b/>
          <w:bCs/>
        </w:rPr>
        <w:t xml:space="preserve">Pozytywna</w:t>
      </w:r>
      <w:r>
        <w:t xml:space="preserve"> </w:t>
      </w:r>
      <w:r>
        <w:t xml:space="preserve">— skupiona na nowym początku.</w:t>
      </w:r>
    </w:p>
    <w:p>
      <w:pPr>
        <w:pStyle w:val="BodyText"/>
      </w:pPr>
      <w:r>
        <w:rPr>
          <w:b/>
          <w:bCs/>
        </w:rPr>
        <w:t xml:space="preserve">Przejrzysta</w:t>
      </w:r>
      <w:r>
        <w:t xml:space="preserve"> </w:t>
      </w:r>
      <w:r>
        <w:t xml:space="preserve">— jasno pokazująca warunki.</w:t>
      </w:r>
    </w:p>
    <w:p>
      <w:pPr>
        <w:pStyle w:val="BodyText"/>
      </w:pPr>
      <w:r>
        <w:rPr>
          <w:b/>
          <w:bCs/>
        </w:rPr>
        <w:t xml:space="preserve">Międzynarodowa</w:t>
      </w:r>
      <w:r>
        <w:t xml:space="preserve"> </w:t>
      </w:r>
      <w:r>
        <w:t xml:space="preserve">— podkreślająca możliwość wykonywania przelewów europejskich.</w:t>
      </w:r>
    </w:p>
    <w:p>
      <w:pPr>
        <w:pStyle w:val="BodyText"/>
      </w:pPr>
      <w:r>
        <w:rPr>
          <w:b/>
          <w:bCs/>
        </w:rPr>
        <w:t xml:space="preserve">Bezpośrednia</w:t>
      </w:r>
      <w:r>
        <w:t xml:space="preserve"> </w:t>
      </w:r>
      <w:r>
        <w:t xml:space="preserve">— bez nadmiernie formalnego języka.</w:t>
      </w:r>
    </w:p>
    <w:p>
      <w:pPr>
        <w:pStyle w:val="BodyText"/>
      </w:pPr>
      <w:r>
        <w:t xml:space="preserve">Należy unikać komunikacji, która przesadnie eksponuje „promocję”.</w:t>
      </w:r>
    </w:p>
    <w:p>
      <w:pPr>
        <w:pStyle w:val="BodyText"/>
      </w:pPr>
      <w:r>
        <w:t xml:space="preserve">Lepszy efekt może dać przedstawienie oferty jako</w:t>
      </w:r>
      <w:r>
        <w:t xml:space="preserve"> </w:t>
      </w:r>
      <w:r>
        <w:rPr>
          <w:b/>
          <w:bCs/>
        </w:rPr>
        <w:t xml:space="preserve">dobrego sposobu na rozpoczęcie nowej relacji bankowej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7" w:name="podsumowanie-kampanii"/>
    <w:p>
      <w:pPr>
        <w:pStyle w:val="Heading1"/>
      </w:pPr>
      <w:r>
        <w:t xml:space="preserve">20. Podsumowanie kampanii</w:t>
      </w:r>
    </w:p>
    <w:p>
      <w:pPr>
        <w:pStyle w:val="FirstParagraph"/>
      </w:pPr>
      <w:r>
        <w:rPr>
          <w:b/>
          <w:bCs/>
        </w:rPr>
        <w:t xml:space="preserve">Hiszpański Start</w:t>
      </w:r>
      <w:r>
        <w:t xml:space="preserve"> </w:t>
      </w:r>
      <w:r>
        <w:t xml:space="preserve">to kampania akwizycyjna skierowana do osób w wieku</w:t>
      </w:r>
      <w:r>
        <w:t xml:space="preserve"> </w:t>
      </w:r>
      <w:r>
        <w:rPr>
          <w:b/>
          <w:bCs/>
        </w:rPr>
        <w:t xml:space="preserve">25–45 lat mieszkających w Hiszpanii</w:t>
      </w:r>
      <w:r>
        <w:t xml:space="preserve">, osiągających dochody w przedziale</w:t>
      </w:r>
      <w:r>
        <w:t xml:space="preserve"> </w:t>
      </w:r>
      <w:r>
        <w:rPr>
          <w:b/>
          <w:bCs/>
        </w:rPr>
        <w:t xml:space="preserve">40 000–90 000</w:t>
      </w:r>
      <w:r>
        <w:t xml:space="preserve"> </w:t>
      </w:r>
      <w:r>
        <w:t xml:space="preserve">i znajdujących się na początku relacji z bankiem.</w:t>
      </w:r>
    </w:p>
    <w:p>
      <w:pPr>
        <w:pStyle w:val="BodyText"/>
      </w:pPr>
      <w:r>
        <w:t xml:space="preserve">Głównym elementem kampanii jest Welcome Pack</w:t>
      </w:r>
      <w:r>
        <w:t xml:space="preserve"> </w:t>
      </w:r>
      <w:r>
        <w:rPr>
          <w:b/>
          <w:bCs/>
        </w:rPr>
        <w:t xml:space="preserve">„Hola Bank”</w:t>
      </w:r>
      <w:r>
        <w:t xml:space="preserve">, obejmujący</w:t>
      </w:r>
      <w:r>
        <w:t xml:space="preserve"> </w:t>
      </w:r>
      <w:r>
        <w:rPr>
          <w:b/>
          <w:bCs/>
        </w:rPr>
        <w:t xml:space="preserve">zwolnienie z opłat za prowadzenie konta oraz bezpłatne przelewy europejskie przez 24 miesiące</w:t>
      </w:r>
      <w:r>
        <w:t xml:space="preserve">, przy spełnieniu warunków oferty, w tym regularnym wpływie wynagrodzenia.</w:t>
      </w:r>
    </w:p>
    <w:p>
      <w:pPr>
        <w:pStyle w:val="BodyText"/>
      </w:pPr>
      <w:r>
        <w:t xml:space="preserve">Kampania ma nie tylko zwiększyć liczbę nowych klientów, ale przede wszystkim doprowadzić do</w:t>
      </w:r>
      <w:r>
        <w:t xml:space="preserve"> </w:t>
      </w:r>
      <w:r>
        <w:rPr>
          <w:b/>
          <w:bCs/>
        </w:rPr>
        <w:t xml:space="preserve">przeniesienia ich codziennej bankowości do banku</w:t>
      </w:r>
      <w:r>
        <w:t xml:space="preserve">.</w:t>
      </w:r>
    </w:p>
    <w:p>
      <w:pPr>
        <w:pStyle w:val="BodyText"/>
      </w:pPr>
      <w:r>
        <w:t xml:space="preserve">Najważniejszym mechanizmem jest:</w:t>
      </w:r>
    </w:p>
    <w:p>
      <w:pPr>
        <w:pStyle w:val="BodyText"/>
      </w:pPr>
      <w:r>
        <w:rPr>
          <w:b/>
          <w:bCs/>
        </w:rPr>
        <w:t xml:space="preserve">pozyskanie klienta + wpływ wynagrodzenia + codzienna aktywność + budowanie długoterminowej relacji.</w:t>
      </w:r>
    </w:p>
    <w:p>
      <w:pPr>
        <w:pStyle w:val="BodyText"/>
      </w:pPr>
      <w:r>
        <w:t xml:space="preserve">Program powinien wzmacniać trzy podstawowe skojarzenia:</w:t>
      </w:r>
    </w:p>
    <w:bookmarkStart w:id="73" w:name="hiszpański-start-prostota"/>
    <w:p>
      <w:pPr>
        <w:pStyle w:val="Heading3"/>
      </w:pPr>
      <w:r>
        <w:t xml:space="preserve">HISZPAŃSKI START = PROSTOTA</w:t>
      </w:r>
    </w:p>
    <w:bookmarkEnd w:id="73"/>
    <w:bookmarkStart w:id="74" w:name="hiszpański-start-brak-zbędnych-opłat"/>
    <w:p>
      <w:pPr>
        <w:pStyle w:val="Heading3"/>
      </w:pPr>
      <w:r>
        <w:t xml:space="preserve">HISZPAŃSKI START = BRAK ZBĘDNYCH OPŁAT</w:t>
      </w:r>
    </w:p>
    <w:bookmarkEnd w:id="74"/>
    <w:bookmarkStart w:id="75" w:name="hiszpański-start-dobry-początek-relacji"/>
    <w:p>
      <w:pPr>
        <w:pStyle w:val="Heading3"/>
      </w:pPr>
      <w:r>
        <w:t xml:space="preserve">HISZPAŃSKI START = DOBRY POCZĄTEK RELACJI</w:t>
      </w:r>
    </w:p>
    <w:bookmarkEnd w:id="75"/>
    <w:bookmarkStart w:id="76" w:name="główne-przesłanie-kampanii"/>
    <w:p>
      <w:pPr>
        <w:pStyle w:val="Heading2"/>
      </w:pPr>
      <w:r>
        <w:t xml:space="preserve">Główne przesłanie kampanii</w:t>
      </w:r>
    </w:p>
    <w:p>
      <w:pPr>
        <w:pStyle w:val="BlockText"/>
      </w:pPr>
      <w:r>
        <w:rPr>
          <w:b/>
          <w:bCs/>
        </w:rPr>
        <w:t xml:space="preserve">Hiszpański Start — Hola Bank. Zacznij dobrze, korzystaj swobodnie i buduj swoją nową bankową relację bez zbędnych opłat.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