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Hostess, Guest Relation, Head Waiter, Receptionist 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Alekseev Artem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1998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August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6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Uzbekistan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Tashkent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Single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 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178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63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Qyzylorda, Kazakhstan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Tashkent 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Russian 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Kazakhstan 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Pfizer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+77081631576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+77081631576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lanskyjr@mail.ru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@lanskyszn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Zarina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+77077991122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Mikhail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Zarina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Bachelor degree in business management 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Seneca College, Toronto, CA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Business management & administration 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2017-2020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2015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Chinese language foundation school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1.5 year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No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Hostess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M2 NightClub (Huangshi, China)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2015-2016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Problem resolution, take orders, communicate & escort vip clients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Salesman/Cashier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Bongo Retail store (Toronto, Canada)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2017-2018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Sell clothes, plan the sale strategy of the store, pack and deliver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Waiter/ VIP waiter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Habibi&#39;s lounge bar (Toronto, Canada)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2018-2019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Act as a communication hub between guest and kitchen, take orders, serve food and drinks, provide an excellent service overall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Restaurant Manager/ Art director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U Dimy Family restaurant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2020-till now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Managing the stuff, accounting and procurement, decorating and arranging theme parties, develope strategies to acquire new clients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Numerous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CRM, 1C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Travefy, Trivago, Hotellook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Canva, Photoshop, Adobe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Numerous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Yes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A,B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Alekseev Artem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2022-05-16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