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1f3864"/>
          <w:sz w:val="88"/>
          <w:szCs w:val="88"/>
          <w:rtl w:val="0"/>
        </w:rPr>
        <w:t xml:space="preserve">CISSP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b w:val="1"/>
          <w:bCs w:val="1"/>
          <w:color w:val="2e74b5"/>
          <w:sz w:val="40"/>
          <w:szCs w:val="40"/>
          <w:rtl w:val="0"/>
        </w:rPr>
        <w:t xml:space="preserve">Study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4b5" w:space="10" w:sz="24" w:val="single"/>
        </w:pBdr>
        <w:spacing w:after="2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f6e6e"/>
          <w:sz w:val="22"/>
          <w:szCs w:val="22"/>
          <w:rtl w:val="0"/>
        </w:rPr>
        <w:t xml:space="preserve">Managerial Concepts • Risk Management • Governance • Security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before="0" w:line="276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3"/>
          <w:szCs w:val="23"/>
          <w:rtl w:val="0"/>
        </w:rPr>
        <w:t xml:space="preserve">A consolidated resource covering the managerial mindset, risk and governance frameworks, legal and regulatory requirements, security controls, asset security, and the formal security models.</w:t>
      </w:r>
    </w:p>
    <w:p w:rsidR="00000000" w:rsidDel="00000000" w:rsidP="00000000" w:rsidRDefault="00000000" w:rsidRPr="00000000" w14:paraId="00000005">
      <w:pPr>
        <w:pBdr>
          <w:bottom w:color="2e74b5" w:space="6" w:sz="12" w:val="single"/>
        </w:pBd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6e6e"/>
          <w:sz w:val="26"/>
          <w:szCs w:val="26"/>
          <w:rtl w:val="0"/>
        </w:rPr>
        <w:t xml:space="preserve">≡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Contents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20" w:tblpY="0"/>
        <w:tblW w:w="9360.0" w:type="dxa"/>
        <w:jc w:val="left"/>
        <w:tblBorders>
          <w:top w:color="2e74b5" w:space="0" w:sz="4" w:val="single"/>
          <w:left w:color="2e74b5" w:space="0" w:sz="4" w:val="single"/>
          <w:bottom w:color="2e74b5" w:space="0" w:sz="4" w:val="single"/>
          <w:right w:color="2e74b5" w:space="0" w:sz="4" w:val="single"/>
          <w:insideH w:color="b9cce4" w:space="0" w:sz="4" w:val="single"/>
          <w:insideV w:color="b9cce4" w:space="0" w:sz="4" w:val="single"/>
        </w:tblBorders>
        <w:tblLayout w:type="fixed"/>
        <w:tblLook w:val="0000"/>
      </w:tblPr>
      <w:tblGrid>
        <w:gridCol w:w="900"/>
        <w:gridCol w:w="3400"/>
        <w:gridCol w:w="5060"/>
        <w:tblGridChange w:id="0">
          <w:tblGrid>
            <w:gridCol w:w="900"/>
            <w:gridCol w:w="3400"/>
            <w:gridCol w:w="5060"/>
          </w:tblGrid>
        </w:tblGridChange>
      </w:tblGrid>
      <w:tr>
        <w:trPr>
          <w:cantSplit w:val="1"/>
          <w:tblHeader w:val="0"/>
        </w:trPr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It Covers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4b5"/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The CISSP Manager Mindset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Priorities, accountability vs. responsibility, due care and due diligence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4b5"/>
                <w:sz w:val="20"/>
                <w:szCs w:val="20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Test-Taking 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Golden words to favor and brown words to avoid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4b5"/>
                <w:sz w:val="20"/>
                <w:szCs w:val="20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Security and Risk Management (Domain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CIA triad, risk formula and responses, quantitative metrics, NIST RMF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4b5"/>
                <w:sz w:val="20"/>
                <w:szCs w:val="20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Governance and Documentation Hierarchy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Policies, standards, baselines, procedures, guidelines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4b5"/>
                <w:sz w:val="20"/>
                <w:szCs w:val="20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Legal, Regulatory, and Privacy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GDPR, the regulation table, Privacy Shield, intellectual property, ethics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4b5"/>
                <w:sz w:val="20"/>
                <w:szCs w:val="20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Security Control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types and functional classifications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4b5"/>
                <w:sz w:val="20"/>
                <w:szCs w:val="20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Asset Security (Domain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roles, classification, sanitization, transit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4b5"/>
                <w:sz w:val="20"/>
                <w:szCs w:val="20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Formal Security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Bell-LaPadula, Biba, Clark-Wilson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4b5"/>
                <w:sz w:val="20"/>
                <w:szCs w:val="20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Exam Specifics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Computerized Adaptive Testing and official references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30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30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30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30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0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30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2e74b5" w:space="6" w:sz="12" w:val="single"/>
        </w:pBdr>
        <w:spacing w:after="70" w:before="3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4b5"/>
          <w:sz w:val="28"/>
          <w:szCs w:val="28"/>
          <w:rtl w:val="0"/>
        </w:rPr>
        <w:t xml:space="preserve">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0f6e6e"/>
          <w:sz w:val="26"/>
          <w:szCs w:val="26"/>
          <w:rtl w:val="0"/>
        </w:rPr>
        <w:t xml:space="preserve">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1f3864"/>
          <w:sz w:val="28"/>
          <w:szCs w:val="28"/>
          <w:rtl w:val="0"/>
        </w:rPr>
        <w:t xml:space="preserve">The CISSP Manager Mindset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7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1"/>
          <w:szCs w:val="21"/>
          <w:rtl w:val="0"/>
        </w:rPr>
        <w:t xml:space="preserve">Security is a business enabler, not just a technical constraint. Senior management and the Board of Directors are ultimately accountable and responsible for the organization’s security posture.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7f6000" w:space="0" w:sz="4" w:val="single"/>
          <w:left w:color="7f6000" w:space="0" w:sz="24" w:val="single"/>
          <w:bottom w:color="7f6000" w:space="0" w:sz="4" w:val="single"/>
          <w:right w:color="7f6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fff2cc" w:val="clear"/>
            <w:tcMar>
              <w:top w:w="150.0" w:type="dxa"/>
              <w:left w:w="200.0" w:type="dxa"/>
              <w:bottom w:w="150.0" w:type="dxa"/>
              <w:right w:w="170.0" w:type="dxa"/>
            </w:tcMar>
          </w:tcPr>
          <w:p w:rsidR="00000000" w:rsidDel="00000000" w:rsidP="00000000" w:rsidRDefault="00000000" w:rsidRPr="00000000" w14:paraId="0000002C">
            <w:pPr>
              <w:spacing w:after="90" w:line="276" w:lineRule="auto"/>
              <w:rPr/>
            </w:pPr>
            <w:r w:rsidDel="00000000" w:rsidR="00000000" w:rsidRPr="00000000">
              <w:rPr>
                <w:b w:val="1"/>
                <w:bCs w:val="1"/>
                <w:color w:val="7f6000"/>
                <w:sz w:val="22"/>
                <w:szCs w:val="22"/>
                <w:rtl w:val="0"/>
              </w:rPr>
              <w:t xml:space="preserve">★</w:t>
            </w: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color w:val="7f6000"/>
                <w:sz w:val="22"/>
                <w:szCs w:val="22"/>
                <w:rtl w:val="0"/>
              </w:rPr>
              <w:t xml:space="preserve">Key Tip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17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Watch </w:t>
            </w:r>
            <w:hyperlink r:id="rId6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rtl w:val="0"/>
                </w:rPr>
                <w:t xml:space="preserve">Why you will pass the CISSP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numerous times as you begin your study, throughout your study, and especially before the exam. </w:t>
            </w:r>
          </w:p>
          <w:p w:rsidR="00000000" w:rsidDel="00000000" w:rsidP="00000000" w:rsidRDefault="00000000" w:rsidRPr="00000000" w14:paraId="0000002E">
            <w:pPr>
              <w:spacing w:after="17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watched the old and new version</w:t>
            </w:r>
            <w:hyperlink r:id="rId7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rtl w:val="0"/>
                </w:rPr>
                <w:t xml:space="preserve">How to Pass the CISSP Exam Like a Pro: Your Complete Strategy Guide | Destination Certification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at least 10 times in the 48 hours leading up to my exam.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170" w:before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90" w:before="2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4b5"/>
          <w:sz w:val="18"/>
          <w:szCs w:val="18"/>
          <w:rtl w:val="0"/>
        </w:rPr>
        <w:t xml:space="preserve">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4b5"/>
          <w:sz w:val="24"/>
          <w:szCs w:val="24"/>
          <w:rtl w:val="0"/>
        </w:rPr>
        <w:t xml:space="preserve">Priorities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3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Business First: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Business goals and objectives win.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78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If a question or situation asks for the primary driver of security, look for Business Strategy, Business Goals, or Business Objectives in the answer and in real life.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3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Law vs. Business: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In any conflict between legal requirements and business interests, the law always wins.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90" w:before="2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4b5"/>
          <w:sz w:val="18"/>
          <w:szCs w:val="18"/>
          <w:rtl w:val="0"/>
        </w:rPr>
        <w:t xml:space="preserve">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4b5"/>
          <w:sz w:val="24"/>
          <w:szCs w:val="24"/>
          <w:rtl w:val="0"/>
        </w:rPr>
        <w:t xml:space="preserve">Accountability vs. Responsibility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2e74b5" w:space="0" w:sz="4" w:val="single"/>
          <w:left w:color="2e74b5" w:space="0" w:sz="4" w:val="single"/>
          <w:bottom w:color="2e74b5" w:space="0" w:sz="4" w:val="single"/>
          <w:right w:color="2e74b5" w:space="0" w:sz="4" w:val="single"/>
          <w:insideH w:color="b9cce4" w:space="0" w:sz="4" w:val="single"/>
          <w:insideV w:color="b9cce4" w:space="0" w:sz="4" w:val="single"/>
        </w:tblBorders>
        <w:tblLayout w:type="fixed"/>
        <w:tblLook w:val="0000"/>
      </w:tblPr>
      <w:tblGrid>
        <w:gridCol w:w="2100"/>
        <w:gridCol w:w="3630"/>
        <w:gridCol w:w="3630"/>
        <w:tblGridChange w:id="0">
          <w:tblGrid>
            <w:gridCol w:w="2100"/>
            <w:gridCol w:w="3630"/>
            <w:gridCol w:w="363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Who Holds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Key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Accountability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Senior management, who must provide the resources and authority for security.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5b2c6f"/>
                <w:sz w:val="18"/>
                <w:szCs w:val="18"/>
                <w:rtl w:val="0"/>
              </w:rPr>
              <w:t xml:space="preserve">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5b2c6f"/>
                <w:sz w:val="20"/>
                <w:szCs w:val="20"/>
                <w:rtl w:val="0"/>
              </w:rPr>
              <w:t xml:space="preserve">Always singular.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Individuals, held to account for their actions through training and sign-offs.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f6e6e"/>
                <w:sz w:val="18"/>
                <w:szCs w:val="18"/>
                <w:rtl w:val="0"/>
              </w:rPr>
              <w:t xml:space="preserve">●●●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f6e6e"/>
                <w:sz w:val="20"/>
                <w:szCs w:val="20"/>
                <w:rtl w:val="0"/>
              </w:rPr>
              <w:t xml:space="preserve">Can be many.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90" w:before="2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4b5"/>
          <w:sz w:val="18"/>
          <w:szCs w:val="18"/>
          <w:rtl w:val="0"/>
        </w:rPr>
        <w:t xml:space="preserve">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4b5"/>
          <w:sz w:val="24"/>
          <w:szCs w:val="24"/>
          <w:rtl w:val="0"/>
        </w:rPr>
        <w:t xml:space="preserve">The “Reasonable Man”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3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1"/>
          <w:szCs w:val="21"/>
          <w:rtl w:val="0"/>
        </w:rPr>
        <w:t xml:space="preserve">Security professionals must exercise both: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3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Due diligence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proactive</w:t>
      </w:r>
      <w:r w:rsidDel="00000000" w:rsidR="00000000" w:rsidRPr="00000000">
        <w:rPr>
          <w:rtl w:val="0"/>
        </w:rPr>
        <w:t xml:space="preserve"> investigation, planning, and policy-making process used to identify risks and establish security frameworks, while </w:t>
      </w:r>
      <w:r w:rsidDel="00000000" w:rsidR="00000000" w:rsidRPr="00000000">
        <w:rPr>
          <w:b w:val="1"/>
          <w:bCs w:val="1"/>
          <w:rtl w:val="0"/>
        </w:rPr>
        <w:t xml:space="preserve">due care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reactive</w:t>
      </w:r>
      <w:r w:rsidDel="00000000" w:rsidR="00000000" w:rsidRPr="00000000">
        <w:rPr>
          <w:rtl w:val="0"/>
        </w:rPr>
        <w:t xml:space="preserve"> implementation and execution of those measures to protect assets. </w:t>
      </w:r>
    </w:p>
    <w:p w:rsidR="00000000" w:rsidDel="00000000" w:rsidP="00000000" w:rsidRDefault="00000000" w:rsidRPr="00000000" w14:paraId="00000043">
      <w:pPr>
        <w:spacing w:after="130" w:before="0" w:line="276" w:lineRule="auto"/>
        <w:rPr/>
      </w:pPr>
      <w:r w:rsidDel="00000000" w:rsidR="00000000" w:rsidRPr="00000000">
        <w:rPr>
          <w:rtl w:val="0"/>
        </w:rPr>
        <w:t xml:space="preserve">The distinction is often summarized as knowledge versus action: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Due Diligence</w:t>
      </w:r>
      <w:r w:rsidDel="00000000" w:rsidR="00000000" w:rsidRPr="00000000">
        <w:rPr>
          <w:rtl w:val="0"/>
        </w:rPr>
        <w:t xml:space="preserve"> involves researching threats, conducting audits, assessing third-party vendors, and creating policies (the "Prudent Man" rule of planning).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130" w:before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Due Care</w:t>
      </w:r>
      <w:r w:rsidDel="00000000" w:rsidR="00000000" w:rsidRPr="00000000">
        <w:rPr>
          <w:rtl w:val="0"/>
        </w:rPr>
        <w:t xml:space="preserve"> involves applying patches, encrypting data, monitoring networks, and following established procedures (the "Prudent Man" rule of doing). </w:t>
      </w:r>
    </w:p>
    <w:p w:rsidR="00000000" w:rsidDel="00000000" w:rsidP="00000000" w:rsidRDefault="00000000" w:rsidRPr="00000000" w14:paraId="00000046">
      <w:pPr>
        <w:spacing w:after="130" w:before="0" w:line="276" w:lineRule="auto"/>
        <w:rPr/>
      </w:pPr>
      <w:r w:rsidDel="00000000" w:rsidR="00000000" w:rsidRPr="00000000">
        <w:rPr>
          <w:rtl w:val="0"/>
        </w:rPr>
        <w:t xml:space="preserve">In a typical security lifecycle, due diligence precedes due care, as organizations must first determine what controls are necessary before implementing them.  </w:t>
      </w:r>
    </w:p>
    <w:p w:rsidR="00000000" w:rsidDel="00000000" w:rsidP="00000000" w:rsidRDefault="00000000" w:rsidRPr="00000000" w14:paraId="00000047">
      <w:pPr>
        <w:spacing w:after="130" w:before="0" w:line="276" w:lineRule="auto"/>
        <w:rPr/>
      </w:pPr>
      <w:r w:rsidDel="00000000" w:rsidR="00000000" w:rsidRPr="00000000">
        <w:rPr>
          <w:rtl w:val="0"/>
        </w:rPr>
        <w:t xml:space="preserve">Neglecting due diligence can lead to poor decision-making, while neglecting due care can result in legal negligence and failure to protect organizational interests.</w:t>
      </w:r>
    </w:p>
    <w:p w:rsidR="00000000" w:rsidDel="00000000" w:rsidP="00000000" w:rsidRDefault="00000000" w:rsidRPr="00000000" w14:paraId="00000048">
      <w:pPr>
        <w:pBdr>
          <w:bottom w:color="2e74b5" w:space="6" w:sz="12" w:val="single"/>
        </w:pBdr>
        <w:spacing w:after="70" w:before="380" w:lineRule="auto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4b5"/>
          <w:sz w:val="28"/>
          <w:szCs w:val="28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0f6e6e"/>
          <w:sz w:val="26"/>
          <w:szCs w:val="26"/>
          <w:rtl w:val="0"/>
        </w:rPr>
        <w:t xml:space="preserve">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1f3864"/>
          <w:sz w:val="28"/>
          <w:szCs w:val="28"/>
          <w:rtl w:val="0"/>
        </w:rPr>
        <w:t xml:space="preserve">Test-Taking Vocabulary: Golden and Brown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1"/>
          <w:szCs w:val="21"/>
          <w:rtl w:val="0"/>
        </w:rPr>
        <w:t xml:space="preserve">Success on the CISSP exam often depends on identifying the “managerial” answer. Use the following vocabulary guide to evaluate options.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2e74b5" w:space="0" w:sz="4" w:val="single"/>
          <w:left w:color="2e74b5" w:space="0" w:sz="4" w:val="single"/>
          <w:bottom w:color="2e74b5" w:space="0" w:sz="4" w:val="single"/>
          <w:right w:color="2e74b5" w:space="0" w:sz="4" w:val="single"/>
          <w:insideH w:color="b9cce4" w:space="0" w:sz="4" w:val="single"/>
          <w:insideV w:color="b9cce4" w:space="0" w:sz="4" w:val="single"/>
        </w:tblBorders>
        <w:tblLayout w:type="fixed"/>
        <w:tblLook w:val="0000"/>
      </w:tblPr>
      <w:tblGrid>
        <w:gridCol w:w="1700"/>
        <w:gridCol w:w="3830"/>
        <w:gridCol w:w="3830"/>
        <w:tblGridChange w:id="0">
          <w:tblGrid>
            <w:gridCol w:w="1700"/>
            <w:gridCol w:w="3830"/>
            <w:gridCol w:w="383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f6000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20"/>
                <w:szCs w:val="20"/>
                <w:rtl w:val="0"/>
              </w:rPr>
              <w:t xml:space="preserve">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Words to Favor (“Golden Words”)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33c0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color w:val="ffffff"/>
                <w:sz w:val="20"/>
                <w:szCs w:val="20"/>
                <w:rtl w:val="0"/>
              </w:rPr>
              <w:t xml:space="preserve">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Words to Avoid (“Brown Words”)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Business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Business Strategy, Business Goals, Impact,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IT, Peer, Certification/Accreditation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Risk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Risk, Business Risk, Acceptable, Appropriate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Eliminate (risk can’t be eliminated), Reject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Ignore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Change Management,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Always/Everyone (absolutes are usually wrong)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Accountability, Classification, Senior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International security standards (rarely the answer)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1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7f6000" w:space="0" w:sz="4" w:val="single"/>
          <w:left w:color="7f6000" w:space="0" w:sz="24" w:val="single"/>
          <w:bottom w:color="7f6000" w:space="0" w:sz="4" w:val="single"/>
          <w:right w:color="7f6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fff2cc" w:val="clear"/>
            <w:tcMar>
              <w:top w:w="150.0" w:type="dxa"/>
              <w:left w:w="200.0" w:type="dxa"/>
              <w:bottom w:w="150.0" w:type="dxa"/>
              <w:right w:w="170.0" w:type="dxa"/>
            </w:tcMar>
          </w:tcPr>
          <w:p w:rsidR="00000000" w:rsidDel="00000000" w:rsidP="00000000" w:rsidRDefault="00000000" w:rsidRPr="00000000" w14:paraId="0000005A">
            <w:pPr>
              <w:spacing w:after="9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7f6000"/>
                <w:sz w:val="22"/>
                <w:szCs w:val="22"/>
                <w:rtl w:val="0"/>
              </w:rPr>
              <w:t xml:space="preserve">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7f6000"/>
                <w:sz w:val="22"/>
                <w:szCs w:val="22"/>
                <w:rtl w:val="0"/>
              </w:rPr>
              <w:t xml:space="preserve">Key Tips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0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If a specific word in a question is used in only one of the provided answers, pay close attention to that answer.</w:t>
            </w:r>
          </w:p>
          <w:p w:rsidR="00000000" w:rsidDel="00000000" w:rsidP="00000000" w:rsidRDefault="00000000" w:rsidRPr="00000000" w14:paraId="0000005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If all the answers represent a technical, or fix it response, and one doesn't, pay close attention to that answer.</w:t>
            </w:r>
          </w:p>
        </w:tc>
      </w:tr>
    </w:tbl>
    <w:p w:rsidR="00000000" w:rsidDel="00000000" w:rsidP="00000000" w:rsidRDefault="00000000" w:rsidRPr="00000000" w14:paraId="0000005E">
      <w:pPr>
        <w:pBdr>
          <w:bottom w:color="2e74b5" w:space="6" w:sz="12" w:val="single"/>
        </w:pBdr>
        <w:spacing w:after="70" w:before="3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4b5"/>
          <w:sz w:val="28"/>
          <w:szCs w:val="28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0f6e6e"/>
          <w:sz w:val="26"/>
          <w:szCs w:val="26"/>
          <w:rtl w:val="0"/>
        </w:rPr>
        <w:t xml:space="preserve">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1f3864"/>
          <w:sz w:val="28"/>
          <w:szCs w:val="28"/>
          <w:rtl w:val="0"/>
        </w:rPr>
        <w:t xml:space="preserve">Security and Risk Management (Domain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90" w:before="2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4b5"/>
          <w:sz w:val="18"/>
          <w:szCs w:val="18"/>
          <w:rtl w:val="0"/>
        </w:rPr>
        <w:t xml:space="preserve">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4b5"/>
          <w:sz w:val="24"/>
          <w:szCs w:val="24"/>
          <w:rtl w:val="0"/>
        </w:rPr>
        <w:t xml:space="preserve">The CIA Triad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2e74b5" w:space="0" w:sz="4" w:val="single"/>
          <w:left w:color="2e74b5" w:space="0" w:sz="4" w:val="single"/>
          <w:bottom w:color="2e74b5" w:space="0" w:sz="4" w:val="single"/>
          <w:right w:color="2e74b5" w:space="0" w:sz="4" w:val="single"/>
          <w:insideH w:color="b9cce4" w:space="0" w:sz="4" w:val="single"/>
          <w:insideV w:color="b9cce4" w:space="0" w:sz="4" w:val="single"/>
        </w:tblBorders>
        <w:tblLayout w:type="fixed"/>
        <w:tblLook w:val="0000"/>
      </w:tblPr>
      <w:tblGrid>
        <w:gridCol w:w="2100"/>
        <w:gridCol w:w="7260"/>
        <w:tblGridChange w:id="0">
          <w:tblGrid>
            <w:gridCol w:w="2100"/>
            <w:gridCol w:w="726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What It Preserves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Confidentiality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Preventing unauthorized access to systems and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Preventing unauthorized modification of information. Mnemonic: the “I” in the Biba model stands for Integrity (see Section 08).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Ensuring systems and data are accessible.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90" w:before="2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4b5"/>
          <w:sz w:val="18"/>
          <w:szCs w:val="18"/>
          <w:rtl w:val="0"/>
        </w:rPr>
        <w:t xml:space="preserve">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4b5"/>
          <w:sz w:val="24"/>
          <w:szCs w:val="24"/>
          <w:rtl w:val="0"/>
        </w:rPr>
        <w:t xml:space="preserve">Risk Management Frameworks and Processes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3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1"/>
          <w:szCs w:val="21"/>
          <w:rtl w:val="0"/>
        </w:rPr>
        <w:t xml:space="preserve">Risk is defined by the formula: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2e74b5" w:space="0" w:sz="4" w:val="single"/>
          <w:left w:color="2e74b5" w:space="0" w:sz="24" w:val="single"/>
          <w:bottom w:color="2e74b5" w:space="0" w:sz="4" w:val="single"/>
          <w:right w:color="2e74b5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eef3fa" w:val="clear"/>
            <w:tcMar>
              <w:top w:w="150.0" w:type="dxa"/>
              <w:left w:w="200.0" w:type="dxa"/>
              <w:bottom w:w="150.0" w:type="dxa"/>
              <w:right w:w="17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8"/>
                <w:szCs w:val="28"/>
                <w:rtl w:val="0"/>
              </w:rPr>
              <w:t xml:space="preserve">Risk  =  Threat  ×  Vulnerability </w:t>
            </w: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|| Risk = Impact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8"/>
                <w:szCs w:val="28"/>
                <w:rtl w:val="0"/>
              </w:rPr>
              <w:t xml:space="preserve">  ×  Likelihood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1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2e74b5" w:space="0" w:sz="4" w:val="single"/>
          <w:left w:color="2e74b5" w:space="0" w:sz="4" w:val="single"/>
          <w:bottom w:color="2e74b5" w:space="0" w:sz="4" w:val="single"/>
          <w:right w:color="2e74b5" w:space="0" w:sz="4" w:val="single"/>
          <w:insideH w:color="b9cce4" w:space="0" w:sz="4" w:val="single"/>
          <w:insideV w:color="b9cce4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Vulnerability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A weakness in an asset — defined strictly.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Threat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A potential danger that might exploit a vulnerability.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Risk (Inherent, Total)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The risk level before any controls or safeguards are applied.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Residual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The risk remaining after countermeasures are implemented.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7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color w:val="0f6e6e"/>
          <w:sz w:val="21"/>
          <w:szCs w:val="21"/>
          <w:rtl w:val="0"/>
        </w:rPr>
        <w:t xml:space="preserve">The Four Risk Responses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2e74b5" w:space="0" w:sz="4" w:val="single"/>
          <w:left w:color="2e74b5" w:space="0" w:sz="4" w:val="single"/>
          <w:bottom w:color="2e74b5" w:space="0" w:sz="4" w:val="single"/>
          <w:right w:color="2e74b5" w:space="0" w:sz="4" w:val="single"/>
          <w:insideH w:color="b9cce4" w:space="0" w:sz="4" w:val="single"/>
          <w:insideV w:color="b9cce4" w:space="0" w:sz="4" w:val="single"/>
        </w:tblBorders>
        <w:tblLayout w:type="fixed"/>
        <w:tblLook w:val="0000"/>
      </w:tblPr>
      <w:tblGrid>
        <w:gridCol w:w="700"/>
        <w:gridCol w:w="2100"/>
        <w:gridCol w:w="6560"/>
        <w:tblGridChange w:id="0">
          <w:tblGrid>
            <w:gridCol w:w="700"/>
            <w:gridCol w:w="2100"/>
            <w:gridCol w:w="656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4b5"/>
                <w:sz w:val="22"/>
                <w:szCs w:val="22"/>
                <w:rtl w:val="0"/>
              </w:rPr>
              <w:t xml:space="preserve">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Mitigate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Implement cost-effective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color w:val="2e74b5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Accept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Live with the risk (requires a cost-benefit analysis; do not spend $100k to protect a $50k asset).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color w:val="2e74b5"/>
                <w:sz w:val="22"/>
                <w:szCs w:val="22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Shift risk to a third party (e.g., insurance).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color w:val="2e74b5"/>
                <w:sz w:val="22"/>
                <w:szCs w:val="22"/>
                <w:rtl w:val="0"/>
              </w:rPr>
              <w:t xml:space="preserve">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Avoid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Stop the activity causing the risk.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1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833c0b" w:space="0" w:sz="4" w:val="single"/>
          <w:left w:color="833c0b" w:space="0" w:sz="24" w:val="single"/>
          <w:bottom w:color="833c0b" w:space="0" w:sz="4" w:val="single"/>
          <w:right w:color="833c0b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fbe4d5" w:val="clear"/>
            <w:tcMar>
              <w:top w:w="150.0" w:type="dxa"/>
              <w:left w:w="200.0" w:type="dxa"/>
              <w:bottom w:w="150.0" w:type="dxa"/>
              <w:right w:w="170.0" w:type="dxa"/>
            </w:tcMar>
          </w:tcPr>
          <w:p w:rsidR="00000000" w:rsidDel="00000000" w:rsidP="00000000" w:rsidRDefault="00000000" w:rsidRPr="00000000" w14:paraId="00000088">
            <w:pPr>
              <w:spacing w:after="90" w:before="0"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color w:val="833c0b"/>
                <w:sz w:val="22"/>
                <w:szCs w:val="22"/>
                <w:rtl w:val="0"/>
              </w:rPr>
              <w:t xml:space="preserve">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833c0b"/>
                <w:sz w:val="22"/>
                <w:szCs w:val="22"/>
                <w:rtl w:val="0"/>
              </w:rPr>
              <w:t xml:space="preserve">Not a Valid Response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Never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Reject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 or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Ignore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 risk. Risk can never be entirely eliminated — only mitigated, accepted, transferred, or avoided.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7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color w:val="0f6e6e"/>
          <w:sz w:val="21"/>
          <w:szCs w:val="21"/>
          <w:rtl w:val="0"/>
        </w:rPr>
        <w:t xml:space="preserve">Quantitative Risk Assessment Metrics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2e74b5" w:space="0" w:sz="4" w:val="single"/>
          <w:left w:color="2e74b5" w:space="0" w:sz="4" w:val="single"/>
          <w:bottom w:color="2e74b5" w:space="0" w:sz="4" w:val="single"/>
          <w:right w:color="2e74b5" w:space="0" w:sz="4" w:val="single"/>
          <w:insideH w:color="b9cce4" w:space="0" w:sz="4" w:val="single"/>
          <w:insideV w:color="b9cce4" w:space="0" w:sz="4" w:val="single"/>
        </w:tblBorders>
        <w:tblLayout w:type="fixed"/>
        <w:tblLook w:val="0000"/>
      </w:tblPr>
      <w:tblGrid>
        <w:gridCol w:w="1300"/>
        <w:gridCol w:w="4860"/>
        <w:gridCol w:w="3200"/>
        <w:tblGridChange w:id="0">
          <w:tblGrid>
            <w:gridCol w:w="1300"/>
            <w:gridCol w:w="4860"/>
            <w:gridCol w:w="320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Asset Value — the dollar value of the resource.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2e74b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Exposure Factor — the percentage of asset value lost when a threat occurs.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2e74b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SLE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Single Loss Expectancy — the cost of one loss.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f6e6e"/>
                <w:sz w:val="21"/>
                <w:szCs w:val="21"/>
                <w:rtl w:val="0"/>
              </w:rPr>
              <w:t xml:space="preserve">AV × 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Annualized Rate of Occurrence — how many losses occur per year.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2e74b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Annual Loss Expectancy — the cost of losses per year.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f6e6e"/>
                <w:sz w:val="21"/>
                <w:szCs w:val="21"/>
                <w:rtl w:val="0"/>
              </w:rPr>
              <w:t xml:space="preserve">SLE × ARO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17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7f6000" w:space="0" w:sz="4" w:val="single"/>
          <w:left w:color="7f6000" w:space="0" w:sz="24" w:val="single"/>
          <w:bottom w:color="7f6000" w:space="0" w:sz="4" w:val="single"/>
          <w:right w:color="7f6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fff2cc" w:val="clear"/>
            <w:tcMar>
              <w:top w:w="150.0" w:type="dxa"/>
              <w:left w:w="200.0" w:type="dxa"/>
              <w:bottom w:w="150.0" w:type="dxa"/>
              <w:right w:w="170.0" w:type="dxa"/>
            </w:tcMar>
          </w:tcPr>
          <w:p w:rsidR="00000000" w:rsidDel="00000000" w:rsidP="00000000" w:rsidRDefault="00000000" w:rsidRPr="00000000" w14:paraId="0000009E">
            <w:pPr>
              <w:spacing w:after="9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7f6000"/>
                <w:sz w:val="22"/>
                <w:szCs w:val="22"/>
                <w:rtl w:val="0"/>
              </w:rPr>
              <w:t xml:space="preserve">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7f6000"/>
                <w:sz w:val="22"/>
                <w:szCs w:val="22"/>
                <w:rtl w:val="0"/>
              </w:rPr>
              <w:t xml:space="preserve">Exam Tip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before="0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Work the chain in order: AV × EF = SLE, then SLE × ARO = ALE. SLE is the cost of a single loss; ALE is the cost per year.</w:t>
            </w:r>
          </w:p>
          <w:p w:rsidR="00000000" w:rsidDel="00000000" w:rsidP="00000000" w:rsidRDefault="00000000" w:rsidRPr="00000000" w14:paraId="000000A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Know how to work an example of this confidently.</w:t>
            </w:r>
          </w:p>
        </w:tc>
      </w:tr>
    </w:tbl>
    <w:p w:rsidR="00000000" w:rsidDel="00000000" w:rsidP="00000000" w:rsidRDefault="00000000" w:rsidRPr="00000000" w14:paraId="000000A2">
      <w:pPr>
        <w:spacing w:after="7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color w:val="0f6e6e"/>
          <w:sz w:val="21"/>
          <w:szCs w:val="21"/>
          <w:rtl w:val="0"/>
        </w:rPr>
        <w:t xml:space="preserve">NIST Risk Management Framework (RMF)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3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1"/>
          <w:szCs w:val="21"/>
          <w:rtl w:val="0"/>
        </w:rPr>
        <w:t xml:space="preserve">The process follows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5b2c6f"/>
          <w:sz w:val="21"/>
          <w:szCs w:val="21"/>
          <w:rtl w:val="0"/>
        </w:rPr>
        <w:t xml:space="preserve">PCSIAAM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1"/>
          <w:szCs w:val="21"/>
          <w:rtl w:val="0"/>
        </w:rPr>
        <w:t xml:space="preserve"> mnemonic: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Prepare: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Initialize the risk management process.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Categorize: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Determine the sensitivity of the information system.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Select: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Choose the initial set of baseline security controls.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Implement: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Document and deploy the controls.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Assess: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Verify that controls are operating correctly.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Authorize: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Senior management accepts the risk and allows operations.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Monitor: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Continuously track control effectiveness.</w:t>
      </w:r>
    </w:p>
    <w:p w:rsidR="00000000" w:rsidDel="00000000" w:rsidP="00000000" w:rsidRDefault="00000000" w:rsidRPr="00000000" w14:paraId="000000AB">
      <w:pPr>
        <w:pBdr>
          <w:bottom w:color="2e74b5" w:space="6" w:sz="12" w:val="single"/>
        </w:pBdr>
        <w:spacing w:after="70" w:before="3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4b5"/>
          <w:sz w:val="28"/>
          <w:szCs w:val="28"/>
          <w:rtl w:val="0"/>
        </w:rPr>
        <w:t xml:space="preserve">04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color w:val="0f6e6e"/>
          <w:sz w:val="26"/>
          <w:szCs w:val="26"/>
          <w:rtl w:val="0"/>
        </w:rPr>
        <w:t xml:space="preserve">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1f3864"/>
          <w:sz w:val="28"/>
          <w:szCs w:val="28"/>
          <w:rtl w:val="0"/>
        </w:rPr>
        <w:t xml:space="preserve">Governance and Documentation Hierarchy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1"/>
          <w:szCs w:val="21"/>
          <w:rtl w:val="0"/>
        </w:rPr>
        <w:t xml:space="preserve">Documentation must be binding and structured to provide clear direction to the organization.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2e74b5" w:space="0" w:sz="4" w:val="single"/>
          <w:left w:color="2e74b5" w:space="0" w:sz="4" w:val="single"/>
          <w:bottom w:color="2e74b5" w:space="0" w:sz="4" w:val="single"/>
          <w:right w:color="2e74b5" w:space="0" w:sz="4" w:val="single"/>
          <w:insideH w:color="b9cce4" w:space="0" w:sz="4" w:val="single"/>
          <w:insideV w:color="b9cce4" w:space="0" w:sz="4" w:val="single"/>
        </w:tblBorders>
        <w:tblLayout w:type="fixed"/>
        <w:tblLook w:val="0000"/>
      </w:tblPr>
      <w:tblGrid>
        <w:gridCol w:w="1900"/>
        <w:gridCol w:w="1350"/>
        <w:gridCol w:w="6110"/>
        <w:tblGridChange w:id="0">
          <w:tblGrid>
            <w:gridCol w:w="1900"/>
            <w:gridCol w:w="1350"/>
            <w:gridCol w:w="611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Mandatory?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color w:val="0f6e6e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f6e6e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High-level, broad statements of intent. They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833c0b"/>
                <w:sz w:val="20"/>
                <w:szCs w:val="20"/>
                <w:rtl w:val="0"/>
              </w:rPr>
              <w:t xml:space="preserve">never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 contain technical specifications.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Standards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color w:val="0f6e6e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f6e6e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Compulsory rules that dictate specific hardware or software usage. These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f6e6e"/>
                <w:sz w:val="20"/>
                <w:szCs w:val="20"/>
                <w:rtl w:val="0"/>
              </w:rPr>
              <w:t xml:space="preserve">do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 contain technical specs.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Baselines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color w:val="0f6e6e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f6e6e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The minimum level of security required across the organization.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Procedures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color w:val="0f6e6e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f6e6e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Step-by-step actions for performing specific tasks.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Guidelines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color w:val="833c0b"/>
                <w:sz w:val="22"/>
                <w:szCs w:val="22"/>
                <w:rtl w:val="0"/>
              </w:rPr>
              <w:t xml:space="preserve">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833c0b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Non-binding recommendations or operational guides.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pBdr>
          <w:bottom w:color="2e74b5" w:space="6" w:sz="12" w:val="single"/>
        </w:pBdr>
        <w:spacing w:after="70" w:before="3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4b5"/>
          <w:sz w:val="28"/>
          <w:szCs w:val="28"/>
          <w:rtl w:val="0"/>
        </w:rPr>
        <w:t xml:space="preserve">05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0f6e6e"/>
          <w:sz w:val="26"/>
          <w:szCs w:val="26"/>
          <w:rtl w:val="0"/>
        </w:rPr>
        <w:t xml:space="preserve">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1f3864"/>
          <w:sz w:val="28"/>
          <w:szCs w:val="28"/>
          <w:rtl w:val="0"/>
        </w:rPr>
        <w:t xml:space="preserve">Legal, Regulatory, and Privacy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90" w:before="2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4b5"/>
          <w:sz w:val="18"/>
          <w:szCs w:val="18"/>
          <w:rtl w:val="0"/>
        </w:rPr>
        <w:t xml:space="preserve">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4b5"/>
          <w:sz w:val="24"/>
          <w:szCs w:val="24"/>
          <w:rtl w:val="0"/>
        </w:rPr>
        <w:t xml:space="preserve">GDPR (General Data Protection Regulation)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3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1"/>
          <w:szCs w:val="21"/>
          <w:rtl w:val="0"/>
        </w:rPr>
        <w:t xml:space="preserve">Key principles for protecting personal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3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Lawful Processing: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Data must be processed legally.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3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Right to be Informed: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Organizations must identify themselves and explain why they need the data.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3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Right to Access/Rectification: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Users can see their data and must be allowed to correct it.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3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Right to Erasure: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Also known as the “Right to be Forgotten.”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3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Data Portability: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Consumers can request a copy of their data.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3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Breach Notification: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Mandatory notification within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33c0b"/>
          <w:sz w:val="21"/>
          <w:szCs w:val="21"/>
          <w:u w:val="none"/>
          <w:shd w:fill="auto" w:val="clear"/>
          <w:vertAlign w:val="baseline"/>
          <w:rtl w:val="0"/>
        </w:rPr>
        <w:t xml:space="preserve">72 hours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833c0b" w:space="0" w:sz="4" w:val="single"/>
          <w:left w:color="833c0b" w:space="0" w:sz="24" w:val="single"/>
          <w:bottom w:color="833c0b" w:space="0" w:sz="4" w:val="single"/>
          <w:right w:color="833c0b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fbe4d5" w:val="clear"/>
            <w:tcMar>
              <w:top w:w="150.0" w:type="dxa"/>
              <w:left w:w="200.0" w:type="dxa"/>
              <w:bottom w:w="150.0" w:type="dxa"/>
              <w:right w:w="170.0" w:type="dxa"/>
            </w:tcMar>
          </w:tcPr>
          <w:p w:rsidR="00000000" w:rsidDel="00000000" w:rsidP="00000000" w:rsidRDefault="00000000" w:rsidRPr="00000000" w14:paraId="000000C8">
            <w:pPr>
              <w:spacing w:after="90" w:before="0"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color w:val="833c0b"/>
                <w:sz w:val="22"/>
                <w:szCs w:val="22"/>
                <w:rtl w:val="0"/>
              </w:rPr>
              <w:t xml:space="preserve">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833c0b"/>
                <w:sz w:val="22"/>
                <w:szCs w:val="22"/>
                <w:rtl w:val="0"/>
              </w:rPr>
              <w:t xml:space="preserve">Superseded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833c0b"/>
                <w:sz w:val="22"/>
                <w:szCs w:val="22"/>
                <w:rtl w:val="0"/>
              </w:rPr>
              <w:t xml:space="preserve">Privacy Shield is no longer valid.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90" w:before="2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4b5"/>
          <w:sz w:val="18"/>
          <w:szCs w:val="18"/>
          <w:rtl w:val="0"/>
        </w:rPr>
        <w:t xml:space="preserve">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4b5"/>
          <w:sz w:val="24"/>
          <w:szCs w:val="24"/>
          <w:rtl w:val="0"/>
        </w:rPr>
        <w:t xml:space="preserve">Regulations, Laws, and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5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1"/>
          <w:szCs w:val="21"/>
          <w:rtl w:val="0"/>
        </w:rPr>
        <w:t xml:space="preserve">Know what each regulation covers — and know </w:t>
      </w: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833c0b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1"/>
          <w:szCs w:val="21"/>
          <w:rtl w:val="0"/>
        </w:rPr>
        <w:t xml:space="preserve"> a law.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2e74b5" w:space="0" w:sz="4" w:val="single"/>
          <w:left w:color="2e74b5" w:space="0" w:sz="4" w:val="single"/>
          <w:bottom w:color="2e74b5" w:space="0" w:sz="4" w:val="single"/>
          <w:right w:color="2e74b5" w:space="0" w:sz="4" w:val="single"/>
          <w:insideH w:color="b9cce4" w:space="0" w:sz="4" w:val="single"/>
          <w:insideV w:color="b9cce4" w:space="0" w:sz="4" w:val="single"/>
        </w:tblBorders>
        <w:tblLayout w:type="fixed"/>
        <w:tblLook w:val="0000"/>
      </w:tblPr>
      <w:tblGrid>
        <w:gridCol w:w="2450"/>
        <w:gridCol w:w="5250"/>
        <w:gridCol w:w="1660"/>
        <w:tblGridChange w:id="0">
          <w:tblGrid>
            <w:gridCol w:w="2450"/>
            <w:gridCol w:w="5250"/>
            <w:gridCol w:w="166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Regulation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What It Covers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GLBA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Consumer financial information.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color w:val="0f6e6e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f6e6e"/>
                <w:sz w:val="20"/>
                <w:szCs w:val="20"/>
                <w:rtl w:val="0"/>
              </w:rPr>
              <w:t xml:space="preserve">Law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HIPAA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PHI. Three covered entities — providers, clearinghouses, and insurance plans — plus their business associates.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color w:val="0f6e6e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f6e6e"/>
                <w:sz w:val="20"/>
                <w:szCs w:val="20"/>
                <w:rtl w:val="0"/>
              </w:rPr>
              <w:t xml:space="preserve">Law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SOX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Publicly traded company financial reporting.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color w:val="0f6e6e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f6e6e"/>
                <w:sz w:val="20"/>
                <w:szCs w:val="20"/>
                <w:rtl w:val="0"/>
              </w:rPr>
              <w:t xml:space="preserve">Law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FERPA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Student education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color w:val="0f6e6e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f6e6e"/>
                <w:sz w:val="20"/>
                <w:szCs w:val="20"/>
                <w:rtl w:val="0"/>
              </w:rPr>
              <w:t xml:space="preserve">Law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FISMA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Federal Agencies &amp; their 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overnment contractors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color w:val="0f6e6e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f6e6e"/>
                <w:sz w:val="20"/>
                <w:szCs w:val="20"/>
                <w:rtl w:val="0"/>
              </w:rPr>
              <w:t xml:space="preserve">Law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GISRA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Precursor to FISMA. Expired November 2002.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color w:val="0f6e6e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f6e6e"/>
                <w:sz w:val="20"/>
                <w:szCs w:val="20"/>
                <w:rtl w:val="0"/>
              </w:rPr>
              <w:t xml:space="preserve">Law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be4d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PCI DSS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Payment card information.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833c0b"/>
                <w:sz w:val="22"/>
                <w:szCs w:val="22"/>
                <w:rtl w:val="0"/>
              </w:rPr>
              <w:t xml:space="preserve">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833c0b"/>
                <w:sz w:val="20"/>
                <w:szCs w:val="20"/>
                <w:rtl w:val="0"/>
              </w:rPr>
              <w:t xml:space="preserve">NOT a law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Economic Espionage 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Trade secrets.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color w:val="0f6e6e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f6e6e"/>
                <w:sz w:val="20"/>
                <w:szCs w:val="20"/>
                <w:rtl w:val="0"/>
              </w:rPr>
              <w:t xml:space="preserve">Law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Lanham 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Trademark protection.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color w:val="0f6e6e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f6e6e"/>
                <w:sz w:val="20"/>
                <w:szCs w:val="20"/>
                <w:rtl w:val="0"/>
              </w:rPr>
              <w:t xml:space="preserve">Law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Glass-Steagall 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Banking. A common red herring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color w:val="0f6e6e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f6e6e"/>
                <w:sz w:val="20"/>
                <w:szCs w:val="20"/>
                <w:rtl w:val="0"/>
              </w:rPr>
              <w:t xml:space="preserve">Law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1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7f6000" w:space="0" w:sz="4" w:val="single"/>
          <w:left w:color="7f6000" w:space="0" w:sz="24" w:val="single"/>
          <w:bottom w:color="7f6000" w:space="0" w:sz="4" w:val="single"/>
          <w:right w:color="7f6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fff2cc" w:val="clear"/>
            <w:tcMar>
              <w:top w:w="150.0" w:type="dxa"/>
              <w:left w:w="200.0" w:type="dxa"/>
              <w:bottom w:w="150.0" w:type="dxa"/>
              <w:right w:w="170.0" w:type="dxa"/>
            </w:tcMar>
          </w:tcPr>
          <w:p w:rsidR="00000000" w:rsidDel="00000000" w:rsidP="00000000" w:rsidRDefault="00000000" w:rsidRPr="00000000" w14:paraId="000000EF">
            <w:pPr>
              <w:spacing w:after="9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7f6000"/>
                <w:sz w:val="22"/>
                <w:szCs w:val="22"/>
                <w:rtl w:val="0"/>
              </w:rPr>
              <w:t xml:space="preserve">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7f6000"/>
                <w:sz w:val="22"/>
                <w:szCs w:val="22"/>
                <w:rtl w:val="0"/>
              </w:rPr>
              <w:t xml:space="preserve">Exam Notes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6" w:lineRule="auto"/>
              <w:ind w:left="360" w:right="0" w:hanging="25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2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PCI DSS is a contractual industry standard, not a law.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6" w:lineRule="auto"/>
              <w:ind w:left="360" w:right="0" w:hanging="25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2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Glass-Steagall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pops up as 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2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red herring in practice exams — it concerns banking, not information security.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6" w:lineRule="auto"/>
              <w:ind w:left="360" w:right="0" w:hanging="25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b2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GISRA came before FISMA and expired in November 2002.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90" w:before="2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4b5"/>
          <w:sz w:val="18"/>
          <w:szCs w:val="18"/>
          <w:rtl w:val="0"/>
        </w:rPr>
        <w:t xml:space="preserve">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4b5"/>
          <w:sz w:val="24"/>
          <w:szCs w:val="24"/>
          <w:rtl w:val="0"/>
        </w:rPr>
        <w:t xml:space="preserve">Intellectual Property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2e74b5" w:space="0" w:sz="4" w:val="single"/>
          <w:left w:color="2e74b5" w:space="0" w:sz="4" w:val="single"/>
          <w:bottom w:color="2e74b5" w:space="0" w:sz="4" w:val="single"/>
          <w:right w:color="2e74b5" w:space="0" w:sz="4" w:val="single"/>
          <w:insideH w:color="b9cce4" w:space="0" w:sz="4" w:val="single"/>
          <w:insideV w:color="b9cce4" w:space="0" w:sz="4" w:val="single"/>
        </w:tblBorders>
        <w:tblLayout w:type="fixed"/>
        <w:tblLook w:val="0000"/>
      </w:tblPr>
      <w:tblGrid>
        <w:gridCol w:w="2300"/>
        <w:gridCol w:w="4400"/>
        <w:gridCol w:w="2660"/>
        <w:tblGridChange w:id="0">
          <w:tblGrid>
            <w:gridCol w:w="2300"/>
            <w:gridCol w:w="4400"/>
            <w:gridCol w:w="266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What It Protects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Remember 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Copyright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Protects “original works of authorship” — creative works, including software code.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5b2c6f"/>
                <w:sz w:val="20"/>
                <w:szCs w:val="20"/>
                <w:rtl w:val="0"/>
              </w:rPr>
              <w:t xml:space="preserve">Creative 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Trademark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Protects unique designs, names, or symbols. Internationally protected.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5b2c6f"/>
                <w:sz w:val="20"/>
                <w:szCs w:val="20"/>
                <w:rtl w:val="0"/>
              </w:rPr>
              <w:t xml:space="preserve">Names, logos, symbols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Patent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Protects tangible inventions.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5b2c6f"/>
                <w:sz w:val="20"/>
                <w:szCs w:val="20"/>
                <w:rtl w:val="0"/>
              </w:rPr>
              <w:t xml:space="preserve">Inventions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Trade Secrets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Confidential business information (e.g., recipes). Protected indefinitely as long as it remains secret — internal only.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5b2c6f"/>
                <w:sz w:val="20"/>
                <w:szCs w:val="20"/>
                <w:rtl w:val="0"/>
              </w:rPr>
              <w:t xml:space="preserve">Internal confidentiality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90" w:before="2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4b5"/>
          <w:sz w:val="18"/>
          <w:szCs w:val="18"/>
          <w:rtl w:val="0"/>
        </w:rPr>
        <w:t xml:space="preserve">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4b5"/>
          <w:sz w:val="24"/>
          <w:szCs w:val="24"/>
          <w:rtl w:val="0"/>
        </w:rPr>
        <w:t xml:space="preserve">ISC2 Code of Ethics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5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1"/>
          <w:szCs w:val="21"/>
          <w:rtl w:val="0"/>
        </w:rPr>
        <w:t xml:space="preserve">In cases of conflict, follow these canons in strict order of priority. Who may bring a complaint differs by canon.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2e74b5" w:space="0" w:sz="4" w:val="single"/>
          <w:left w:color="2e74b5" w:space="0" w:sz="4" w:val="single"/>
          <w:bottom w:color="2e74b5" w:space="0" w:sz="4" w:val="single"/>
          <w:right w:color="2e74b5" w:space="0" w:sz="4" w:val="single"/>
          <w:insideH w:color="b9cce4" w:space="0" w:sz="4" w:val="single"/>
          <w:insideV w:color="b9cce4" w:space="0" w:sz="4" w:val="single"/>
        </w:tblBorders>
        <w:tblLayout w:type="fixed"/>
        <w:tblLook w:val="0000"/>
      </w:tblPr>
      <w:tblGrid>
        <w:gridCol w:w="900"/>
        <w:gridCol w:w="4600"/>
        <w:gridCol w:w="3860"/>
        <w:tblGridChange w:id="0">
          <w:tblGrid>
            <w:gridCol w:w="900"/>
            <w:gridCol w:w="4600"/>
            <w:gridCol w:w="386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Canon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Canon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Who May File a Complaint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Protect society, the commonwealth, and the infrastructure.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f6e6e"/>
                <w:sz w:val="20"/>
                <w:szCs w:val="20"/>
                <w:rtl w:val="0"/>
              </w:rPr>
              <w:t xml:space="preserve">Anyone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Act honorably, honestly, justly, responsibly, and legally.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f6e6e"/>
                <w:sz w:val="20"/>
                <w:szCs w:val="20"/>
                <w:rtl w:val="0"/>
              </w:rPr>
              <w:t xml:space="preserve">Anyone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Provide diligent and competent services to principals.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f6e6e"/>
                <w:sz w:val="20"/>
                <w:szCs w:val="20"/>
                <w:rtl w:val="0"/>
              </w:rPr>
              <w:t xml:space="preserve">Only an employer or contractor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Advance and protect the profession.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f6e6e"/>
                <w:sz w:val="20"/>
                <w:szCs w:val="20"/>
                <w:rtl w:val="0"/>
              </w:rPr>
              <w:t xml:space="preserve">Any certified or licensed professional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pBdr>
          <w:bottom w:color="2e74b5" w:space="6" w:sz="12" w:val="single"/>
        </w:pBdr>
        <w:spacing w:after="70" w:before="3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4b5"/>
          <w:sz w:val="28"/>
          <w:szCs w:val="28"/>
          <w:rtl w:val="0"/>
        </w:rPr>
        <w:t xml:space="preserve">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0f6e6e"/>
          <w:sz w:val="26"/>
          <w:szCs w:val="26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1f3864"/>
          <w:sz w:val="28"/>
          <w:szCs w:val="28"/>
          <w:rtl w:val="0"/>
        </w:rPr>
        <w:t xml:space="preserve">Security Control 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1"/>
          <w:szCs w:val="21"/>
          <w:rtl w:val="0"/>
        </w:rPr>
        <w:t xml:space="preserve">Controls are classified by how they are implemented and the function they perform.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90" w:before="2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4b5"/>
          <w:sz w:val="18"/>
          <w:szCs w:val="18"/>
          <w:rtl w:val="0"/>
        </w:rPr>
        <w:t xml:space="preserve">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4b5"/>
          <w:sz w:val="24"/>
          <w:szCs w:val="24"/>
          <w:rtl w:val="0"/>
        </w:rPr>
        <w:t xml:space="preserve">Common Control Types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2e74b5" w:space="0" w:sz="4" w:val="single"/>
          <w:left w:color="2e74b5" w:space="0" w:sz="4" w:val="single"/>
          <w:bottom w:color="2e74b5" w:space="0" w:sz="4" w:val="single"/>
          <w:right w:color="2e74b5" w:space="0" w:sz="4" w:val="single"/>
          <w:insideH w:color="b9cce4" w:space="0" w:sz="4" w:val="single"/>
          <w:insideV w:color="b9cce4" w:space="0" w:sz="4" w:val="single"/>
        </w:tblBorders>
        <w:tblLayout w:type="fixed"/>
        <w:tblLook w:val="0000"/>
      </w:tblPr>
      <w:tblGrid>
        <w:gridCol w:w="700"/>
        <w:gridCol w:w="2200"/>
        <w:gridCol w:w="6460"/>
        <w:tblGridChange w:id="0">
          <w:tblGrid>
            <w:gridCol w:w="700"/>
            <w:gridCol w:w="2200"/>
            <w:gridCol w:w="646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Control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color w:val="2e74b5"/>
                <w:sz w:val="22"/>
                <w:szCs w:val="22"/>
                <w:rtl w:val="0"/>
              </w:rPr>
              <w:t xml:space="preserve">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Directive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Instructions on rules of behavior (e.g., policy).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4b5"/>
                <w:sz w:val="22"/>
                <w:szCs w:val="22"/>
                <w:rtl w:val="0"/>
              </w:rPr>
              <w:t xml:space="preserve">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Deterrent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Discouraging policy violations (e.g., warning signs).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4b5"/>
                <w:sz w:val="22"/>
                <w:szCs w:val="22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Preventative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Proactively stopping unwanted activity (e.g., locks).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color w:val="2e74b5"/>
                <w:sz w:val="22"/>
                <w:szCs w:val="22"/>
                <w:rtl w:val="0"/>
              </w:rPr>
              <w:t xml:space="preserve">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Compensating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Making up for a deficiency in another control.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color w:val="2e74b5"/>
                <w:sz w:val="22"/>
                <w:szCs w:val="22"/>
                <w:rtl w:val="0"/>
              </w:rPr>
              <w:t xml:space="preserve">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Detective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Discovering and alerting on unwanted activity after it occurs.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color w:val="2e74b5"/>
                <w:sz w:val="22"/>
                <w:szCs w:val="22"/>
                <w:rtl w:val="0"/>
              </w:rPr>
              <w:t xml:space="preserve">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Corrective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Fixing a problem post-incident.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color w:val="2e74b5"/>
                <w:sz w:val="22"/>
                <w:szCs w:val="22"/>
                <w:rtl w:val="0"/>
              </w:rPr>
              <w:t xml:space="preserve">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Restoring conditions to normal (e.g., Disaster Recovery Plan).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90" w:before="2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4b5"/>
          <w:sz w:val="18"/>
          <w:szCs w:val="18"/>
          <w:rtl w:val="0"/>
        </w:rPr>
        <w:t xml:space="preserve">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4b5"/>
          <w:sz w:val="24"/>
          <w:szCs w:val="24"/>
          <w:rtl w:val="0"/>
        </w:rPr>
        <w:t xml:space="preserve">Functional Classifications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2e74b5" w:space="0" w:sz="4" w:val="single"/>
          <w:left w:color="2e74b5" w:space="0" w:sz="4" w:val="single"/>
          <w:bottom w:color="2e74b5" w:space="0" w:sz="4" w:val="single"/>
          <w:right w:color="2e74b5" w:space="0" w:sz="4" w:val="single"/>
          <w:insideH w:color="b9cce4" w:space="0" w:sz="4" w:val="single"/>
          <w:insideV w:color="b9cce4" w:space="0" w:sz="4" w:val="single"/>
        </w:tblBorders>
        <w:tblLayout w:type="fixed"/>
        <w:tblLook w:val="0000"/>
      </w:tblPr>
      <w:tblGrid>
        <w:gridCol w:w="700"/>
        <w:gridCol w:w="2200"/>
        <w:gridCol w:w="6460"/>
        <w:tblGridChange w:id="0">
          <w:tblGrid>
            <w:gridCol w:w="700"/>
            <w:gridCol w:w="2200"/>
            <w:gridCol w:w="646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color w:val="5b2c6f"/>
                <w:sz w:val="22"/>
                <w:szCs w:val="22"/>
                <w:rtl w:val="0"/>
              </w:rPr>
              <w:t xml:space="preserve">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Administrative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Management-oriented (policies, background checks, training).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color w:val="5b2c6f"/>
                <w:sz w:val="22"/>
                <w:szCs w:val="22"/>
                <w:rtl w:val="0"/>
              </w:rPr>
              <w:t xml:space="preserve">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Physical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Facility protection (locks, lights, alarms).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5b2c6f"/>
                <w:sz w:val="22"/>
                <w:szCs w:val="22"/>
                <w:rtl w:val="0"/>
              </w:rPr>
              <w:t xml:space="preserve">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Logical/Technical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Digital restrictions (access controls, encryption).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5b2c6f"/>
                <w:sz w:val="22"/>
                <w:szCs w:val="22"/>
                <w:rtl w:val="0"/>
              </w:rPr>
              <w:t xml:space="preserve">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Regulatory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Mandated by law.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pBdr>
          <w:bottom w:color="2e74b5" w:space="6" w:sz="12" w:val="single"/>
        </w:pBdr>
        <w:spacing w:after="70" w:before="3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4b5"/>
          <w:sz w:val="28"/>
          <w:szCs w:val="28"/>
          <w:rtl w:val="0"/>
        </w:rPr>
        <w:t xml:space="preserve">07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color w:val="0f6e6e"/>
          <w:sz w:val="26"/>
          <w:szCs w:val="26"/>
          <w:rtl w:val="0"/>
        </w:rPr>
        <w:t xml:space="preserve">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1f3864"/>
          <w:sz w:val="28"/>
          <w:szCs w:val="28"/>
          <w:rtl w:val="0"/>
        </w:rPr>
        <w:t xml:space="preserve">Asset Security (Domain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90" w:before="2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4b5"/>
          <w:sz w:val="18"/>
          <w:szCs w:val="18"/>
          <w:rtl w:val="0"/>
        </w:rPr>
        <w:t xml:space="preserve">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4b5"/>
          <w:sz w:val="24"/>
          <w:szCs w:val="24"/>
          <w:rtl w:val="0"/>
        </w:rPr>
        <w:t xml:space="preserve">Roles and Responsibilities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2e74b5" w:space="0" w:sz="4" w:val="single"/>
          <w:left w:color="2e74b5" w:space="0" w:sz="4" w:val="single"/>
          <w:bottom w:color="2e74b5" w:space="0" w:sz="4" w:val="single"/>
          <w:right w:color="2e74b5" w:space="0" w:sz="4" w:val="single"/>
          <w:insideH w:color="b9cce4" w:space="0" w:sz="4" w:val="single"/>
          <w:insideV w:color="b9cce4" w:space="0" w:sz="4" w:val="single"/>
        </w:tblBorders>
        <w:tblLayout w:type="fixed"/>
        <w:tblLook w:val="0000"/>
      </w:tblPr>
      <w:tblGrid>
        <w:gridCol w:w="2300"/>
        <w:gridCol w:w="2600"/>
        <w:gridCol w:w="4460"/>
        <w:tblGridChange w:id="0">
          <w:tblGrid>
            <w:gridCol w:w="2300"/>
            <w:gridCol w:w="2600"/>
            <w:gridCol w:w="446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Typically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Duty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Data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f6e6e"/>
                <w:sz w:val="20"/>
                <w:szCs w:val="20"/>
                <w:rtl w:val="0"/>
              </w:rPr>
              <w:t xml:space="preserve">Senior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Accountable for data protection and classification.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Data Custodian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f6e6e"/>
                <w:sz w:val="20"/>
                <w:szCs w:val="20"/>
                <w:rtl w:val="0"/>
              </w:rPr>
              <w:t xml:space="preserve">An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Responsible for implementing and maintaining the controls set by the Data Owner.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Data Processor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color w:val="0f6e6e"/>
                <w:sz w:val="20"/>
                <w:szCs w:val="20"/>
                <w:rtl w:val="0"/>
              </w:rPr>
              <w:t xml:space="preserve">Third-party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Access and process the data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on behalf of the data controller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90" w:before="2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4b5"/>
          <w:sz w:val="18"/>
          <w:szCs w:val="18"/>
          <w:rtl w:val="0"/>
        </w:rPr>
        <w:t xml:space="preserve">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4b5"/>
          <w:sz w:val="24"/>
          <w:szCs w:val="24"/>
          <w:rtl w:val="0"/>
        </w:rPr>
        <w:t xml:space="preserve">Data Life Cycle and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3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Classification: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Data must be located and labeled properly based on “need to know.”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3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Retention: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Policies must define minimum and maximum periods for data storage.</w:t>
      </w:r>
    </w:p>
    <w:p w:rsidR="00000000" w:rsidDel="00000000" w:rsidP="00000000" w:rsidRDefault="00000000" w:rsidRPr="00000000" w14:paraId="0000015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7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color w:val="0f6e6e"/>
          <w:sz w:val="21"/>
          <w:szCs w:val="21"/>
          <w:rtl w:val="0"/>
        </w:rPr>
        <w:t xml:space="preserve">Sanitization — Increasing Severity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2e74b5" w:space="0" w:sz="4" w:val="single"/>
          <w:left w:color="2e74b5" w:space="0" w:sz="4" w:val="single"/>
          <w:bottom w:color="2e74b5" w:space="0" w:sz="4" w:val="single"/>
          <w:right w:color="2e74b5" w:space="0" w:sz="4" w:val="single"/>
          <w:insideH w:color="b9cce4" w:space="0" w:sz="4" w:val="single"/>
          <w:insideV w:color="b9cce4" w:space="0" w:sz="4" w:val="single"/>
        </w:tblBorders>
        <w:tblLayout w:type="fixed"/>
        <w:tblLook w:val="0000"/>
      </w:tblPr>
      <w:tblGrid>
        <w:gridCol w:w="700"/>
        <w:gridCol w:w="2200"/>
        <w:gridCol w:w="6460"/>
        <w:tblGridChange w:id="0">
          <w:tblGrid>
            <w:gridCol w:w="700"/>
            <w:gridCol w:w="2200"/>
            <w:gridCol w:w="646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833c0b"/>
                <w:sz w:val="16"/>
                <w:szCs w:val="16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Clearing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Non-invasive data removal (deletion/rewriting).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833c0b"/>
                <w:sz w:val="16"/>
                <w:szCs w:val="16"/>
                <w:rtl w:val="0"/>
              </w:rPr>
              <w:t xml:space="preserve">●●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Purging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Rendering data recovery infeasible (e.g., degaussing, overwriting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 times).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833c0b"/>
                <w:sz w:val="16"/>
                <w:szCs w:val="16"/>
                <w:rtl w:val="0"/>
              </w:rPr>
              <w:t xml:space="preserve">●●●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Destruction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Physical shredding, chemical treatment, or incineration.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after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7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color w:val="0f6e6e"/>
          <w:sz w:val="21"/>
          <w:szCs w:val="21"/>
          <w:rtl w:val="0"/>
        </w:rPr>
        <w:t xml:space="preserve">Transit Security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2e74b5" w:space="0" w:sz="4" w:val="single"/>
          <w:left w:color="2e74b5" w:space="0" w:sz="4" w:val="single"/>
          <w:bottom w:color="2e74b5" w:space="0" w:sz="4" w:val="single"/>
          <w:right w:color="2e74b5" w:space="0" w:sz="4" w:val="single"/>
          <w:insideH w:color="b9cce4" w:space="0" w:sz="4" w:val="single"/>
          <w:insideV w:color="b9cce4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Link Encryption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Performed by service providers; encrypts routing data but may expose data at nodes.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End-to-End Encryption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Performed by the user (e.g., SSL/TLS, IPSec); routing data remains unencrypted.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pBdr>
          <w:bottom w:color="2e74b5" w:space="6" w:sz="12" w:val="single"/>
        </w:pBdr>
        <w:spacing w:after="70" w:before="3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4b5"/>
          <w:sz w:val="28"/>
          <w:szCs w:val="28"/>
          <w:rtl w:val="0"/>
        </w:rPr>
        <w:t xml:space="preserve">08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color w:val="0f6e6e"/>
          <w:sz w:val="26"/>
          <w:szCs w:val="26"/>
          <w:rtl w:val="0"/>
        </w:rPr>
        <w:t xml:space="preserve">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1f3864"/>
          <w:sz w:val="28"/>
          <w:szCs w:val="28"/>
          <w:rtl w:val="0"/>
        </w:rPr>
        <w:t xml:space="preserve">Formal Security Models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2e74b5" w:space="0" w:sz="4" w:val="single"/>
          <w:left w:color="2e74b5" w:space="0" w:sz="4" w:val="single"/>
          <w:bottom w:color="2e74b5" w:space="0" w:sz="4" w:val="single"/>
          <w:right w:color="2e74b5" w:space="0" w:sz="4" w:val="single"/>
          <w:insideH w:color="b9cce4" w:space="0" w:sz="4" w:val="single"/>
          <w:insideV w:color="b9cce4" w:space="0" w:sz="4" w:val="single"/>
        </w:tblBorders>
        <w:tblLayout w:type="fixed"/>
        <w:tblLook w:val="0000"/>
      </w:tblPr>
      <w:tblGrid>
        <w:gridCol w:w="700"/>
        <w:gridCol w:w="2000"/>
        <w:gridCol w:w="1700"/>
        <w:gridCol w:w="4960"/>
        <w:tblGridChange w:id="0">
          <w:tblGrid>
            <w:gridCol w:w="700"/>
            <w:gridCol w:w="2000"/>
            <w:gridCol w:w="1700"/>
            <w:gridCol w:w="496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Protects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ffffff"/>
                <w:sz w:val="19"/>
                <w:szCs w:val="19"/>
                <w:rtl w:val="0"/>
              </w:rPr>
              <w:t xml:space="preserve">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4b5"/>
                <w:sz w:val="22"/>
                <w:szCs w:val="22"/>
                <w:rtl w:val="0"/>
              </w:rPr>
              <w:t xml:space="preserve">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Bell-LaPadula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f6e6e"/>
                <w:sz w:val="20"/>
                <w:szCs w:val="20"/>
                <w:rtl w:val="0"/>
              </w:rPr>
              <w:t xml:space="preserve">Confidentiality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6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Simple Property: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No read up.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Star (*) Security Property: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No write down.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4b5"/>
                <w:sz w:val="22"/>
                <w:szCs w:val="22"/>
                <w:rtl w:val="0"/>
              </w:rPr>
              <w:t xml:space="preserve">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Biba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f6e6e"/>
                <w:sz w:val="20"/>
                <w:szCs w:val="20"/>
                <w:rtl w:val="0"/>
              </w:rPr>
              <w:t xml:space="preserve">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6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Simple Integrity Axiom: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No read down.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Star (*) Integrity Axiom: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No write 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color w:val="2e74b5"/>
                <w:sz w:val="22"/>
                <w:szCs w:val="22"/>
                <w:rtl w:val="0"/>
              </w:rPr>
              <w:t xml:space="preserve">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Clark-Wilson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f6e6e"/>
                <w:sz w:val="20"/>
                <w:szCs w:val="20"/>
                <w:rtl w:val="0"/>
              </w:rPr>
              <w:t xml:space="preserve">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6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Access is granted through programs, never directly to the data.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0"/>
                <w:szCs w:val="20"/>
                <w:rtl w:val="0"/>
              </w:rPr>
              <w:t xml:space="preserve">Enforced by the access control triple.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after="18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833c0b" w:space="0" w:sz="4" w:val="single"/>
          <w:left w:color="833c0b" w:space="0" w:sz="24" w:val="single"/>
          <w:bottom w:color="833c0b" w:space="0" w:sz="4" w:val="single"/>
          <w:right w:color="833c0b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fbe4d5" w:val="clear"/>
            <w:tcMar>
              <w:top w:w="150.0" w:type="dxa"/>
              <w:left w:w="200.0" w:type="dxa"/>
              <w:bottom w:w="150.0" w:type="dxa"/>
              <w:right w:w="170.0" w:type="dxa"/>
            </w:tcMar>
          </w:tcPr>
          <w:p w:rsidR="00000000" w:rsidDel="00000000" w:rsidP="00000000" w:rsidRDefault="00000000" w:rsidRPr="00000000" w14:paraId="00000184">
            <w:pPr>
              <w:spacing w:after="90" w:before="0"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color w:val="833c0b"/>
                <w:sz w:val="22"/>
                <w:szCs w:val="22"/>
                <w:rtl w:val="0"/>
              </w:rPr>
              <w:t xml:space="preserve">↻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833c0b"/>
                <w:sz w:val="22"/>
                <w:szCs w:val="22"/>
                <w:rtl w:val="0"/>
              </w:rPr>
              <w:t xml:space="preserve">Mirror Image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Bell-LaPadula and Biba are opposites. 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Bell-LaPadula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protects 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confidentiality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 (no read up, no write down — keeping secrets from leaking downward). 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Biba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 protects 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integrity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 (no read down, no write up — keeping bad data from corrupting upward).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spacing w:after="90" w:before="2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4b5"/>
          <w:sz w:val="18"/>
          <w:szCs w:val="18"/>
          <w:rtl w:val="0"/>
        </w:rPr>
        <w:t xml:space="preserve">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4b5"/>
          <w:sz w:val="24"/>
          <w:szCs w:val="24"/>
          <w:rtl w:val="0"/>
        </w:rPr>
        <w:t xml:space="preserve">Clark-Wilson Access Control Triple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7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1"/>
          <w:szCs w:val="21"/>
          <w:rtl w:val="0"/>
        </w:rPr>
        <w:t xml:space="preserve">Under Clark-Wilson, a user never touches the data directly. Access runs through a program.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600"/>
        <w:gridCol w:w="480"/>
        <w:gridCol w:w="3200"/>
        <w:gridCol w:w="480"/>
        <w:gridCol w:w="2600"/>
        <w:tblGridChange w:id="0">
          <w:tblGrid>
            <w:gridCol w:w="2600"/>
            <w:gridCol w:w="480"/>
            <w:gridCol w:w="3200"/>
            <w:gridCol w:w="480"/>
            <w:gridCol w:w="26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7f6000" w:space="0" w:sz="4" w:val="single"/>
              <w:left w:color="7f6000" w:space="0" w:sz="4" w:val="single"/>
              <w:bottom w:color="7f6000" w:space="0" w:sz="4" w:val="single"/>
              <w:right w:color="7f6000" w:space="0" w:sz="4" w:val="single"/>
            </w:tcBorders>
            <w:shd w:fill="fff2c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color w:val="2e74b5"/>
                <w:sz w:val="30"/>
                <w:szCs w:val="30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6000" w:space="0" w:sz="4" w:val="single"/>
              <w:left w:color="7f6000" w:space="0" w:sz="4" w:val="single"/>
              <w:bottom w:color="7f6000" w:space="0" w:sz="4" w:val="single"/>
              <w:right w:color="7f6000" w:space="0" w:sz="4" w:val="single"/>
            </w:tcBorders>
            <w:shd w:fill="fff2c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Transformation Procedure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color w:val="2e74b5"/>
                <w:sz w:val="30"/>
                <w:szCs w:val="30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6000" w:space="0" w:sz="4" w:val="single"/>
              <w:left w:color="7f6000" w:space="0" w:sz="4" w:val="single"/>
              <w:bottom w:color="7f6000" w:space="0" w:sz="4" w:val="single"/>
              <w:right w:color="7f6000" w:space="0" w:sz="4" w:val="single"/>
            </w:tcBorders>
            <w:shd w:fill="fff2c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1f3864"/>
                <w:sz w:val="20"/>
                <w:szCs w:val="20"/>
                <w:rtl w:val="0"/>
              </w:rPr>
              <w:t xml:space="preserve">Constrained Data Item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3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User: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the subject requesting access.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3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Transformation Procedure: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the program through which access is performed.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3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Constrained Data Item: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the protected data the procedure acts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bottom w:color="2e74b5" w:space="6" w:sz="12" w:val="single"/>
        </w:pBdr>
        <w:spacing w:after="70" w:before="3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2e74b5"/>
          <w:sz w:val="28"/>
          <w:szCs w:val="28"/>
          <w:rtl w:val="0"/>
        </w:rPr>
        <w:t xml:space="preserve">09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color w:val="0f6e6e"/>
          <w:sz w:val="26"/>
          <w:szCs w:val="26"/>
          <w:rtl w:val="0"/>
        </w:rPr>
        <w:t xml:space="preserve">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1f3864"/>
          <w:sz w:val="28"/>
          <w:szCs w:val="28"/>
          <w:rtl w:val="0"/>
        </w:rPr>
        <w:t xml:space="preserve">Exam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7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1b2a4a"/>
          <w:sz w:val="21"/>
          <w:szCs w:val="21"/>
          <w:rtl w:val="0"/>
        </w:rPr>
        <w:t xml:space="preserve">The CISSP exam uses Computerized Adaptive Testing (CAT)</w:t>
      </w:r>
      <w:r w:rsidDel="00000000" w:rsidR="00000000" w:rsidRPr="00000000">
        <w:rPr>
          <w:rtl w:val="0"/>
        </w:rPr>
        <w:t xml:space="preserve"> and will stop anytime between after question 100, and question 150.</w:t>
      </w:r>
    </w:p>
    <w:tbl>
      <w:tblPr>
        <w:tblStyle w:val="Table27"/>
        <w:tblW w:w="9360.0" w:type="dxa"/>
        <w:jc w:val="left"/>
        <w:tblBorders>
          <w:top w:color="2e74b5" w:space="0" w:sz="4" w:val="single"/>
          <w:left w:color="2e74b5" w:space="0" w:sz="24" w:val="single"/>
          <w:bottom w:color="2e74b5" w:space="0" w:sz="4" w:val="single"/>
          <w:right w:color="2e74b5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eef3fa" w:val="clear"/>
            <w:tcMar>
              <w:top w:w="150.0" w:type="dxa"/>
              <w:left w:w="200.0" w:type="dxa"/>
              <w:bottom w:w="150.0" w:type="dxa"/>
              <w:right w:w="170.0" w:type="dxa"/>
            </w:tcMar>
          </w:tcPr>
          <w:p w:rsidR="00000000" w:rsidDel="00000000" w:rsidP="00000000" w:rsidRDefault="00000000" w:rsidRPr="00000000" w14:paraId="00000192">
            <w:pPr>
              <w:spacing w:after="90" w:before="0"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color w:val="2e74b5"/>
                <w:sz w:val="22"/>
                <w:szCs w:val="22"/>
                <w:rtl w:val="0"/>
              </w:rPr>
              <w:t xml:space="preserve">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1b2a4a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2e74b5"/>
                <w:sz w:val="22"/>
                <w:szCs w:val="22"/>
                <w:rtl w:val="0"/>
              </w:rPr>
              <w:t xml:space="preserve">Official References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80" w:before="0" w:line="276" w:lineRule="auto"/>
              <w:rPr/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i w:val="0"/>
                  <w:iCs w:val="0"/>
                  <w:smallCaps w:val="0"/>
                  <w:color w:val="2e74b5"/>
                  <w:sz w:val="20"/>
                  <w:szCs w:val="20"/>
                  <w:rtl w:val="0"/>
                </w:rPr>
                <w:t xml:space="preserve">https://www.isc2.org/exams/before-your-exam#heading-2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0" w:before="0" w:line="276" w:lineRule="auto"/>
              <w:rPr/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i w:val="0"/>
                  <w:iCs w:val="0"/>
                  <w:smallCaps w:val="0"/>
                  <w:color w:val="2e74b5"/>
                  <w:sz w:val="20"/>
                  <w:szCs w:val="20"/>
                  <w:rtl w:val="0"/>
                </w:rPr>
                <w:t xml:space="preserve">https://www.isc2.org/register-for-exam/exam-scoring-faqs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after="9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7f6000" w:space="0" w:sz="4" w:val="single"/>
          <w:left w:color="7f6000" w:space="0" w:sz="24" w:val="single"/>
          <w:bottom w:color="7f6000" w:space="0" w:sz="4" w:val="single"/>
          <w:right w:color="7f6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fff2cc" w:val="clear"/>
            <w:tcMar>
              <w:top w:w="150.0" w:type="dxa"/>
              <w:left w:w="200.0" w:type="dxa"/>
              <w:bottom w:w="150.0" w:type="dxa"/>
              <w:right w:w="170.0" w:type="dxa"/>
            </w:tcMar>
          </w:tcPr>
          <w:p w:rsidR="00000000" w:rsidDel="00000000" w:rsidP="00000000" w:rsidRDefault="00000000" w:rsidRPr="00000000" w14:paraId="00000196">
            <w:pPr>
              <w:spacing w:after="90" w:line="276" w:lineRule="auto"/>
              <w:rPr/>
            </w:pPr>
            <w:r w:rsidDel="00000000" w:rsidR="00000000" w:rsidRPr="00000000">
              <w:rPr>
                <w:b w:val="1"/>
                <w:bCs w:val="1"/>
                <w:color w:val="7f6000"/>
                <w:sz w:val="22"/>
                <w:szCs w:val="22"/>
                <w:rtl w:val="0"/>
              </w:rPr>
              <w:t xml:space="preserve">★</w:t>
            </w: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color w:val="7f6000"/>
                <w:sz w:val="22"/>
                <w:szCs w:val="22"/>
                <w:rtl w:val="0"/>
              </w:rPr>
              <w:t xml:space="preserve">Tips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numPr>
                <w:ilvl w:val="0"/>
                <w:numId w:val="2"/>
              </w:numPr>
              <w:spacing w:after="70" w:line="276" w:lineRule="auto"/>
              <w:ind w:left="360" w:hanging="250"/>
            </w:pPr>
            <w:r w:rsidDel="00000000" w:rsidR="00000000" w:rsidRPr="00000000">
              <w:rPr>
                <w:rtl w:val="0"/>
              </w:rPr>
              <w:t xml:space="preserve">Write the risk management formulas down on your scratchpad as soon as you accept the ISC2 NDA</w:t>
            </w:r>
          </w:p>
          <w:p w:rsidR="00000000" w:rsidDel="00000000" w:rsidP="00000000" w:rsidRDefault="00000000" w:rsidRPr="00000000" w14:paraId="00000198">
            <w:pPr>
              <w:numPr>
                <w:ilvl w:val="0"/>
                <w:numId w:val="2"/>
              </w:numPr>
              <w:spacing w:after="70" w:line="276" w:lineRule="auto"/>
              <w:ind w:left="360" w:hanging="250"/>
            </w:pPr>
            <w:r w:rsidDel="00000000" w:rsidR="00000000" w:rsidRPr="00000000">
              <w:rPr>
                <w:rtl w:val="0"/>
              </w:rPr>
              <w:t xml:space="preserve">Write other quick tips to yourself that you are worried you will forget once the questions start</w:t>
            </w:r>
          </w:p>
          <w:p w:rsidR="00000000" w:rsidDel="00000000" w:rsidP="00000000" w:rsidRDefault="00000000" w:rsidRPr="00000000" w14:paraId="00000199">
            <w:pPr>
              <w:numPr>
                <w:ilvl w:val="0"/>
                <w:numId w:val="2"/>
              </w:numPr>
              <w:spacing w:after="70" w:line="276" w:lineRule="auto"/>
              <w:ind w:left="360" w:hanging="25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Understand risk management frameworks, and processes.  If only time for one - study the high level processes of the NIST RMF.</w:t>
            </w:r>
          </w:p>
        </w:tc>
      </w:tr>
    </w:tbl>
    <w:p w:rsidR="00000000" w:rsidDel="00000000" w:rsidP="00000000" w:rsidRDefault="00000000" w:rsidRPr="00000000" w14:paraId="0000019A">
      <w:pPr>
        <w:spacing w:after="70" w:line="276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000" w:top="1160" w:left="1440" w:right="1440" w:header="560" w:footer="4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C">
    <w:pPr>
      <w:jc w:val="right"/>
      <w:rPr/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color w:val="2e74b5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1"/>
        <w:bCs w:val="1"/>
        <w:color w:val="2e74b5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color w:val="2e74b5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bCs w:val="1"/>
        <w:color w:val="2e74b5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B">
    <w:pPr>
      <w:pBdr>
        <w:bottom w:color="2e74b5" w:space="4" w:sz="4" w:val="single"/>
      </w:pBdr>
      <w:jc w:val="right"/>
      <w:rPr/>
    </w:pPr>
    <w:r w:rsidDel="00000000" w:rsidR="00000000" w:rsidRPr="00000000">
      <w:rPr>
        <w:b w:val="1"/>
        <w:bCs w:val="1"/>
        <w:color w:val="2e74b5"/>
        <w:sz w:val="15"/>
        <w:szCs w:val="15"/>
        <w:rtl w:val="0"/>
      </w:rPr>
      <w:t xml:space="preserve">Awesome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color w:val="2e74b5"/>
        <w:sz w:val="15"/>
        <w:szCs w:val="15"/>
        <w:rtl w:val="0"/>
      </w:rPr>
      <w:t xml:space="preserve">CISSP </w:t>
    </w:r>
    <w:r w:rsidDel="00000000" w:rsidR="00000000" w:rsidRPr="00000000">
      <w:rPr>
        <w:b w:val="1"/>
        <w:bCs w:val="1"/>
        <w:color w:val="2e74b5"/>
        <w:sz w:val="15"/>
        <w:szCs w:val="15"/>
        <w:rtl w:val="0"/>
      </w:rPr>
      <w:t xml:space="preserve">Study Guide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■"/>
      <w:lvlJc w:val="left"/>
      <w:pPr>
        <w:ind w:left="360" w:hanging="250"/>
      </w:pPr>
      <w:rPr>
        <w:rFonts w:ascii="Arial" w:cs="Arial" w:eastAsia="Arial" w:hAnsi="Arial"/>
        <w:color w:val="2e74b5"/>
        <w:sz w:val="16"/>
        <w:szCs w:val="16"/>
      </w:rPr>
    </w:lvl>
    <w:lvl w:ilvl="1">
      <w:start w:val="1"/>
      <w:numFmt w:val="bullet"/>
      <w:lvlText w:val="–"/>
      <w:lvlJc w:val="left"/>
      <w:pPr>
        <w:ind w:left="780" w:hanging="250"/>
      </w:pPr>
      <w:rPr>
        <w:rFonts w:ascii="Arial" w:cs="Arial" w:eastAsia="Arial" w:hAnsi="Arial"/>
        <w:color w:val="0f6e6e"/>
        <w:sz w:val="21"/>
        <w:szCs w:val="21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00" w:hanging="280"/>
      </w:pPr>
      <w:rPr>
        <w:rFonts w:ascii="Arial" w:cs="Arial" w:eastAsia="Arial" w:hAnsi="Arial"/>
        <w:b w:val="1"/>
        <w:bCs w:val="1"/>
        <w:color w:val="2e74b5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b2a4a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b2a4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www.isc2.org/register-for-exam/exam-scoring-faq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v2Y6Zog8h2A" TargetMode="External"/><Relationship Id="rId7" Type="http://schemas.openxmlformats.org/officeDocument/2006/relationships/hyperlink" Target="https://www.youtube.com/watch?v=gKe88tIeVYo&amp;t=7s" TargetMode="External"/><Relationship Id="rId8" Type="http://schemas.openxmlformats.org/officeDocument/2006/relationships/hyperlink" Target="https://www.isc2.org/exams/before-your-exam#heading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