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65DE6E0" w:rsidP="365DE6E0" w:rsidRDefault="365DE6E0" w14:paraId="56BED623" w14:textId="4A3CF315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</w:p>
    <w:p w:rsidR="365DE6E0" w:rsidP="365DE6E0" w:rsidRDefault="365DE6E0" w14:paraId="4A4F65D6" w14:textId="2B9767B6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</w:p>
    <w:p w:rsidR="365DE6E0" w:rsidP="365DE6E0" w:rsidRDefault="365DE6E0" w14:paraId="1A3FCDBF" w14:textId="66BAFDB1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</w:p>
    <w:p w:rsidR="365DE6E0" w:rsidP="365DE6E0" w:rsidRDefault="365DE6E0" w14:paraId="30BEAE66" w14:textId="481D0354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</w:p>
    <w:p xmlns:wp14="http://schemas.microsoft.com/office/word/2010/wordml" w:rsidP="365DE6E0" wp14:paraId="62CD1165" wp14:textId="2A1800F4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144"/>
          <w:szCs w:val="144"/>
        </w:rPr>
      </w:pPr>
      <w:r w:rsidRPr="365DE6E0" w:rsidR="7F4613C1"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  <w:t>Chat aplikacija</w:t>
      </w:r>
    </w:p>
    <w:p w:rsidR="0A3330D4" w:rsidP="365DE6E0" w:rsidRDefault="0A3330D4" w14:paraId="71534F9A" w14:textId="0AADF47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365DE6E0" w:rsidR="0A3330D4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Vito Đukić, 3.g</w:t>
      </w:r>
    </w:p>
    <w:p w:rsidR="365DE6E0" w:rsidP="365DE6E0" w:rsidRDefault="365DE6E0" w14:paraId="7AD14028" w14:textId="17C2330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4F45506B" w14:textId="143F705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6199638C" w14:textId="6E92D7D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6BB15578" w14:textId="3D56C7B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30BCF79" w14:textId="448DB50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A791C06" w14:textId="025E265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A3330D4" w:rsidP="365DE6E0" w:rsidRDefault="0A3330D4" w14:paraId="36A06ED7" w14:textId="07083A6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5DE6E0" w:rsidR="0A3330D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Elektrotehnička i ekonomska škola Nova Gradiška</w:t>
      </w:r>
    </w:p>
    <w:p w:rsidR="365DE6E0" w:rsidP="365DE6E0" w:rsidRDefault="365DE6E0" w14:paraId="037B0815" w14:textId="3B7F91E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905ED16" w14:textId="4294495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F4BB176" w14:textId="245D2DF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F501742" w14:textId="51CA9DE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111DAAB5" w14:textId="35E4160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dt>
      <w:sdtPr>
        <w:id w:val="1833398177"/>
        <w:docPartObj>
          <w:docPartGallery w:val="Table of Contents"/>
          <w:docPartUnique/>
        </w:docPartObj>
      </w:sdtPr>
      <w:sdtContent>
        <w:p w:rsidR="365DE6E0" w:rsidP="365DE6E0" w:rsidRDefault="365DE6E0" w14:paraId="118FC67E" w14:textId="22978E9E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39518799">
            <w:r w:rsidRPr="365DE6E0" w:rsidR="365DE6E0">
              <w:rPr>
                <w:rStyle w:val="Hyperlink"/>
              </w:rPr>
              <w:t>1.</w:t>
            </w:r>
            <w:r>
              <w:tab/>
            </w:r>
            <w:r w:rsidRPr="365DE6E0" w:rsidR="365DE6E0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_Toc1139518799 \h</w:instrText>
            </w:r>
            <w:r>
              <w:fldChar w:fldCharType="separate"/>
            </w:r>
            <w:r w:rsidRPr="365DE6E0" w:rsidR="365DE6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65DE6E0" w:rsidP="365DE6E0" w:rsidRDefault="365DE6E0" w14:paraId="6287E6F5" w14:textId="63AFA1DC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866975132">
            <w:r w:rsidRPr="365DE6E0" w:rsidR="365DE6E0">
              <w:rPr>
                <w:rStyle w:val="Hyperlink"/>
              </w:rPr>
              <w:t>2.</w:t>
            </w:r>
            <w:r>
              <w:tab/>
            </w:r>
            <w:r w:rsidRPr="365DE6E0" w:rsidR="365DE6E0">
              <w:rPr>
                <w:rStyle w:val="Hyperlink"/>
              </w:rPr>
              <w:t>Početak</w:t>
            </w:r>
            <w:r>
              <w:tab/>
            </w:r>
            <w:r>
              <w:fldChar w:fldCharType="begin"/>
            </w:r>
            <w:r>
              <w:instrText xml:space="preserve">PAGEREF _Toc1866975132 \h</w:instrText>
            </w:r>
            <w:r>
              <w:fldChar w:fldCharType="separate"/>
            </w:r>
            <w:r w:rsidRPr="365DE6E0" w:rsidR="365DE6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65DE6E0" w:rsidP="365DE6E0" w:rsidRDefault="365DE6E0" w14:paraId="0A0A985B" w14:textId="381843DC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559248577">
            <w:r w:rsidRPr="365DE6E0" w:rsidR="365DE6E0">
              <w:rPr>
                <w:rStyle w:val="Hyperlink"/>
              </w:rPr>
              <w:t>3.</w:t>
            </w:r>
            <w:r>
              <w:tab/>
            </w:r>
            <w:r w:rsidRPr="365DE6E0" w:rsidR="365DE6E0">
              <w:rPr>
                <w:rStyle w:val="Hyperlink"/>
              </w:rPr>
              <w:t>Klasa “Korisnik”</w:t>
            </w:r>
            <w:r>
              <w:tab/>
            </w:r>
            <w:r>
              <w:fldChar w:fldCharType="begin"/>
            </w:r>
            <w:r>
              <w:instrText xml:space="preserve">PAGEREF _Toc559248577 \h</w:instrText>
            </w:r>
            <w:r>
              <w:fldChar w:fldCharType="separate"/>
            </w:r>
            <w:r w:rsidRPr="365DE6E0" w:rsidR="365DE6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65DE6E0" w:rsidP="365DE6E0" w:rsidRDefault="365DE6E0" w14:paraId="42D72076" w14:textId="7F7D61F5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340892066">
            <w:r w:rsidRPr="365DE6E0" w:rsidR="365DE6E0">
              <w:rPr>
                <w:rStyle w:val="Hyperlink"/>
              </w:rPr>
              <w:t>4.</w:t>
            </w:r>
            <w:r>
              <w:tab/>
            </w:r>
            <w:r w:rsidRPr="365DE6E0" w:rsidR="365DE6E0">
              <w:rPr>
                <w:rStyle w:val="Hyperlink"/>
              </w:rPr>
              <w:t>Klasa “Razgovor”</w:t>
            </w:r>
            <w:r>
              <w:tab/>
            </w:r>
            <w:r>
              <w:fldChar w:fldCharType="begin"/>
            </w:r>
            <w:r>
              <w:instrText xml:space="preserve">PAGEREF _Toc1340892066 \h</w:instrText>
            </w:r>
            <w:r>
              <w:fldChar w:fldCharType="separate"/>
            </w:r>
            <w:r w:rsidRPr="365DE6E0" w:rsidR="365DE6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65DE6E0" w:rsidP="365DE6E0" w:rsidRDefault="365DE6E0" w14:paraId="6D6A3EE2" w14:textId="73A74565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127694431">
            <w:r w:rsidRPr="365DE6E0" w:rsidR="365DE6E0">
              <w:rPr>
                <w:rStyle w:val="Hyperlink"/>
              </w:rPr>
              <w:t>5.</w:t>
            </w:r>
            <w:r>
              <w:tab/>
            </w:r>
            <w:r w:rsidRPr="365DE6E0" w:rsidR="365DE6E0">
              <w:rPr>
                <w:rStyle w:val="Hyperlink"/>
              </w:rPr>
              <w:t>Klasa “Poruke”</w:t>
            </w:r>
            <w:r>
              <w:tab/>
            </w:r>
            <w:r>
              <w:fldChar w:fldCharType="begin"/>
            </w:r>
            <w:r>
              <w:instrText xml:space="preserve">PAGEREF _Toc1127694431 \h</w:instrText>
            </w:r>
            <w:r>
              <w:fldChar w:fldCharType="separate"/>
            </w:r>
            <w:r w:rsidRPr="365DE6E0" w:rsidR="365DE6E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65DE6E0" w:rsidP="365DE6E0" w:rsidRDefault="365DE6E0" w14:paraId="2BC628B1" w14:textId="5C41F7B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1DF1A94" w14:textId="4D913B7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2344017B" w14:textId="3B796CF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4492E5C" w14:textId="7F93AF6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7BDC4771" w14:textId="0D2AAC4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A08751B" w14:textId="3727AB5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6C5B1B9A" w14:textId="2C16388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40351C2" w14:textId="17037B6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7D2A24A8" w14:textId="0CA1DE7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2B6A2C7F" w14:textId="017BEA6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3785F6FF" w14:textId="60F3D03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1442743" w14:textId="6B61F94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711D669F" w14:textId="29F0FF8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43B9079F" w14:textId="76614BD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46AB1CA8" w14:textId="2D2FCD4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68D5E156" w14:textId="2B717A3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07BFE4F1" w14:textId="2C1DF30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7EA5DC66" w14:textId="4EF0F38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48EAE46D" w14:textId="169C7CF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624AF0C" w14:textId="27C506C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20E6B4F0" w14:textId="332829A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4C798CE2" w14:textId="1043E3F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22CB249D" w14:textId="4F99F4D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30B884F9" w14:textId="37BAB49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A7FC0CF" w14:textId="6374965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65DE6E0" w:rsidP="365DE6E0" w:rsidRDefault="365DE6E0" w14:paraId="530C0836" w14:textId="3663CF2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8CB03DA" w:rsidP="365DE6E0" w:rsidRDefault="18CB03DA" w14:paraId="44824F85" w14:textId="41638BAC">
      <w:pPr>
        <w:pStyle w:val="Heading1"/>
        <w:numPr>
          <w:ilvl w:val="0"/>
          <w:numId w:val="1"/>
        </w:numPr>
        <w:jc w:val="left"/>
        <w:rPr/>
      </w:pPr>
      <w:bookmarkStart w:name="_Toc1139518799" w:id="1660649913"/>
      <w:r w:rsidR="18CB03DA">
        <w:rPr/>
        <w:t>Uvod</w:t>
      </w:r>
      <w:bookmarkEnd w:id="1660649913"/>
    </w:p>
    <w:p w:rsidR="365DE6E0" w:rsidP="365DE6E0" w:rsidRDefault="365DE6E0" w14:paraId="742FF99E" w14:textId="39C5C73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8CB03DA" w:rsidP="365DE6E0" w:rsidRDefault="18CB03DA" w14:paraId="2402903F" w14:textId="68A8A8B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18CB03D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Zadatak je implementirati sustav za upravljanje chat aplikacijom s korisnicima</w:t>
      </w:r>
      <w:r w:rsidRPr="365DE6E0" w:rsidR="641242E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365DE6E0" w:rsidR="64124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razgovorima i porukama u pojedinom razgovoru. Potrebno je koristit</w:t>
      </w:r>
      <w:r w:rsidRPr="365DE6E0" w:rsidR="74E30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klase i ostale funkcije poput </w:t>
      </w:r>
      <w:r w:rsidRPr="365DE6E0" w:rsidR="74E30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IComparable</w:t>
      </w:r>
      <w:r w:rsidRPr="365DE6E0" w:rsidR="66E402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, </w:t>
      </w:r>
      <w:r w:rsidRPr="365DE6E0" w:rsidR="66E402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ToString</w:t>
      </w:r>
      <w:r w:rsidRPr="365DE6E0" w:rsidR="66E402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.</w:t>
      </w:r>
    </w:p>
    <w:p w:rsidR="365DE6E0" w:rsidP="365DE6E0" w:rsidRDefault="365DE6E0" w14:paraId="0330B21A" w14:textId="02DDCDD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3D866F51" w14:textId="5B0FB82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1395BFAB" w14:textId="10F40E3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0D43317D" w14:textId="0661BFE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0FECD817" w14:textId="0E1EE7D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30C491E9" w14:textId="453C87B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19FF9267" w14:textId="549759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0387DAF4" w14:textId="34DDD29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30C4C793" w14:textId="628E9E6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719362E5" w14:textId="5280076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306A32E4" w14:textId="3073034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5723DB05" w14:textId="7BB791C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750AE62A" w14:textId="4458BF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48121347" w14:textId="3D305D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77A0757C" w14:textId="7DCA983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2052F85C" w14:textId="0274604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7E6A0498" w14:textId="6A16DE8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1B40AC17" w14:textId="666850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1E567B1E" w14:textId="54FEA08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5C3DDD68" w14:textId="3F49F41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6F0AC02A" w14:textId="7EE664C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365DE6E0" w:rsidP="365DE6E0" w:rsidRDefault="365DE6E0" w14:paraId="2E9BCABE" w14:textId="528416E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29FC5F3A" w:rsidP="365DE6E0" w:rsidRDefault="29FC5F3A" w14:paraId="32121FD2" w14:textId="0B3FE3C0">
      <w:pPr>
        <w:pStyle w:val="Heading1"/>
        <w:numPr>
          <w:ilvl w:val="0"/>
          <w:numId w:val="1"/>
        </w:numPr>
        <w:rPr>
          <w:noProof w:val="0"/>
          <w:lang w:val="hr-HR"/>
        </w:rPr>
      </w:pPr>
      <w:bookmarkStart w:name="_Toc1866975132" w:id="782056774"/>
      <w:r w:rsidRPr="365DE6E0" w:rsidR="29FC5F3A">
        <w:rPr>
          <w:noProof w:val="0"/>
          <w:lang w:val="hr-HR"/>
        </w:rPr>
        <w:t>Početak</w:t>
      </w:r>
      <w:bookmarkEnd w:id="782056774"/>
    </w:p>
    <w:p w:rsidR="365DE6E0" w:rsidP="365DE6E0" w:rsidRDefault="365DE6E0" w14:paraId="2F4BE121" w14:textId="6D02AB5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29FC5F3A" w:rsidP="365DE6E0" w:rsidRDefault="29FC5F3A" w14:paraId="09CB448F" w14:textId="4220E13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29FC5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U </w:t>
      </w:r>
      <w:r w:rsidRPr="365DE6E0" w:rsidR="29FC5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visual</w:t>
      </w:r>
      <w:r w:rsidRPr="365DE6E0" w:rsidR="29FC5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r w:rsidRPr="365DE6E0" w:rsidR="29FC5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studiu</w:t>
      </w:r>
      <w:r w:rsidRPr="365DE6E0" w:rsidR="29FC5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treba otvoriti</w:t>
      </w:r>
      <w:r w:rsidRPr="365DE6E0" w:rsidR="6CB93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jednu formu i</w:t>
      </w:r>
      <w:r w:rsidRPr="365DE6E0" w:rsidR="29FC5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3 klase 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(Korisnik, Razgovori, Poruke)</w:t>
      </w:r>
    </w:p>
    <w:p w:rsidR="365DE6E0" w:rsidP="365DE6E0" w:rsidRDefault="365DE6E0" w14:paraId="3A32F057" w14:textId="04825B6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7A745D25" w:rsidP="365DE6E0" w:rsidRDefault="7A745D25" w14:paraId="648B3E3E" w14:textId="58554DA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7A745D25">
        <w:drawing>
          <wp:inline wp14:editId="6628C4EB" wp14:anchorId="2EB1D2A7">
            <wp:extent cx="2505075" cy="2647950"/>
            <wp:effectExtent l="0" t="0" r="0" b="0"/>
            <wp:docPr id="8350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cd8e5892d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DE6E0" w:rsidP="365DE6E0" w:rsidRDefault="365DE6E0" w14:paraId="4E521AD7" w14:textId="188AC2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A745D25" w:rsidP="365DE6E0" w:rsidRDefault="7A745D25" w14:paraId="339D09D0" w14:textId="54B835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365DE6E0" w:rsidR="7A745D25">
        <w:rPr>
          <w:rFonts w:ascii="Calibri" w:hAnsi="Calibri" w:eastAsia="Calibri" w:cs="Calibri" w:asciiTheme="minorAscii" w:hAnsiTheme="minorAscii" w:eastAsiaTheme="minorAscii" w:cstheme="minorAscii"/>
        </w:rPr>
        <w:t>Otvaramo ih pomoću desnog klika na “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</w:rPr>
        <w:t>ChatAplikacijaNiOP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</w:rPr>
        <w:t>” i biramo klasu.</w:t>
      </w:r>
    </w:p>
    <w:p w:rsidR="365DE6E0" w:rsidP="365DE6E0" w:rsidRDefault="365DE6E0" w14:paraId="6F13BEAC" w14:textId="720F1B0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65DE6E0" w:rsidP="365DE6E0" w:rsidRDefault="365DE6E0" w14:paraId="27C9BDA4" w14:textId="6180C41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4EA6F3BC" w14:textId="0DD8EF6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01BF95AF" w14:textId="05B466E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25EDDB4B" w14:textId="3905B64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2AD99BE3" w14:textId="35B2EC5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4F096671" w14:textId="207BA8E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104CFAB4" w14:textId="054E3BA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65DE6E0" w:rsidP="365DE6E0" w:rsidRDefault="365DE6E0" w14:paraId="3B7A8599" w14:textId="25E7735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A745D25" w:rsidP="365DE6E0" w:rsidRDefault="7A745D25" w14:paraId="01FAC585" w14:textId="76E096AD">
      <w:pPr>
        <w:pStyle w:val="Heading1"/>
        <w:numPr>
          <w:ilvl w:val="0"/>
          <w:numId w:val="1"/>
        </w:numPr>
        <w:rPr/>
      </w:pPr>
      <w:bookmarkStart w:name="_Toc559248577" w:id="1046784355"/>
      <w:r w:rsidR="7A745D25">
        <w:rPr/>
        <w:t>Klasa “Korisnik”</w:t>
      </w:r>
      <w:bookmarkEnd w:id="1046784355"/>
    </w:p>
    <w:p w:rsidR="7A745D25" w:rsidP="365DE6E0" w:rsidRDefault="7A745D25" w14:paraId="27FDA09E" w14:textId="749D6E5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</w:pP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Definira se klasa “Korisnik” koja implementira sučelje “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IComparable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”. To sučelje zahtjeva da se implementira metoda “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CompareTo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 xml:space="preserve"> koja se koristi za usporedbu objekata (u ovom slučaju prvo se uspoređuje 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id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 xml:space="preserve">, zatim </w:t>
      </w:r>
      <w:r w:rsidRPr="365DE6E0" w:rsidR="2A7258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userna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me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 xml:space="preserve">, pa </w:t>
      </w:r>
      <w:r w:rsidRPr="365DE6E0" w:rsidR="24B2F0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email</w:t>
      </w:r>
      <w:r w:rsidRPr="365DE6E0" w:rsidR="7A745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)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hr-HR"/>
        </w:rPr>
        <w:t>.</w:t>
      </w:r>
    </w:p>
    <w:p w:rsidR="7B429C5B" w:rsidP="365DE6E0" w:rsidRDefault="7B429C5B" w14:paraId="5DD0D69E" w14:textId="7DFF974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Metoda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ToString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() vraća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string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koji predstavlja korisnika u formatu: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Username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, Emai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l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-&gt;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.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Ako su sva tri jednaka, metoda vraća 0.</w:t>
      </w:r>
    </w:p>
    <w:p w:rsidR="7B429C5B" w:rsidP="365DE6E0" w:rsidRDefault="7B429C5B" w14:paraId="72EB4D94" w14:textId="2B017CC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Klasa Korisnik ima privatne varijable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, ime, prezime, godina rođenja, email,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username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i password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.</w:t>
      </w:r>
    </w:p>
    <w:p w:rsidR="7B429C5B" w:rsidP="365DE6E0" w:rsidRDefault="7B429C5B" w14:paraId="66B0BDD3" w14:textId="6C17F91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Public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string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-&gt; definira svojstvo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za klasu Korisnik, svojstvo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je javno (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Public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), ali je povezano sa varijablom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.</w:t>
      </w:r>
    </w:p>
    <w:p w:rsidR="7B429C5B" w:rsidP="365DE6E0" w:rsidRDefault="7B429C5B" w14:paraId="795C3C96" w14:textId="6B843F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get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{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return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; } -&gt; “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getter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” metoda koja omogućuje drugim dijelovima koda da dohvate vrijednost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, kad god se pristupi svojstvu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, ova metoda će se izvršiti i vratiti trenutnu vrijednost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.</w:t>
      </w:r>
    </w:p>
    <w:p w:rsidR="7B429C5B" w:rsidP="365DE6E0" w:rsidRDefault="7B429C5B" w14:paraId="2E1E2691" w14:textId="68FD75D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set {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value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; } -&gt; “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setter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” metoda koja omogućuje drugim dijelovima koda da postave vrijednost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, kad god se svojstvu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dodijeli nova vrijednost, ova metoda će se izvršiti i postaviti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na tu novu vrijednost</w:t>
      </w:r>
    </w:p>
    <w:p w:rsidR="7B429C5B" w:rsidP="365DE6E0" w:rsidRDefault="7B429C5B" w14:paraId="62242A53" w14:textId="6B2A926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Isto vrijedi i za ostale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public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r w:rsidRPr="365DE6E0" w:rsidR="7B429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stringove</w:t>
      </w:r>
      <w:r w:rsidRPr="365DE6E0" w:rsidR="7488C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.</w:t>
      </w:r>
    </w:p>
    <w:p w:rsidR="7488C7B6" w:rsidP="365DE6E0" w:rsidRDefault="7488C7B6" w14:paraId="2311AB3B" w14:textId="24F84B3C">
      <w:pPr>
        <w:pStyle w:val="Normal"/>
        <w:jc w:val="left"/>
      </w:pPr>
      <w:r w:rsidR="7488C7B6">
        <w:drawing>
          <wp:inline wp14:editId="71BCC167" wp14:anchorId="6B16273E">
            <wp:extent cx="2333704" cy="4088241"/>
            <wp:effectExtent l="0" t="0" r="0" b="0"/>
            <wp:docPr id="666726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ffd1acc73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04" cy="40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88C7B6">
        <w:drawing>
          <wp:inline wp14:editId="6D0E6C6F" wp14:anchorId="049C050D">
            <wp:extent cx="4572000" cy="2171700"/>
            <wp:effectExtent l="0" t="0" r="0" b="0"/>
            <wp:docPr id="120085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108234763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8C7B6" w:rsidP="365DE6E0" w:rsidRDefault="7488C7B6" w14:paraId="1B4C4A91" w14:textId="349774EB">
      <w:pPr>
        <w:pStyle w:val="Normal"/>
        <w:jc w:val="left"/>
      </w:pPr>
      <w:r w:rsidR="7488C7B6">
        <w:rPr/>
        <w:t>Kodni prikaz klase “Korisnik”</w:t>
      </w:r>
    </w:p>
    <w:p w:rsidR="365DE6E0" w:rsidP="365DE6E0" w:rsidRDefault="365DE6E0" w14:paraId="2AF3DE94" w14:textId="6A79B9BA">
      <w:pPr>
        <w:pStyle w:val="Normal"/>
        <w:jc w:val="left"/>
      </w:pPr>
    </w:p>
    <w:p w:rsidR="365DE6E0" w:rsidP="365DE6E0" w:rsidRDefault="365DE6E0" w14:paraId="5B8C8698" w14:textId="3CF323DA">
      <w:pPr>
        <w:pStyle w:val="Normal"/>
        <w:jc w:val="left"/>
      </w:pPr>
    </w:p>
    <w:p w:rsidR="365DE6E0" w:rsidP="365DE6E0" w:rsidRDefault="365DE6E0" w14:paraId="651947DF" w14:textId="6B0BA032">
      <w:pPr>
        <w:pStyle w:val="Normal"/>
        <w:jc w:val="left"/>
      </w:pPr>
    </w:p>
    <w:p w:rsidR="365DE6E0" w:rsidP="365DE6E0" w:rsidRDefault="365DE6E0" w14:paraId="7B9E3424" w14:textId="305B778E">
      <w:pPr>
        <w:pStyle w:val="Normal"/>
        <w:jc w:val="left"/>
      </w:pPr>
    </w:p>
    <w:p w:rsidR="365DE6E0" w:rsidP="365DE6E0" w:rsidRDefault="365DE6E0" w14:paraId="1C24A009" w14:textId="6299E50C">
      <w:pPr>
        <w:pStyle w:val="Normal"/>
        <w:jc w:val="left"/>
      </w:pPr>
    </w:p>
    <w:p w:rsidR="365DE6E0" w:rsidP="365DE6E0" w:rsidRDefault="365DE6E0" w14:paraId="48B2D001" w14:textId="2E56C6C8">
      <w:pPr>
        <w:pStyle w:val="Normal"/>
        <w:jc w:val="left"/>
      </w:pPr>
    </w:p>
    <w:p w:rsidR="7488C7B6" w:rsidP="365DE6E0" w:rsidRDefault="7488C7B6" w14:paraId="5A8B458B" w14:textId="50975467">
      <w:pPr>
        <w:pStyle w:val="Heading1"/>
        <w:numPr>
          <w:ilvl w:val="0"/>
          <w:numId w:val="1"/>
        </w:numPr>
        <w:rPr>
          <w:noProof w:val="0"/>
          <w:lang w:val="hr-HR"/>
        </w:rPr>
      </w:pPr>
      <w:bookmarkStart w:name="_Toc1340892066" w:id="591990182"/>
      <w:r w:rsidRPr="365DE6E0" w:rsidR="7488C7B6">
        <w:rPr>
          <w:noProof w:val="0"/>
          <w:lang w:val="hr-HR"/>
        </w:rPr>
        <w:t>Klasa “Razgovor”</w:t>
      </w:r>
      <w:bookmarkEnd w:id="591990182"/>
    </w:p>
    <w:p w:rsidR="7488C7B6" w:rsidP="365DE6E0" w:rsidRDefault="7488C7B6" w14:paraId="1FFABCED" w14:textId="0C5EDED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488C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Isto kao i kod klase “Korisnik”.</w:t>
      </w:r>
    </w:p>
    <w:p w:rsidR="7488C7B6" w:rsidP="365DE6E0" w:rsidRDefault="7488C7B6" w14:paraId="5A80DF94" w14:textId="182A86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Klasa “Razgovor” ima privatne varijable </w:t>
      </w: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id</w:t>
      </w: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, </w:t>
      </w: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brojKorisnika</w:t>
      </w: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i </w:t>
      </w: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boolean</w:t>
      </w:r>
      <w:r w:rsidRPr="365DE6E0" w:rsidR="7488C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aktivan.</w:t>
      </w:r>
    </w:p>
    <w:p w:rsidR="365DE6E0" w:rsidP="365DE6E0" w:rsidRDefault="365DE6E0" w14:paraId="68611EB2" w14:textId="5378F8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</w:p>
    <w:p w:rsidR="7FE054B6" w:rsidP="365DE6E0" w:rsidRDefault="7FE054B6" w14:paraId="1B7F7E3A" w14:textId="745E070F">
      <w:pPr>
        <w:pStyle w:val="Normal"/>
        <w:jc w:val="left"/>
      </w:pPr>
      <w:r w:rsidR="7FE054B6">
        <w:drawing>
          <wp:inline wp14:editId="318BA558" wp14:anchorId="1535EB3C">
            <wp:extent cx="4572000" cy="4010025"/>
            <wp:effectExtent l="0" t="0" r="0" b="0"/>
            <wp:docPr id="17448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5fbdd26f5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054B6" w:rsidP="365DE6E0" w:rsidRDefault="7FE054B6" w14:paraId="01C13E68" w14:textId="3EF6FE8A">
      <w:pPr>
        <w:pStyle w:val="Normal"/>
        <w:jc w:val="left"/>
      </w:pPr>
      <w:r w:rsidR="7FE054B6">
        <w:rPr/>
        <w:t>Kodni prikaz klase “Razgovor”</w:t>
      </w:r>
    </w:p>
    <w:p w:rsidR="365DE6E0" w:rsidP="365DE6E0" w:rsidRDefault="365DE6E0" w14:paraId="5BD8A699" w14:textId="5055B905">
      <w:pPr>
        <w:pStyle w:val="Normal"/>
        <w:jc w:val="left"/>
      </w:pPr>
    </w:p>
    <w:p w:rsidR="365DE6E0" w:rsidP="365DE6E0" w:rsidRDefault="365DE6E0" w14:paraId="093A60DA" w14:textId="40CB3CA6">
      <w:pPr>
        <w:pStyle w:val="Normal"/>
        <w:jc w:val="left"/>
      </w:pPr>
    </w:p>
    <w:p w:rsidR="365DE6E0" w:rsidP="365DE6E0" w:rsidRDefault="365DE6E0" w14:paraId="58292B0B" w14:textId="2F7CD5B3">
      <w:pPr>
        <w:pStyle w:val="Normal"/>
        <w:jc w:val="left"/>
      </w:pPr>
    </w:p>
    <w:p w:rsidR="365DE6E0" w:rsidP="365DE6E0" w:rsidRDefault="365DE6E0" w14:paraId="219EA6C9" w14:textId="7D0EFE31">
      <w:pPr>
        <w:pStyle w:val="Normal"/>
        <w:jc w:val="left"/>
      </w:pPr>
    </w:p>
    <w:p w:rsidR="365DE6E0" w:rsidP="365DE6E0" w:rsidRDefault="365DE6E0" w14:paraId="0E41AEB5" w14:textId="5B6DC2CF">
      <w:pPr>
        <w:pStyle w:val="Normal"/>
        <w:jc w:val="left"/>
      </w:pPr>
    </w:p>
    <w:p w:rsidR="365DE6E0" w:rsidP="365DE6E0" w:rsidRDefault="365DE6E0" w14:paraId="4479F353" w14:textId="5DB86783">
      <w:pPr>
        <w:pStyle w:val="Normal"/>
        <w:jc w:val="left"/>
      </w:pPr>
    </w:p>
    <w:p w:rsidR="365DE6E0" w:rsidP="365DE6E0" w:rsidRDefault="365DE6E0" w14:paraId="54B97C27" w14:textId="36385962">
      <w:pPr>
        <w:pStyle w:val="Normal"/>
        <w:jc w:val="left"/>
      </w:pPr>
    </w:p>
    <w:p w:rsidR="365DE6E0" w:rsidP="365DE6E0" w:rsidRDefault="365DE6E0" w14:paraId="74EAD059" w14:textId="0CE1335E">
      <w:pPr>
        <w:pStyle w:val="Normal"/>
        <w:jc w:val="left"/>
      </w:pPr>
    </w:p>
    <w:p w:rsidR="365DE6E0" w:rsidP="365DE6E0" w:rsidRDefault="365DE6E0" w14:paraId="557A4A1B" w14:textId="0ADEDB8E">
      <w:pPr>
        <w:pStyle w:val="Normal"/>
        <w:jc w:val="left"/>
      </w:pPr>
    </w:p>
    <w:p w:rsidR="365DE6E0" w:rsidP="365DE6E0" w:rsidRDefault="365DE6E0" w14:paraId="70751CA9" w14:textId="25C050B6">
      <w:pPr>
        <w:pStyle w:val="Normal"/>
        <w:jc w:val="left"/>
      </w:pPr>
    </w:p>
    <w:p w:rsidR="365DE6E0" w:rsidP="365DE6E0" w:rsidRDefault="365DE6E0" w14:paraId="21AA7931" w14:textId="6D17CB9D">
      <w:pPr>
        <w:pStyle w:val="Normal"/>
        <w:jc w:val="left"/>
      </w:pPr>
    </w:p>
    <w:p w:rsidR="7FE054B6" w:rsidP="365DE6E0" w:rsidRDefault="7FE054B6" w14:paraId="3EA98BE8" w14:textId="79D53643">
      <w:pPr>
        <w:pStyle w:val="Heading1"/>
        <w:numPr>
          <w:ilvl w:val="0"/>
          <w:numId w:val="1"/>
        </w:numPr>
        <w:rPr/>
      </w:pPr>
      <w:bookmarkStart w:name="_Toc1127694431" w:id="2105026362"/>
      <w:r w:rsidR="7FE054B6">
        <w:rPr/>
        <w:t>Klasa “Poruke”</w:t>
      </w:r>
      <w:bookmarkEnd w:id="2105026362"/>
    </w:p>
    <w:p w:rsidR="7FE054B6" w:rsidP="365DE6E0" w:rsidRDefault="7FE054B6" w14:paraId="46004F63" w14:textId="665DB185">
      <w:pPr>
        <w:pStyle w:val="Normal"/>
        <w:jc w:val="left"/>
        <w:rPr>
          <w:sz w:val="28"/>
          <w:szCs w:val="28"/>
        </w:rPr>
      </w:pPr>
      <w:r w:rsidRPr="365DE6E0" w:rsidR="7FE054B6">
        <w:rPr>
          <w:sz w:val="28"/>
          <w:szCs w:val="28"/>
        </w:rPr>
        <w:t>Iste se metode koriste kao i u klasi “Korisnik” i “Razgovor”.</w:t>
      </w:r>
    </w:p>
    <w:p w:rsidR="7FE054B6" w:rsidP="365DE6E0" w:rsidRDefault="7FE054B6" w14:paraId="66C7A2E1" w14:textId="471F128C">
      <w:pPr>
        <w:pStyle w:val="Normal"/>
        <w:jc w:val="left"/>
        <w:rPr>
          <w:sz w:val="28"/>
          <w:szCs w:val="28"/>
        </w:rPr>
      </w:pPr>
      <w:r w:rsidRPr="365DE6E0" w:rsidR="7FE054B6">
        <w:rPr>
          <w:sz w:val="28"/>
          <w:szCs w:val="28"/>
        </w:rPr>
        <w:t xml:space="preserve">Klasa “Poruke” ima privatne varijable </w:t>
      </w:r>
      <w:r w:rsidRPr="365DE6E0" w:rsidR="7FE054B6">
        <w:rPr>
          <w:sz w:val="28"/>
          <w:szCs w:val="28"/>
        </w:rPr>
        <w:t>id</w:t>
      </w:r>
      <w:r w:rsidRPr="365DE6E0" w:rsidR="7FE054B6">
        <w:rPr>
          <w:sz w:val="28"/>
          <w:szCs w:val="28"/>
        </w:rPr>
        <w:t>, pošiljatelj, primatelj, poruka, privatna poruka.</w:t>
      </w:r>
    </w:p>
    <w:p w:rsidR="5D7DC598" w:rsidP="365DE6E0" w:rsidRDefault="5D7DC598" w14:paraId="027318D9" w14:textId="35AE974B">
      <w:pPr>
        <w:pStyle w:val="Normal"/>
        <w:jc w:val="left"/>
      </w:pPr>
      <w:r w:rsidR="5D7DC598">
        <w:drawing>
          <wp:inline wp14:editId="203DF1F0" wp14:anchorId="502529D7">
            <wp:extent cx="3924300" cy="4572000"/>
            <wp:effectExtent l="0" t="0" r="0" b="0"/>
            <wp:docPr id="66389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e5c628574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A1F19" w:rsidP="365DE6E0" w:rsidRDefault="7D2A1F19" w14:paraId="69D37E8A" w14:textId="3CDE74EB">
      <w:pPr>
        <w:pStyle w:val="Normal"/>
        <w:jc w:val="left"/>
      </w:pPr>
      <w:r w:rsidR="7D2A1F19">
        <w:drawing>
          <wp:inline wp14:editId="37121CFF" wp14:anchorId="6C9EED05">
            <wp:extent cx="4572000" cy="590550"/>
            <wp:effectExtent l="0" t="0" r="0" b="0"/>
            <wp:docPr id="1183966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b2a128a41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A1F19" w:rsidP="365DE6E0" w:rsidRDefault="7D2A1F19" w14:paraId="0E096FEE" w14:textId="1EC50357">
      <w:pPr>
        <w:pStyle w:val="Normal"/>
        <w:jc w:val="left"/>
      </w:pPr>
      <w:r w:rsidR="7D2A1F19">
        <w:rPr/>
        <w:t>Kodni prikaz klase “Razgovor”.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b495273aca84f29"/>
      <w:footerReference w:type="default" r:id="R83d2b5ad5cca40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2545"/>
      <w:gridCol w:w="3005"/>
    </w:tblGrid>
    <w:tr w:rsidR="365DE6E0" w:rsidTr="365DE6E0" w14:paraId="44EC0690">
      <w:trPr>
        <w:trHeight w:val="300"/>
      </w:trPr>
      <w:tc>
        <w:tcPr>
          <w:tcW w:w="3465" w:type="dxa"/>
          <w:tcMar/>
        </w:tcPr>
        <w:p w:rsidR="365DE6E0" w:rsidP="365DE6E0" w:rsidRDefault="365DE6E0" w14:paraId="6EF709F0" w14:textId="524932F0">
          <w:pPr>
            <w:pStyle w:val="Header"/>
            <w:bidi w:val="0"/>
            <w:ind w:left="-115"/>
            <w:jc w:val="left"/>
          </w:pPr>
        </w:p>
      </w:tc>
      <w:tc>
        <w:tcPr>
          <w:tcW w:w="2545" w:type="dxa"/>
          <w:tcMar/>
        </w:tcPr>
        <w:p w:rsidR="365DE6E0" w:rsidP="365DE6E0" w:rsidRDefault="365DE6E0" w14:paraId="770541EE" w14:textId="59332DF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5DE6E0" w:rsidP="365DE6E0" w:rsidRDefault="365DE6E0" w14:paraId="47118F81" w14:textId="6E7F10CB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365DE6E0">
            <w:rPr/>
            <w:t xml:space="preserve">1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65DE6E0" w:rsidP="365DE6E0" w:rsidRDefault="365DE6E0" w14:paraId="5DAAD98B" w14:textId="1DF230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5DE6E0" w:rsidTr="365DE6E0" w14:paraId="14A8F14C">
      <w:trPr>
        <w:trHeight w:val="300"/>
      </w:trPr>
      <w:tc>
        <w:tcPr>
          <w:tcW w:w="3005" w:type="dxa"/>
          <w:tcMar/>
        </w:tcPr>
        <w:p w:rsidR="365DE6E0" w:rsidP="365DE6E0" w:rsidRDefault="365DE6E0" w14:paraId="547BA57C" w14:textId="71901A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5DE6E0" w:rsidP="365DE6E0" w:rsidRDefault="365DE6E0" w14:paraId="7F9315FD" w14:textId="67F422D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5DE6E0" w:rsidP="365DE6E0" w:rsidRDefault="365DE6E0" w14:paraId="214391FB" w14:textId="60391D90">
          <w:pPr>
            <w:pStyle w:val="Header"/>
            <w:bidi w:val="0"/>
            <w:ind w:right="-115"/>
            <w:jc w:val="right"/>
          </w:pPr>
        </w:p>
      </w:tc>
    </w:tr>
  </w:tbl>
  <w:p w:rsidR="365DE6E0" w:rsidP="365DE6E0" w:rsidRDefault="365DE6E0" w14:paraId="4460FB21" w14:textId="516E10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68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661C5"/>
    <w:rsid w:val="0867AB7E"/>
    <w:rsid w:val="0A3330D4"/>
    <w:rsid w:val="11B98AEE"/>
    <w:rsid w:val="1334DDDF"/>
    <w:rsid w:val="15DD011D"/>
    <w:rsid w:val="18CB03DA"/>
    <w:rsid w:val="1AD02567"/>
    <w:rsid w:val="21A743C2"/>
    <w:rsid w:val="229661C5"/>
    <w:rsid w:val="24B2F05E"/>
    <w:rsid w:val="275F353F"/>
    <w:rsid w:val="2775CCEB"/>
    <w:rsid w:val="29E99D94"/>
    <w:rsid w:val="29FC5F3A"/>
    <w:rsid w:val="2A725842"/>
    <w:rsid w:val="2BA91E26"/>
    <w:rsid w:val="3550006C"/>
    <w:rsid w:val="365DE6E0"/>
    <w:rsid w:val="369B697E"/>
    <w:rsid w:val="372F98CC"/>
    <w:rsid w:val="3AB256A0"/>
    <w:rsid w:val="3EDDBA55"/>
    <w:rsid w:val="3F8DB549"/>
    <w:rsid w:val="3FADCD17"/>
    <w:rsid w:val="3FD17D48"/>
    <w:rsid w:val="403CBDB8"/>
    <w:rsid w:val="407235A3"/>
    <w:rsid w:val="41011AB4"/>
    <w:rsid w:val="41F6D5E5"/>
    <w:rsid w:val="44F9F141"/>
    <w:rsid w:val="4627966F"/>
    <w:rsid w:val="4696DD70"/>
    <w:rsid w:val="46E8CC3A"/>
    <w:rsid w:val="4721A7BE"/>
    <w:rsid w:val="4729F9EB"/>
    <w:rsid w:val="4729F9EB"/>
    <w:rsid w:val="4A587F32"/>
    <w:rsid w:val="4D48CB25"/>
    <w:rsid w:val="4F6075BB"/>
    <w:rsid w:val="4F929E3C"/>
    <w:rsid w:val="50C7C0B6"/>
    <w:rsid w:val="53363E27"/>
    <w:rsid w:val="5AB9F2DF"/>
    <w:rsid w:val="5CB4E943"/>
    <w:rsid w:val="5D7DC598"/>
    <w:rsid w:val="60D85F72"/>
    <w:rsid w:val="641242E3"/>
    <w:rsid w:val="6447ACC8"/>
    <w:rsid w:val="66C0759F"/>
    <w:rsid w:val="66E402E9"/>
    <w:rsid w:val="6817B3B8"/>
    <w:rsid w:val="6CB93D7E"/>
    <w:rsid w:val="6F66BAD1"/>
    <w:rsid w:val="7002ADCF"/>
    <w:rsid w:val="725A9394"/>
    <w:rsid w:val="733A4E91"/>
    <w:rsid w:val="7488C7B6"/>
    <w:rsid w:val="74E30EB3"/>
    <w:rsid w:val="74F4A329"/>
    <w:rsid w:val="7641D8AC"/>
    <w:rsid w:val="7658C6F6"/>
    <w:rsid w:val="7A745D25"/>
    <w:rsid w:val="7B429C5B"/>
    <w:rsid w:val="7D2A1F19"/>
    <w:rsid w:val="7DCD0644"/>
    <w:rsid w:val="7F4613C1"/>
    <w:rsid w:val="7FE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61C5"/>
  <w15:chartTrackingRefBased/>
  <w15:docId w15:val="{AA22285D-259B-416E-8C81-BE63C0E551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fcd8e5892d4696" /><Relationship Type="http://schemas.openxmlformats.org/officeDocument/2006/relationships/image" Target="/media/image2.png" Id="R89bffd1acc73402c" /><Relationship Type="http://schemas.openxmlformats.org/officeDocument/2006/relationships/image" Target="/media/image3.png" Id="R3d710823476344aa" /><Relationship Type="http://schemas.openxmlformats.org/officeDocument/2006/relationships/image" Target="/media/image4.png" Id="Rd445fbdd26f54235" /><Relationship Type="http://schemas.openxmlformats.org/officeDocument/2006/relationships/image" Target="/media/image5.png" Id="Rc56e5c62857440af" /><Relationship Type="http://schemas.openxmlformats.org/officeDocument/2006/relationships/image" Target="/media/image6.png" Id="Rd14b2a128a414441" /><Relationship Type="http://schemas.openxmlformats.org/officeDocument/2006/relationships/header" Target="header.xml" Id="R3b495273aca84f29" /><Relationship Type="http://schemas.openxmlformats.org/officeDocument/2006/relationships/footer" Target="footer.xml" Id="R83d2b5ad5cca40b1" /><Relationship Type="http://schemas.openxmlformats.org/officeDocument/2006/relationships/numbering" Target="numbering.xml" Id="R03da5959aa4f4c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2023-12-12T18:41:45.8087545Z</dcterms:created>
  <dcterms:modified xsi:type="dcterms:W3CDTF">2023-12-12T19:17:31.8149231Z</dcterms:modified>
  <dc:creator>Vito Đukić</dc:creator>
  <lastModifiedBy>Vito Đukić</lastModifiedBy>
</coreProperties>
</file>