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</w:pPr>
    </w:p>
    <w:p>
      <w:pPr>
        <w:spacing w:after="800"/>
        <w:jc w:val="center"/>
      </w:pPr>
      <w:r>
        <w:rPr>
          <w:rFonts w:ascii="Consolas" w:cs="Consolas" w:eastAsia="Consolas" w:hAnsi="Consolas"/>
          <w:b/>
          <w:bCs/>
          <w:color w:val="4A5B30"/>
          <w:spacing w:val="80"/>
          <w:sz w:val="18"/>
          <w:szCs w:val="18"/>
        </w:rPr>
        <w:t xml:space="preserve">VITARKA  </w:t>
      </w:r>
      <w:r>
        <w:rPr>
          <w:rFonts w:ascii="Consolas" w:cs="Consolas" w:eastAsia="Consolas" w:hAnsi="Consolas"/>
          <w:color w:val="B8AF96"/>
          <w:sz w:val="18"/>
          <w:szCs w:val="18"/>
        </w:rPr>
        <w:t xml:space="preserve">/  </w:t>
      </w:r>
      <w:r>
        <w:rPr>
          <w:rFonts w:ascii="Consolas" w:cs="Consolas" w:eastAsia="Consolas" w:hAnsi="Consolas"/>
          <w:color w:val="6F695C"/>
          <w:spacing w:val="60"/>
          <w:sz w:val="18"/>
          <w:szCs w:val="18"/>
        </w:rPr>
        <w:t xml:space="preserve">DEFENCE  </w:t>
      </w:r>
      <w:r>
        <w:rPr>
          <w:rFonts w:ascii="Consolas" w:cs="Consolas" w:eastAsia="Consolas" w:hAnsi="Consolas"/>
          <w:color w:val="B8AF96"/>
          <w:sz w:val="18"/>
          <w:szCs w:val="18"/>
        </w:rPr>
        <w:t xml:space="preserve">/  </w:t>
      </w:r>
      <w:r>
        <w:rPr>
          <w:rFonts w:ascii="Consolas" w:cs="Consolas" w:eastAsia="Consolas" w:hAnsi="Consolas"/>
          <w:color w:val="6F695C"/>
          <w:spacing w:val="60"/>
          <w:sz w:val="18"/>
          <w:szCs w:val="18"/>
        </w:rPr>
        <w:t xml:space="preserve">POC-001  </w:t>
      </w:r>
      <w:r>
        <w:rPr>
          <w:rFonts w:ascii="Consolas" w:cs="Consolas" w:eastAsia="Consolas" w:hAnsi="Consolas"/>
          <w:color w:val="B8AF96"/>
          <w:sz w:val="18"/>
          <w:szCs w:val="18"/>
        </w:rPr>
        <w:t xml:space="preserve">/  </w:t>
      </w:r>
      <w:r>
        <w:rPr>
          <w:rFonts w:ascii="Consolas" w:cs="Consolas" w:eastAsia="Consolas" w:hAnsi="Consolas"/>
          <w:color w:val="6F695C"/>
          <w:spacing w:val="60"/>
          <w:sz w:val="18"/>
          <w:szCs w:val="18"/>
        </w:rPr>
        <w:t xml:space="preserve">REV 2.0</w:t>
      </w:r>
    </w:p>
    <w:p>
      <w:pPr>
        <w:spacing w:after="40"/>
        <w:jc w:val="center"/>
      </w:pPr>
      <w:r>
        <w:rPr>
          <w:rFonts w:ascii="Georgia" w:cs="Georgia" w:eastAsia="Georgia" w:hAnsi="Georgia"/>
          <w:b w:val="false"/>
          <w:bCs w:val="false"/>
          <w:color w:val="0E1410"/>
          <w:sz w:val="120"/>
          <w:szCs w:val="120"/>
        </w:rPr>
        <w:t xml:space="preserve">ARC-Node</w:t>
      </w:r>
    </w:p>
    <w:p>
      <w:pPr>
        <w:spacing w:after="240"/>
        <w:jc w:val="center"/>
      </w:pPr>
      <w:r>
        <w:rPr>
          <w:rFonts w:ascii="Georgia" w:cs="Georgia" w:eastAsia="Georgia" w:hAnsi="Georgia"/>
          <w:i/>
          <w:iCs/>
          <w:color w:val="4A5B30"/>
          <w:sz w:val="96"/>
          <w:szCs w:val="96"/>
        </w:rPr>
        <w:t xml:space="preserve">v2</w:t>
      </w:r>
    </w:p>
    <w:p>
      <w:pPr>
        <w:spacing w:after="160"/>
        <w:jc w:val="center"/>
      </w:pPr>
      <w:r>
        <w:rPr>
          <w:rFonts w:ascii="Georgia" w:cs="Georgia" w:eastAsia="Georgia" w:hAnsi="Georgia"/>
          <w:i/>
          <w:iCs/>
          <w:color w:val="1F2A22"/>
          <w:sz w:val="26"/>
          <w:szCs w:val="26"/>
        </w:rPr>
        <w:t xml:space="preserve">A distributed passive edge-AI sensor network for counter-UAS alerting</w:t>
      </w:r>
    </w:p>
    <w:p>
      <w:pPr>
        <w:spacing w:after="160"/>
        <w:jc w:val="center"/>
      </w:pPr>
      <w:r>
        <w:rPr>
          <w:rFonts w:ascii="Consolas" w:cs="Consolas" w:eastAsia="Consolas" w:hAnsi="Consolas"/>
          <w:color w:val="4A5B30"/>
          <w:spacing w:val="200"/>
          <w:sz w:val="22"/>
          <w:szCs w:val="22"/>
        </w:rPr>
        <w:t xml:space="preserve">— § —</w:t>
      </w:r>
    </w:p>
    <w:p>
      <w:pPr>
        <w:spacing w:after="800"/>
        <w:jc w:val="center"/>
      </w:pPr>
      <w:r>
        <w:rPr>
          <w:rFonts w:ascii="Consolas" w:cs="Consolas" w:eastAsia="Consolas" w:hAnsi="Consolas"/>
          <w:color w:val="6F695C"/>
          <w:spacing w:val="60"/>
          <w:sz w:val="18"/>
          <w:szCs w:val="18"/>
        </w:rPr>
        <w:t xml:space="preserve">Complete Technical Blueprint  ·  PoC v1 Build-Ready</w:t>
      </w:r>
    </w:p>
    <w:p>
      <w:pPr>
        <w:spacing w:after="480"/>
        <w:jc w:val="center"/>
      </w:pPr>
      <w:r>
        <w:rPr>
          <w:rFonts w:ascii="Calibri" w:cs="Calibri" w:eastAsia="Calibri" w:hAnsi="Calibri"/>
          <w:b/>
          <w:bCs/>
          <w:color w:val="4A7E5E"/>
          <w:sz w:val="22"/>
          <w:szCs w:val="22"/>
        </w:rPr>
        <w:t xml:space="preserve">● </w:t>
      </w:r>
      <w:r>
        <w:rPr>
          <w:rFonts w:ascii="Consolas" w:cs="Consolas" w:eastAsia="Consolas" w:hAnsi="Consolas"/>
          <w:b/>
          <w:bCs/>
          <w:color w:val="4A7E5E"/>
          <w:spacing w:val="60"/>
          <w:sz w:val="17"/>
          <w:szCs w:val="17"/>
        </w:rPr>
        <w:t xml:space="preserve">SYSTEM DEFINED · BUILD-READY</w:t>
      </w:r>
      <w:r>
        <w:rPr>
          <w:rFonts w:ascii="Calibri" w:cs="Calibri" w:eastAsia="Calibri" w:hAnsi="Calibri"/>
          <w:sz w:val="22"/>
          <w:szCs w:val="22"/>
        </w:rPr>
        <w:t xml:space="preserve">        </w:t>
      </w:r>
      <w:r>
        <w:rPr>
          <w:rFonts w:ascii="Calibri" w:cs="Calibri" w:eastAsia="Calibri" w:hAnsi="Calibri"/>
          <w:color w:val="C66A0E"/>
          <w:sz w:val="18"/>
          <w:szCs w:val="18"/>
        </w:rPr>
        <w:t xml:space="preserve">▲ </w:t>
      </w:r>
      <w:r>
        <w:rPr>
          <w:rFonts w:ascii="Consolas" w:cs="Consolas" w:eastAsia="Consolas" w:hAnsi="Consolas"/>
          <w:b/>
          <w:bCs/>
          <w:color w:val="C66A0E"/>
          <w:spacing w:val="60"/>
          <w:sz w:val="17"/>
          <w:szCs w:val="17"/>
        </w:rPr>
        <w:t xml:space="preserve">v1 PHASE ACTIVE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Vitarka Labs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PRODUCT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ARC-Node v2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DOCUMENT TYPE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Technical Blueprint / PoC Specification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VERSION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2.0 — Frozen Architecture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STATUS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Build-Ready · v1 Phase Active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TARGET AUDIENCE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iDEX DISC · DRDO CAIR · Internal Engineering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40"/>
                <w:sz w:val="17"/>
                <w:szCs w:val="17"/>
              </w:rPr>
              <w:t xml:space="preserve">DATE</w:t>
            </w:r>
          </w:p>
        </w:tc>
        <w:tc>
          <w:tcPr>
            <w:tcW w:type="dxa" w:w="6560"/>
            <w:tcBorders>
              <w:top w:val="single" w:color="CFC8B3" w:sz="4"/>
              <w:left w:val="none" w:color="FFFFFF" w:sz="0"/>
              <w:bottom w:val="single" w:color="CFC8B3" w:sz="4"/>
              <w:right w:val="none" w:color="FFFFFF" w:sz="0"/>
            </w:tcBorders>
            <w:tcMar>
              <w:top w:type="dxa" w:w="120"/>
              <w:left w:type="dxa" w:w="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Georgia" w:cs="Georgia" w:eastAsia="Georgia" w:hAnsi="Georgia"/>
                <w:color w:val="0E1410"/>
                <w:sz w:val="22"/>
                <w:szCs w:val="22"/>
              </w:rPr>
              <w:t xml:space="preserve">16 May 2026</w:t>
            </w:r>
          </w:p>
        </w:tc>
      </w:tr>
    </w:tbl>
    <w:p>
      <w:pPr>
        <w:spacing w:after="2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6F695C"/>
          <w:sz w:val="19"/>
          <w:szCs w:val="19"/>
        </w:rPr>
        <w:t xml:space="preserve">Keywords: Counter-UAS · TinyML · GCC-PHAT · AES-CTR · LoRa · ESP32-S3 · INMP441 · AD8317 · Edge-AI · AoA</w:t>
      </w:r>
    </w:p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01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Executive Summary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Synopsis</w:t>
      </w:r>
    </w:p>
    <w:p>
      <w:pPr>
        <w:spacing w:after="200" w:line="340"/>
      </w:pPr>
      <w:r>
        <w:rPr>
          <w:rFonts w:ascii="Calibri" w:cs="Calibri" w:eastAsia="Calibri" w:hAnsi="Calibri"/>
          <w:color w:val="1F2A22"/>
          <w:sz w:val="24"/>
          <w:szCs w:val="24"/>
        </w:rPr>
        <w:t xml:space="preserve">ARC-Node v2 is a phased, procurement-grade sensor network for passive counter-UAV alerting. It uses commodity ESP32-S3 microcontrollers with circular MEMS microphone arrays, passive RF energy detectors, and LoRa encrypted telemetry to identify and report drone threats from a perimeter deployment at a hardware cost of approximately ₹2,850 per node.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architecture is organised into four hierarchical layers — Node, Compute, Network, Dashboard — and built on a staged deployment roadmap (v1 → v1.5 → v2 → v3) that avoids the engineering trap of building the full system at once. Each version is independently testable and producible.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Three pragmatic design corrections distinguish this blueprint from less-disciplined academic proposals: sector-based bearing estimation (not GPS-grade localisation), coarse RF energy corroboration (not RF protocol decoding), and AES-CTR + HMAC-SHA256 security (exploiting ESP32-S3 hardware accelerators correctly, without overclaiming GCM support).</w:t>
      </w:r>
    </w:p>
    <w:p>
      <w:pPr>
        <w:spacing w:after="160"/>
      </w:pPr>
    </w:p>
    <w:tbl>
      <w:tblPr>
        <w:tblW w:type="dxa" w:w="9360"/>
        <w:tblBorders>
          <w:top w:val="none" w:color="FFFFFF" w:sz="0"/>
          <w:left w:val="single" w:color="4A5B30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5B30" w:sz="24"/>
              <w:bottom w:val="none" w:color="FFFFFF" w:sz="0"/>
              <w:right w:val="none" w:color="FFFFFF" w:sz="0"/>
            </w:tcBorders>
            <w:tcMar>
              <w:top w:type="dxa" w:w="200"/>
              <w:left w:type="dxa" w:w="360"/>
              <w:bottom w:type="dxa" w:w="200"/>
              <w:right w:type="dxa" w:w="200"/>
            </w:tcMar>
          </w:tcPr>
          <w:p>
            <w:pPr>
              <w:spacing w:after="140" w:line="360"/>
            </w:pPr>
            <w:r>
              <w:rPr>
                <w:rFonts w:ascii="Georgia" w:cs="Georgia" w:eastAsia="Georgia" w:hAnsi="Georgia"/>
                <w:i/>
                <w:iCs/>
                <w:color w:val="0E1410"/>
                <w:sz w:val="28"/>
                <w:szCs w:val="28"/>
              </w:rPr>
              <w:t xml:space="preserve">A single ARC-Node costs ₹2,850 in components. A commercial radar-based C-UAS deployment costs ₹40L–4Cr per site. ARC-Node targets a 1,000× cost reduction for perimeter and border surveillance — while delivering two independent sensing modalities, on-device inference, encrypted telemetry, and a clear upgrade path to multi-node triangulation.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30"/>
                <w:sz w:val="17"/>
                <w:szCs w:val="17"/>
              </w:rPr>
              <w:t xml:space="preserve">— Strategic value proposition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02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System Architecture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Four-Layer Hierarchical Design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system is organised as four distinct layers. Each layer has well-defined inputs, outputs, and upgrade points. This separation enables modular testing — Layer A can be validated before Layer B is built.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2A22" w:sz="4"/>
              <w:left w:val="single" w:color="1F2A22" w:sz="4"/>
              <w:bottom w:val="single" w:color="1F2A22" w:sz="4"/>
              <w:right w:val="single" w:color="1F2A22" w:sz="4"/>
            </w:tcBorders>
            <w:shd w:fill="E9E3D2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┌─────────────────────────────────────────────────────────────────────┐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LAYER A · NODE          4× INMP441  ·  ESP32-S3  ·  AD8317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                        SX1276 LoRa               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LAYER B · COMPUTE       T0: Gatekeeper  →  T1: CNN  →  T2: AoA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                        MFCC + 1D-CNN  ·  GCC-PHAT      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LAYER C · NETWORK       AES-128-CTR · HMAC-SHA256 · Seq window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                        18-byte binary payload over LoRa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├─────────────────────────────────────────────────────────────────────┤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LAYER D · DASHBOARD     LoRa GW → MQTT → Next.js + SOLR   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│                          Confidence heatmap · health monitor        │</w:t>
            </w:r>
          </w:p>
          <w:p>
            <w:pPr>
              <w:spacing w:after="40"/>
            </w:pPr>
            <w:r>
              <w:rPr>
                <w:rFonts w:ascii="Consolas" w:cs="Consolas" w:eastAsia="Consolas" w:hAnsi="Consolas"/>
                <w:color w:val="1F2A22"/>
                <w:sz w:val="18"/>
                <w:szCs w:val="18"/>
              </w:rPr>
              <w:t xml:space="preserve">  └─────────────────────────────────────────────────────────────────────┘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200"/>
      </w:pPr>
    </w:p>
    <w:p>
      <w:pPr>
        <w:pStyle w:val="Heading3"/>
        <w:spacing w:after="100" w:before="240"/>
      </w:pPr>
      <w:r>
        <w:rPr>
          <w:rFonts w:ascii="Georgia" w:cs="Georgia" w:eastAsia="Georgia" w:hAnsi="Georgia"/>
          <w:b/>
          <w:bCs/>
          <w:color w:val="1F2A22"/>
          <w:sz w:val="24"/>
          <w:szCs w:val="24"/>
        </w:rPr>
        <w:t xml:space="preserve">Layer A — Node Layer (Hardware Front-End)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Component</w:t>
            </w:r>
          </w:p>
        </w:tc>
        <w:tc>
          <w:tcPr>
            <w:tcW w:type="dxa" w:w="34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Role</w:t>
            </w:r>
          </w:p>
        </w:tc>
        <w:tc>
          <w:tcPr>
            <w:tcW w:type="dxa" w:w="34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4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4 × INMP441 MEMS Mics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Circular acoustic array · I²S · 48 kHz / 24-bit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Precise geometry mount required for GCC-PHAT phase math</w:t>
            </w:r>
          </w:p>
        </w:tc>
      </w:tr>
      <w:tr>
        <w:tc>
          <w:tcPr>
            <w:tcW w:type="dxa" w:w="24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ESP32-S3 (Dual LX7)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Main compute · I²S DMA · Edge-AI · AES+HMAC crypto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Hardware AES (CTR), HMAC-SHA256, ULP co-processor</w:t>
            </w:r>
          </w:p>
        </w:tc>
      </w:tr>
      <w:tr>
        <w:tc>
          <w:tcPr>
            <w:tcW w:type="dxa" w:w="24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AD8317 RF Log Detector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Passive 1 MHz – 10 GHz wideband energy sensing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Corroboration gate only — not protocol identification</w:t>
            </w:r>
          </w:p>
        </w:tc>
      </w:tr>
      <w:tr>
        <w:tc>
          <w:tcPr>
            <w:tcW w:type="dxa" w:w="24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SX1276 LoRa Module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Encrypted binary telemetry · SPI · CRC</w:t>
            </w:r>
          </w:p>
        </w:tc>
        <w:tc>
          <w:tcPr>
            <w:tcW w:type="dxa" w:w="34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SF7–SF10 configurable, duty-cycle managed</w:t>
            </w:r>
          </w:p>
        </w:tc>
      </w:tr>
    </w:tbl>
    <w:p>
      <w:pPr>
        <w:spacing w:after="180"/>
      </w:pPr>
    </w:p>
    <w:p>
      <w:pPr>
        <w:pStyle w:val="Heading3"/>
        <w:spacing w:after="100" w:before="240"/>
      </w:pPr>
      <w:r>
        <w:rPr>
          <w:rFonts w:ascii="Georgia" w:cs="Georgia" w:eastAsia="Georgia" w:hAnsi="Georgia"/>
          <w:b/>
          <w:bCs/>
          <w:color w:val="1F2A22"/>
          <w:sz w:val="24"/>
          <w:szCs w:val="24"/>
        </w:rPr>
        <w:t xml:space="preserve">Layer B — Compute Layer (Hierarchical Edge-AI Stack)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compute layer uses three sequential tiers. Each tier only runs when the previous tier triggers, dramatically reducing average power consumption.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300"/>
        <w:gridCol w:w="3000"/>
        <w:gridCol w:w="2760"/>
      </w:tblGrid>
      <w:tr>
        <w:tc>
          <w:tcPr>
            <w:tcW w:type="dxa" w:w="13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Tier</w:t>
            </w:r>
          </w:p>
        </w:tc>
        <w:tc>
          <w:tcPr>
            <w:tcW w:type="dxa" w:w="23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Name</w:t>
            </w:r>
          </w:p>
        </w:tc>
        <w:tc>
          <w:tcPr>
            <w:tcW w:type="dxa" w:w="30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Function</w:t>
            </w:r>
          </w:p>
        </w:tc>
        <w:tc>
          <w:tcPr>
            <w:tcW w:type="dxa" w:w="276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Trigger Condition</w:t>
            </w:r>
          </w:p>
        </w:tc>
      </w:tr>
      <w:tr>
        <w:tc>
          <w:tcPr>
            <w:tcW w:type="dxa" w:w="1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8"/>
                <w:szCs w:val="18"/>
              </w:rPr>
              <w:t xml:space="preserve">T0</w:t>
            </w:r>
          </w:p>
        </w:tc>
        <w:tc>
          <w:tcPr>
            <w:tcW w:type="dxa" w:w="2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Gatekeeper</w:t>
            </w:r>
          </w:p>
        </w:tc>
        <w:tc>
          <w:tcPr>
            <w:tcW w:type="dxa" w:w="30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Spectral baseline (SSTB). Low-cost anomaly detection. Always-on (ULP co-processor).</w:t>
            </w:r>
          </w:p>
        </w:tc>
        <w:tc>
          <w:tcPr>
            <w:tcW w:type="dxa" w:w="276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Always active</w:t>
            </w:r>
          </w:p>
        </w:tc>
      </w:tr>
      <w:tr>
        <w:tc>
          <w:tcPr>
            <w:tcW w:type="dxa" w:w="1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8"/>
                <w:szCs w:val="18"/>
              </w:rPr>
              <w:t xml:space="preserve">T1</w:t>
            </w:r>
          </w:p>
        </w:tc>
        <w:tc>
          <w:tcPr>
            <w:tcW w:type="dxa" w:w="2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CNN Classifier</w:t>
            </w:r>
          </w:p>
        </w:tc>
        <w:tc>
          <w:tcPr>
            <w:tcW w:type="dxa" w:w="30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MFCC features + 1D-CNN. Distinguishes drone harmonics from biological noise.</w:t>
            </w:r>
          </w:p>
        </w:tc>
        <w:tc>
          <w:tcPr>
            <w:tcW w:type="dxa" w:w="276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On Tier 0 trigger</w:t>
            </w:r>
          </w:p>
        </w:tc>
      </w:tr>
      <w:tr>
        <w:tc>
          <w:tcPr>
            <w:tcW w:type="dxa" w:w="1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8"/>
                <w:szCs w:val="18"/>
              </w:rPr>
              <w:t xml:space="preserve">T2</w:t>
            </w:r>
          </w:p>
        </w:tc>
        <w:tc>
          <w:tcPr>
            <w:tcW w:type="dxa" w:w="23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AoA Bearing</w:t>
            </w:r>
          </w:p>
        </w:tc>
        <w:tc>
          <w:tcPr>
            <w:tcW w:type="dxa" w:w="30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4-mic GCC-PHAT cross-correlation. Angle-of-Arrival sector (± 10° resolution).</w:t>
            </w:r>
          </w:p>
        </w:tc>
        <w:tc>
          <w:tcPr>
            <w:tcW w:type="dxa" w:w="276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On Tier 1 confidence &gt; threshold</w:t>
            </w:r>
          </w:p>
        </w:tc>
      </w:tr>
    </w:tbl>
    <w:p>
      <w:pPr>
        <w:spacing w:after="180"/>
      </w:pPr>
    </w:p>
    <w:p>
      <w:pPr>
        <w:pStyle w:val="Heading3"/>
        <w:spacing w:after="100" w:before="240"/>
      </w:pPr>
      <w:r>
        <w:rPr>
          <w:rFonts w:ascii="Georgia" w:cs="Georgia" w:eastAsia="Georgia" w:hAnsi="Georgia"/>
          <w:b/>
          <w:bCs/>
          <w:color w:val="1F2A22"/>
          <w:sz w:val="24"/>
          <w:szCs w:val="24"/>
        </w:rPr>
        <w:t xml:space="preserve">Layer C — Network Layer (Secure Binary LoRa Protocol)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When the Compute Layer confirms a threat with sufficient confidence, the node constructs a fixed-length binary payload and transmits it via LoRa.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B5C" w:sz="18"/>
              <w:left w:val="single" w:color="1F3B5C" w:sz="6"/>
              <w:bottom w:val="single" w:color="1F3B5C" w:sz="6"/>
              <w:right w:val="single" w:color="1F3B5C" w:sz="6"/>
            </w:tcBorders>
            <w:shd w:fill="DCE3EC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1F3B5C"/>
                <w:spacing w:val="40"/>
                <w:sz w:val="17"/>
                <w:szCs w:val="17"/>
              </w:rPr>
              <w:t xml:space="preserve">PAYLOAD STRUCTURE — 18 BYTES</w:t>
            </w:r>
          </w:p>
          <w:p>
            <w:pPr>
              <w:spacing w:after="0" w:line="320"/>
              <w:jc w:val="both"/>
            </w:pPr>
            <w:r>
              <w:rPr>
                <w:rFonts w:ascii="Calibri" w:cs="Calibri" w:eastAsia="Calibri" w:hAnsi="Calibri"/>
                <w:color w:val="1F2A22"/>
                <w:sz w:val="22"/>
                <w:szCs w:val="22"/>
              </w:rPr>
              <w:t xml:space="preserve">struct ArcPayload { uint8_t node_id; uint8_t threat_class; uint8_t confidence; int16_t azimuth_deg; uint32_t timestamp_unix; uint16_t sequence_id; uint8_t hmac_tag[8]; }</w:t>
            </w:r>
          </w:p>
        </w:tc>
      </w:tr>
    </w:tbl>
    <w:p>
      <w:pPr>
        <w:spacing w:after="140"/>
      </w:pP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Security: AES-128-CTR encryption (hardware-accelerated on ESP32-S3) applied to the struct, followed by HMAC-SHA256 (hardware-accelerated) over the ciphertext — Encrypt-then-MAC. A sliding sequence window at the gateway rejects replay attacks. This correctly uses the ESP32-S3 hardware AES accelerator (CTR mode supported) without overclaiming GCM mode.</w:t>
      </w:r>
    </w:p>
    <w:p>
      <w:pPr>
        <w:pStyle w:val="Heading3"/>
        <w:spacing w:after="100" w:before="240"/>
      </w:pPr>
      <w:r>
        <w:rPr>
          <w:rFonts w:ascii="Georgia" w:cs="Georgia" w:eastAsia="Georgia" w:hAnsi="Georgia"/>
          <w:b/>
          <w:bCs/>
          <w:color w:val="1F2A22"/>
          <w:sz w:val="24"/>
          <w:szCs w:val="24"/>
        </w:rPr>
        <w:t xml:space="preserve">Layer D — Dashboard Layer (Command &amp; Control)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LoRa gateway forwards decrypted packets via MQTT to a Next.js/React frontend backed by SOLR for high-speed event indexing. Dashboard features: live event timeline, per-node confidence heatmap, threat azimuth indicator, node health monitor, and export to PDF/CSV.</w:t>
      </w:r>
    </w:p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03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Engineering Precision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Three Pragmatic Corrections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These corrections are not limitations — they are what make this blueprint defensible in front of a DRDO jury or an iDEX reviewer. Overselling leads to failed field trials. Precise claims survive scrutiny.</w:t>
      </w:r>
    </w:p>
    <w:p>
      <w:pPr>
        <w:spacing w:after="18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Correction 1.  Localisation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9B28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✗  Not this claim</w:t>
            </w:r>
          </w:p>
        </w:tc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4A5B3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✓  This claim</w:t>
            </w:r>
          </w:p>
        </w:tc>
      </w:tr>
      <w:tr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4E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1818"/>
                <w:sz w:val="22"/>
                <w:szCs w:val="22"/>
              </w:rPr>
              <w:t xml:space="preserve">Precise GPS-grade localisation of drone position</w:t>
            </w:r>
          </w:p>
        </w:tc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2"/>
                <w:szCs w:val="22"/>
              </w:rPr>
              <w:t xml:space="preserve">Bearing / Sector Estimation (AoA) — direction reported as azimuth ± 10° sector</w:t>
            </w:r>
          </w:p>
        </w:tc>
      </w:tr>
    </w:tbl>
    <w:p>
      <w:pPr>
        <w:spacing w:after="120"/>
      </w:pP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Technical basis: GCC-PHAT (Generalised Cross-Correlation with Phase Transform) on a 4-element circular microphone array yields direction-of-arrival, not absolute position. A 4-mic array with ~10 cm spacing at 150 m target range provides bearing resolution of approximately ± 5–15° — suitable for sector-level alerting. Full TDoA triangulation (absolute XY localisation) is a v3 roadmap item requiring multi-node deployment.</w:t>
      </w:r>
    </w:p>
    <w:p>
      <w:pPr>
        <w:spacing w:after="10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Correction 2.  RF Sensing Scope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9B28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✗  Not this claim</w:t>
            </w:r>
          </w:p>
        </w:tc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4A5B3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✓  This claim</w:t>
            </w:r>
          </w:p>
        </w:tc>
      </w:tr>
      <w:tr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4E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1818"/>
                <w:sz w:val="22"/>
                <w:szCs w:val="22"/>
              </w:rPr>
              <w:t xml:space="preserve">Drone RF protocol identification (DJI OcuSync, FlySky, FrSky decode)</w:t>
            </w:r>
          </w:p>
        </w:tc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2"/>
                <w:szCs w:val="22"/>
              </w:rPr>
              <w:t xml:space="preserve">Coarse RF energy corroboration — 2.4 / 5.8 GHz burst activity gate</w:t>
            </w:r>
          </w:p>
        </w:tc>
      </w:tr>
    </w:tbl>
    <w:p>
      <w:pPr>
        <w:spacing w:after="120"/>
      </w:pP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Technical basis: AD8317 is a wideband logarithmic detector covering 1 MHz to 10 GHz with a 60 dB dynamic range. It outputs a voltage proportional to input power — it does not demodulate or decode protocols. The AD8317 serves as a cross-modal persistence gate: if the acoustic CNN fires AND the AD8317 reads elevated RF energy in the 2.4 / 5.8 GHz band, the fused confidence score rises. This reduces false positive rate without claiming RF fingerprinting.</w:t>
      </w:r>
    </w:p>
    <w:p>
      <w:pPr>
        <w:spacing w:after="10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Correction 3.  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9B282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✗  Not this claim</w:t>
            </w:r>
          </w:p>
        </w:tc>
        <w:tc>
          <w:tcPr>
            <w:tcW w:type="dxa" w:w="46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4A5B3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FFFFF"/>
                <w:spacing w:val="30"/>
                <w:sz w:val="18"/>
                <w:szCs w:val="18"/>
              </w:rPr>
              <w:t xml:space="preserve">✓  This claim</w:t>
            </w:r>
          </w:p>
        </w:tc>
      </w:tr>
      <w:tr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4E0DD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C1818"/>
                <w:sz w:val="22"/>
                <w:szCs w:val="22"/>
              </w:rPr>
              <w:t xml:space="preserve">AES-GCM (hardware-native authenticated encryption)</w:t>
            </w:r>
          </w:p>
        </w:tc>
        <w:tc>
          <w:tcPr>
            <w:tcW w:type="dxa" w:w="46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2"/>
                <w:szCs w:val="22"/>
              </w:rPr>
              <w:t xml:space="preserve">AES-CTR + HMAC-SHA256 (Encrypt-then-MAC) — equal security, correct implementation</w:t>
            </w:r>
          </w:p>
        </w:tc>
      </w:tr>
    </w:tbl>
    <w:p>
      <w:pPr>
        <w:spacing w:after="120"/>
      </w:pP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Technical basis: The ESP32-S3 Technical Reference Manual (v1.4) documents hardware AES acceleration for the following modes: ECB, CBC, OFB, CTR, CFB8, CFB128. AES-GCM is not listed in the hardware engine. AES-CTR is hardware-accelerated and, combined with HMAC-SHA256 (also hardware-accelerated), achieves IND-CPA + INT-CTXT security equivalent to GCM in the Encrypt-then-MAC construction. The sliding sequence window provides replay attack resistance equivalent to GCM's authentication nonce.</w:t>
      </w:r>
    </w:p>
    <w:p>
      <w:pPr>
        <w:spacing w:after="100"/>
      </w:pPr>
    </w:p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04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Staged PoC Roadmap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Build sequence · v1 → v1.5 → v2 → v3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staged build strategy is the single most important risk-control decision in this project. Each version is independently shippable and testable. Do not attempt to build v2 before v1 is validated.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800"/>
        <w:gridCol w:w="3280"/>
        <w:gridCol w:w="3180"/>
      </w:tblGrid>
      <w:tr>
        <w:tc>
          <w:tcPr>
            <w:tcW w:type="dxa" w:w="11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Version</w:t>
            </w:r>
          </w:p>
        </w:tc>
        <w:tc>
          <w:tcPr>
            <w:tcW w:type="dxa" w:w="18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Title</w:t>
            </w:r>
          </w:p>
        </w:tc>
        <w:tc>
          <w:tcPr>
            <w:tcW w:type="dxa" w:w="32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Build Scope</w:t>
            </w:r>
          </w:p>
        </w:tc>
        <w:tc>
          <w:tcPr>
            <w:tcW w:type="dxa" w:w="31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Success Gate</w:t>
            </w:r>
          </w:p>
        </w:tc>
      </w:tr>
      <w:tr>
        <w:tc>
          <w:tcPr>
            <w:tcW w:type="dxa" w:w="11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8"/>
                <w:szCs w:val="18"/>
              </w:rPr>
              <w:t xml:space="preserve">v1  ●</w:t>
            </w:r>
          </w:p>
        </w:tc>
        <w:tc>
          <w:tcPr>
            <w:tcW w:type="dxa" w:w="1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Foundation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ESP32-S3 data logger → Tier 0 gatekeeper → CNN classifier (TFLite Micro) → AES-CTR encrypted binary LoRa alert packet</w:t>
            </w:r>
          </w:p>
        </w:tc>
        <w:tc>
          <w:tcPr>
            <w:tcW w:type="dxa" w:w="31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Drone audio classified &gt; 85% accuracy · alert packet received and decrypted at gateway</w:t>
            </w:r>
          </w:p>
        </w:tc>
      </w:tr>
      <w:tr>
        <w:tc>
          <w:tcPr>
            <w:tcW w:type="dxa" w:w="11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v1.5</w:t>
            </w:r>
          </w:p>
        </w:tc>
        <w:tc>
          <w:tcPr>
            <w:tcW w:type="dxa" w:w="1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Direction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4-mic circular mount fabrication → I²S DMA 4-channel capture → GCC-PHAT phase math → Bearing sector in LoRa payload</w:t>
            </w:r>
          </w:p>
        </w:tc>
        <w:tc>
          <w:tcPr>
            <w:tcW w:type="dxa" w:w="31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Bearing estimate within ± 15° for a moving sound source at 20–50 m · logged on dashboard</w:t>
            </w:r>
          </w:p>
        </w:tc>
      </w:tr>
      <w:tr>
        <w:tc>
          <w:tcPr>
            <w:tcW w:type="dxa" w:w="11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v2</w:t>
            </w:r>
          </w:p>
        </w:tc>
        <w:tc>
          <w:tcPr>
            <w:tcW w:type="dxa" w:w="1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Corroboration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AD8317 integration → RF energy sampling on ADC → Cross-modal fusion gate in firmware → Fused confidence score</w:t>
            </w:r>
          </w:p>
        </w:tc>
        <w:tc>
          <w:tcPr>
            <w:tcW w:type="dxa" w:w="31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False positive rate drops below 5% in 1-hour ambient noise field trial</w:t>
            </w:r>
          </w:p>
        </w:tc>
      </w:tr>
      <w:tr>
        <w:tc>
          <w:tcPr>
            <w:tcW w:type="dxa" w:w="11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v3</w:t>
            </w:r>
          </w:p>
        </w:tc>
        <w:tc>
          <w:tcPr>
            <w:tcW w:type="dxa" w:w="1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Multi-Node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2–3 node mesh deployment → TDoA solver at gateway → Triangulated position estimate → Dashboard map overlay</w:t>
            </w:r>
          </w:p>
        </w:tc>
        <w:tc>
          <w:tcPr>
            <w:tcW w:type="dxa" w:w="31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5F7340"/>
                <w:sz w:val="20"/>
                <w:szCs w:val="20"/>
              </w:rPr>
              <w:t xml:space="preserve">Drone XY position estimated within 20 m of GPS ground truth at ≤ 100 m range</w:t>
            </w:r>
          </w:p>
        </w:tc>
      </w:tr>
    </w:tbl>
    <w:p>
      <w:pPr>
        <w:spacing w:after="24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First Build — ESP32-S3 Data Logger Harness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 v1 build begins with the data logger — not the classifier. This is critical: synthetic augmentation only works if your noise floor is real. You need actual Indian ambient audio (Pune traffic, auto engines, construction, monsoon, cicadas) before training a model that works in the field.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Hardware: ESP32-S3 dev board + 1 × INMP441 (I²S) + SPI SD card module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Firmware: I²S DMA continuous capture → WAV file write to SD card (16 kHz, 16-bit, 10-minute chunks)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Deployment: Roof or field deployment for 24–48 hours minimum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Output: Labelled ambient corpus → feed into physics-based synthetic augmentation pipeline</w:t>
      </w:r>
    </w:p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66A0E" w:sz="18"/>
              <w:left w:val="single" w:color="C66A0E" w:sz="6"/>
              <w:bottom w:val="single" w:color="C66A0E" w:sz="6"/>
              <w:right w:val="single" w:color="C66A0E" w:sz="6"/>
            </w:tcBorders>
            <w:shd w:fill="F5E6C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/>
            </w:pPr>
            <w:r>
              <w:rPr>
                <w:rFonts w:ascii="Consolas" w:cs="Consolas" w:eastAsia="Consolas" w:hAnsi="Consolas"/>
                <w:b/>
                <w:bCs/>
                <w:color w:val="C66A0E"/>
                <w:spacing w:val="40"/>
                <w:sz w:val="17"/>
                <w:szCs w:val="17"/>
              </w:rPr>
              <w:t xml:space="preserve">FORMULA — SYNTHETIC AUGMENTATION</w:t>
            </w:r>
          </w:p>
          <w:p>
            <w:pPr>
              <w:spacing w:after="100"/>
            </w:pPr>
            <w:r>
              <w:rPr>
                <w:rFonts w:ascii="Georgia" w:cs="Georgia" w:eastAsia="Georgia" w:hAnsi="Georgia"/>
                <w:b w:val="false"/>
                <w:bCs w:val="false"/>
                <w:color w:val="0E1410"/>
                <w:sz w:val="24"/>
                <w:szCs w:val="24"/>
              </w:rPr>
              <w:t xml:space="preserve">Physics-based distance attenuation</w:t>
            </w:r>
          </w:p>
          <w:p>
            <w:pPr>
              <w:spacing w:after="0" w:line="320"/>
              <w:jc w:val="both"/>
            </w:pPr>
            <w:r>
              <w:rPr>
                <w:rFonts w:ascii="Calibri" w:cs="Calibri" w:eastAsia="Calibri" w:hAnsi="Calibri"/>
                <w:color w:val="1F2A22"/>
                <w:sz w:val="22"/>
                <w:szCs w:val="22"/>
              </w:rPr>
              <w:t xml:space="preserve">For each training sample: attenuate clean drone audio using Lp = Lw − 20·log₁₀(r) − α·r  (where r = simulated distance in metres, α = air absorption coefficient for the frequency band), then mix with a randomly sampled ambient clip at the resulting SNR. Apply random pitch shift (± 2%), speed perturbation (± 5%), and channel reverb. This produces training samples that generalise to real deployment distances.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05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Bill of Materials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PoC v1 Node — Low-SWaP Design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Low-SWaP (Size, Weight, and Power) design. All components domestically sourceable in India (RoboCraze, Robu.in, Electronicscomp, Amazon.in).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80"/>
        <w:gridCol w:w="1640"/>
        <w:gridCol w:w="1640"/>
      </w:tblGrid>
      <w:tr>
        <w:tc>
          <w:tcPr>
            <w:tcW w:type="dxa" w:w="28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Component</w:t>
            </w:r>
          </w:p>
        </w:tc>
        <w:tc>
          <w:tcPr>
            <w:tcW w:type="dxa" w:w="32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Function</w:t>
            </w:r>
          </w:p>
        </w:tc>
        <w:tc>
          <w:tcPr>
            <w:tcW w:type="dxa" w:w="164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4A5B3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Cost (₹)</w:t>
            </w:r>
          </w:p>
        </w:tc>
        <w:tc>
          <w:tcPr>
            <w:tcW w:type="dxa" w:w="164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Interface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ESP32-S3-WROOM-1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Edge-AI compute · I²S DMA · HW crypto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400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I²S + SPI + UART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4 × INMP441 MEMS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Omnidirectional acoustic array · 48 kHz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E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600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I²S (× 4, DMA)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SX1276 LoRa Module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Long-range encrypted binary telemetry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500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SPI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AD8317 Eval Board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Passive RF burst energy corroboration gate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E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800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ADC (analog)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18650 Li-ion + TP4056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Power management (PoC scale)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300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VBAT rail</w:t>
            </w:r>
          </w:p>
        </w:tc>
      </w:tr>
      <w:tr>
        <w:tc>
          <w:tcPr>
            <w:tcW w:type="dxa" w:w="28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0E1410"/>
                <w:sz w:val="18"/>
                <w:szCs w:val="18"/>
              </w:rPr>
              <w:t xml:space="preserve">Custom 3D-Printed Housing</w:t>
            </w:r>
          </w:p>
        </w:tc>
        <w:tc>
          <w:tcPr>
            <w:tcW w:type="dxa" w:w="32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4-mic precision geometry mount (circular)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E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Consolas" w:cs="Consolas" w:eastAsia="Consolas" w:hAnsi="Consolas"/>
                <w:b/>
                <w:bCs/>
                <w:color w:val="4A5B30"/>
                <w:sz w:val="19"/>
                <w:szCs w:val="19"/>
              </w:rPr>
              <w:t xml:space="preserve">250</w:t>
            </w:r>
          </w:p>
        </w:tc>
        <w:tc>
          <w:tcPr>
            <w:tcW w:type="dxa" w:w="164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3B5C"/>
                <w:sz w:val="20"/>
                <w:szCs w:val="20"/>
              </w:rPr>
              <w:t xml:space="preserve">Mechanical</w:t>
            </w:r>
          </w:p>
        </w:tc>
      </w:tr>
      <w:tr>
        <w:tc>
          <w:tcPr>
            <w:tcW w:type="dxa" w:w="6080"/>
            <w:gridSpan w:val="2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60"/>
                <w:sz w:val="20"/>
                <w:szCs w:val="20"/>
              </w:rPr>
              <w:t xml:space="preserve">TOTAL PER NODE</w:t>
            </w:r>
          </w:p>
        </w:tc>
        <w:tc>
          <w:tcPr>
            <w:tcW w:type="dxa" w:w="3280"/>
            <w:gridSpan w:val="2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pPr>
              <w:spacing w:after="0"/>
              <w:jc w:val="right"/>
            </w:pPr>
            <w:r>
              <w:rPr>
                <w:rFonts w:ascii="Georgia" w:cs="Georgia" w:eastAsia="Georgia" w:hAnsi="Georgia"/>
                <w:b w:val="false"/>
                <w:bCs w:val="false"/>
                <w:i/>
                <w:iCs/>
                <w:color w:val="8B9870"/>
                <w:sz w:val="32"/>
                <w:szCs w:val="32"/>
              </w:rPr>
              <w:t xml:space="preserve">~ ₹2,850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FFFFFF" w:sz="0"/>
          <w:left w:val="single" w:color="4A5B30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5B30" w:sz="24"/>
              <w:bottom w:val="none" w:color="FFFFFF" w:sz="0"/>
              <w:right w:val="none" w:color="FFFFFF" w:sz="0"/>
            </w:tcBorders>
            <w:tcMar>
              <w:top w:type="dxa" w:w="200"/>
              <w:left w:type="dxa" w:w="360"/>
              <w:bottom w:type="dxa" w:w="200"/>
              <w:right w:type="dxa" w:w="200"/>
            </w:tcMar>
          </w:tcPr>
          <w:p>
            <w:pPr>
              <w:spacing w:after="140" w:line="360"/>
            </w:pPr>
            <w:r>
              <w:rPr>
                <w:rFonts w:ascii="Georgia" w:cs="Georgia" w:eastAsia="Georgia" w:hAnsi="Georgia"/>
                <w:i/>
                <w:iCs/>
                <w:color w:val="0E1410"/>
                <w:sz w:val="28"/>
                <w:szCs w:val="28"/>
              </w:rPr>
              <w:t xml:space="preserve">Domestically sourceable, sub-₹3,000 per node, two independent sensing modalities, encrypted telemetry. This is a deployment-cost frontier, not a research curiosity.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30"/>
                <w:sz w:val="17"/>
                <w:szCs w:val="17"/>
              </w:rPr>
              <w:t xml:space="preserve">— Procurement rationale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06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Validation Metrics</w:t>
      </w:r>
    </w:p>
    <w:p>
      <w:pPr>
        <w:spacing w:after="80" w:before="240"/>
      </w:pPr>
      <w:r>
        <w:rPr>
          <w:rFonts w:ascii="Consolas" w:cs="Consolas" w:eastAsia="Consolas" w:hAnsi="Consolas"/>
          <w:b/>
          <w:bCs/>
          <w:color w:val="4A5B30"/>
          <w:spacing w:val="40"/>
          <w:sz w:val="18"/>
          <w:szCs w:val="18"/>
        </w:rPr>
        <w:t xml:space="preserve">Research-Grade · Jury-Defensible</w:t>
      </w:r>
    </w:p>
    <w:p>
      <w:pPr>
        <w:spacing w:after="160" w:line="320"/>
        <w:jc w:val="both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These metrics are the deliverable standard for PoC v1 field trial sign-off. Each is precisely scoped to the v1 capability. Do not claim v3 metrics for v1 hardware.</w:t>
      </w:r>
    </w:p>
    <w:p>
      <w:pPr>
        <w:spacing w:after="1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500"/>
        <w:gridCol w:w="2380"/>
        <w:gridCol w:w="3780"/>
      </w:tblGrid>
      <w:tr>
        <w:tc>
          <w:tcPr>
            <w:tcW w:type="dxa" w:w="17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Metric</w:t>
            </w:r>
          </w:p>
        </w:tc>
        <w:tc>
          <w:tcPr>
            <w:tcW w:type="dxa" w:w="150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4A5B3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Target</w:t>
            </w:r>
          </w:p>
        </w:tc>
        <w:tc>
          <w:tcPr>
            <w:tcW w:type="dxa" w:w="23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Test Condition</w:t>
            </w:r>
          </w:p>
        </w:tc>
        <w:tc>
          <w:tcPr>
            <w:tcW w:type="dxa" w:w="3780"/>
            <w:tcBorders>
              <w:top w:val="single" w:color="0E1410" w:sz="4"/>
              <w:left w:val="single" w:color="0E1410" w:sz="4"/>
              <w:bottom w:val="single" w:color="0E1410" w:sz="4"/>
              <w:right w:val="single" w:color="0E1410" w:sz="4"/>
            </w:tcBorders>
            <w:shd w:fill="0E1410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color w:val="F2EEE2"/>
                <w:spacing w:val="30"/>
                <w:sz w:val="18"/>
                <w:szCs w:val="18"/>
              </w:rPr>
              <w:t xml:space="preserve">Measurement Method</w:t>
            </w:r>
          </w:p>
        </w:tc>
      </w:tr>
      <w:tr>
        <w:tc>
          <w:tcPr>
            <w:tcW w:type="dxa" w:w="17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FPR (False Positive Rate)</w:t>
            </w:r>
          </w:p>
        </w:tc>
        <w:tc>
          <w:tcPr>
            <w:tcW w:type="dxa" w:w="15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5B30"/>
                <w:sz w:val="26"/>
                <w:szCs w:val="26"/>
              </w:rPr>
              <w:t xml:space="preserve">&lt; 5%</w:t>
            </w:r>
          </w:p>
        </w:tc>
        <w:tc>
          <w:tcPr>
            <w:tcW w:type="dxa" w:w="23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1-hour ambient field trial · no drone present</w:t>
            </w:r>
          </w:p>
        </w:tc>
        <w:tc>
          <w:tcPr>
            <w:tcW w:type="dxa" w:w="37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Count false alerts over 60-min recording · divide by total decision windows</w:t>
            </w:r>
          </w:p>
        </w:tc>
      </w:tr>
      <w:tr>
        <w:tc>
          <w:tcPr>
            <w:tcW w:type="dxa" w:w="17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Detection Recall</w:t>
            </w:r>
          </w:p>
        </w:tc>
        <w:tc>
          <w:tcPr>
            <w:tcW w:type="dxa" w:w="15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E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5B30"/>
                <w:sz w:val="26"/>
                <w:szCs w:val="26"/>
              </w:rPr>
              <w:t xml:space="preserve">&gt; 90%</w:t>
            </w:r>
          </w:p>
        </w:tc>
        <w:tc>
          <w:tcPr>
            <w:tcW w:type="dxa" w:w="23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50 drone fly-overs at 50–150 m range</w:t>
            </w:r>
          </w:p>
        </w:tc>
        <w:tc>
          <w:tcPr>
            <w:tcW w:type="dxa" w:w="37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Ground truth: drone in air · ARC-Node alert within 1.5 s counts as TP</w:t>
            </w:r>
          </w:p>
        </w:tc>
      </w:tr>
      <w:tr>
        <w:tc>
          <w:tcPr>
            <w:tcW w:type="dxa" w:w="17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Bearing Accuracy (AoA)</w:t>
            </w:r>
          </w:p>
        </w:tc>
        <w:tc>
          <w:tcPr>
            <w:tcW w:type="dxa" w:w="15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5B30"/>
                <w:sz w:val="26"/>
                <w:szCs w:val="26"/>
              </w:rPr>
              <w:t xml:space="preserve">± 10° sector</w:t>
            </w:r>
          </w:p>
        </w:tc>
        <w:tc>
          <w:tcPr>
            <w:tcW w:type="dxa" w:w="23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Moving source at 20 m, 50 m, 100 m</w:t>
            </w:r>
          </w:p>
        </w:tc>
        <w:tc>
          <w:tcPr>
            <w:tcW w:type="dxa" w:w="37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Compare ARC-Node reported azimuth to GPS bearing of sound source</w:t>
            </w:r>
          </w:p>
        </w:tc>
      </w:tr>
      <w:tr>
        <w:tc>
          <w:tcPr>
            <w:tcW w:type="dxa" w:w="17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End-to-End Latency</w:t>
            </w:r>
          </w:p>
        </w:tc>
        <w:tc>
          <w:tcPr>
            <w:tcW w:type="dxa" w:w="15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EF0E4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5B30"/>
                <w:sz w:val="26"/>
                <w:szCs w:val="26"/>
              </w:rPr>
              <w:t xml:space="preserve">&lt; 1.5 s</w:t>
            </w:r>
          </w:p>
        </w:tc>
        <w:tc>
          <w:tcPr>
            <w:tcW w:type="dxa" w:w="23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Triggered audio playback at known timestamp</w:t>
            </w:r>
          </w:p>
        </w:tc>
        <w:tc>
          <w:tcPr>
            <w:tcW w:type="dxa" w:w="37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Δ: audio trigger timestamp → dashboard event display timestamp</w:t>
            </w:r>
          </w:p>
        </w:tc>
      </w:tr>
      <w:tr>
        <w:tc>
          <w:tcPr>
            <w:tcW w:type="dxa" w:w="17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0E1410"/>
                <w:sz w:val="20"/>
                <w:szCs w:val="20"/>
              </w:rPr>
              <w:t xml:space="preserve">Average Power Draw</w:t>
            </w:r>
          </w:p>
        </w:tc>
        <w:tc>
          <w:tcPr>
            <w:tcW w:type="dxa" w:w="150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3E5D5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4A5B30"/>
                <w:sz w:val="26"/>
                <w:szCs w:val="26"/>
              </w:rPr>
              <w:t xml:space="preserve">&lt; 500 mW</w:t>
            </w:r>
          </w:p>
        </w:tc>
        <w:tc>
          <w:tcPr>
            <w:tcW w:type="dxa" w:w="23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Continuous · Tier 0 active · no trigger</w:t>
            </w:r>
          </w:p>
        </w:tc>
        <w:tc>
          <w:tcPr>
            <w:tcW w:type="dxa" w:w="3780"/>
            <w:tcBorders>
              <w:top w:val="single" w:color="CFC8B3" w:sz="4"/>
              <w:left w:val="single" w:color="CFC8B3" w:sz="4"/>
              <w:bottom w:val="single" w:color="CFC8B3" w:sz="4"/>
              <w:right w:val="single" w:color="CFC8B3" w:sz="4"/>
            </w:tcBorders>
            <w:shd w:fill="EFE9D8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spacing w:after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F2A22"/>
                <w:sz w:val="20"/>
                <w:szCs w:val="20"/>
              </w:rPr>
              <w:t xml:space="preserve">Current probe on VBAT rail · average over 30 minutes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E1410" w:sz="8" w:space="8"/>
        </w:pBdr>
        <w:spacing w:after="200" w:before="480"/>
      </w:pPr>
      <w:r>
        <w:rPr>
          <w:rFonts w:ascii="Consolas" w:cs="Consolas" w:eastAsia="Consolas" w:hAnsi="Consolas"/>
          <w:b w:val="false"/>
          <w:bCs w:val="false"/>
          <w:color w:val="4A5B30"/>
          <w:sz w:val="22"/>
          <w:szCs w:val="22"/>
        </w:rPr>
        <w:t xml:space="preserve">§ 07   </w:t>
      </w:r>
      <w:r>
        <w:rPr>
          <w:rFonts w:ascii="Georgia" w:cs="Georgia" w:eastAsia="Georgia" w:hAnsi="Georgia"/>
          <w:b w:val="false"/>
          <w:bCs w:val="false"/>
          <w:color w:val="0E1410"/>
          <w:sz w:val="44"/>
          <w:szCs w:val="44"/>
        </w:rPr>
        <w:t xml:space="preserve">Phase-Wise Implementation Checklist</w:t>
      </w: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Phase 1 — Synthetic Dataset Pipeline (Foundation)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Deploy ESP32-S3 + INMP441 data-logger to roof/field for 24 h minimum ambient capture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Label captured clips: traffic, auto engine, wind, birds, rain, construction, human voice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Write Python augmentation script: apply Lp = Lw − 20·log₁₀(r) − α·r distance attenuation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Overlay clean drone audio clips (DroneSound / Kaggle) at computed SNR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Apply augmentation: ± 2% pitch shift, ± 5% speed, random reverb, amplitude jitter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Target: 4,000 clips (2,000 drone, 2,000 ambient); 80/20 train-test split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Validate: confirm augmented clips sound plausible on headphones before training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Phase 2 — One-Node CNN Classifier on ESP32-S3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Train 1D-CNN on MFCC features (40 coefficients, 1 s window, 10 ms hop)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Quantise to INT8 with TFLite post-training quantisation (model &lt; 200 KB flash)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Flash TFLite Micro to ESP32-S3 · validate Tier 0 and Tier 1 logic with recorded audio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Measure: test accuracy (target &gt; 91%), inference latency (&lt; 120 ms), flash usage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Stress test: play 1-hour ambient loop · count false triggers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Phase 3 — GCC-PHAT Bearing Estimation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Fabricate 4-mic circular mount with known inter-element spacing (target: 8–12 cm diameter)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4-channel I²S DMA capture on ESP32-S3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GCC-PHAT cross-correlation for all mic pairs (6 pairs for 4 mics)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Derive AoA bearing estimate from phase difference · output azimuth sector in degrees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Validate with moving speaker at 20 m, 50 m, 100 m · compare to GPS bearing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Integrate bearing into LoRa payload Azimuth_Angle field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Phase 4 — Encrypted LoRa Packet + Dashboard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AES-128-CTR encryption using ESP32-S3 hardware AES (Espressif mbedTLS HAL)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HMAC-SHA256 using ESP32-S3 hardware SHA accelerator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sliding sequence window at gateway (reject seq_id replays within 60 s)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Route decrypted packets from LoRa gateway to MQTT broker (Mosquitto)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Build Next.js frontend: live event feed, azimuth display, node health, SOLR-backed timeline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Measure end-to-end latency: target &lt; 1.5 s from acoustic trigger to dashboard event</w:t>
      </w:r>
    </w:p>
    <w:p>
      <w:pPr>
        <w:spacing w:after="120"/>
      </w:pPr>
    </w:p>
    <w:p>
      <w:pPr>
        <w:pStyle w:val="Heading2"/>
        <w:spacing w:after="140" w:before="320"/>
      </w:pPr>
      <w:r>
        <w:rPr>
          <w:rFonts w:ascii="Georgia" w:cs="Georgia" w:eastAsia="Georgia" w:hAnsi="Georgia"/>
          <w:b w:val="false"/>
          <w:bCs w:val="false"/>
          <w:color w:val="0E1410"/>
          <w:sz w:val="30"/>
          <w:szCs w:val="30"/>
        </w:rPr>
        <w:t xml:space="preserve">Phase 5 — RF Corroboration Fusion + Multi-Node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Integrate AD8317: read ADC voltage proportional to 2.4/5.8 GHz ambient energy level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Implement cross-modal gate: require both acoustic confidence &gt; 0.75 AND RF energy spike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Measure false positive rate reduction vs acoustic-only: target FPR &lt; 5%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Deploy 2–3 nodes with overlapping coverage zones · test simultaneous alert handling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Test network collision handling: randomised backoff for simultaneous TX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Calibri" w:cs="Calibri" w:eastAsia="Calibri" w:hAnsi="Calibri"/>
          <w:color w:val="1F2A22"/>
          <w:sz w:val="22"/>
          <w:szCs w:val="22"/>
        </w:rPr>
        <w:t xml:space="preserve">Begin TDOA solver prototype at gateway (required for v3)</w:t>
      </w:r>
    </w:p>
    <w:p>
      <w:pPr>
        <w:spacing w:after="280"/>
      </w:pPr>
    </w:p>
    <w:tbl>
      <w:tblPr>
        <w:tblW w:type="dxa" w:w="9360"/>
        <w:tblBorders>
          <w:top w:val="none" w:color="FFFFFF" w:sz="0"/>
          <w:left w:val="single" w:color="4A5B30" w:sz="24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4A5B30" w:sz="24"/>
              <w:bottom w:val="none" w:color="FFFFFF" w:sz="0"/>
              <w:right w:val="none" w:color="FFFFFF" w:sz="0"/>
            </w:tcBorders>
            <w:tcMar>
              <w:top w:type="dxa" w:w="200"/>
              <w:left w:type="dxa" w:w="360"/>
              <w:bottom w:type="dxa" w:w="200"/>
              <w:right w:type="dxa" w:w="200"/>
            </w:tcMar>
          </w:tcPr>
          <w:p>
            <w:pPr>
              <w:spacing w:after="140" w:line="360"/>
            </w:pPr>
            <w:r>
              <w:rPr>
                <w:rFonts w:ascii="Georgia" w:cs="Georgia" w:eastAsia="Georgia" w:hAnsi="Georgia"/>
                <w:i/>
                <w:iCs/>
                <w:color w:val="0E1410"/>
                <w:sz w:val="28"/>
                <w:szCs w:val="28"/>
              </w:rPr>
              <w:t xml:space="preserve">Each phase is independently shippable. Each phase has a measurable success gate. No phase begins until the prior one is signed off. This is the discipline that separates a deployable system from a research curiosity.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color w:val="4A5B30"/>
                <w:spacing w:val="30"/>
                <w:sz w:val="17"/>
                <w:szCs w:val="17"/>
              </w:rPr>
              <w:t xml:space="preserve">— Engineering practice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C8B3" w:sz="4" w:space="6"/>
      </w:pBdr>
      <w:spacing w:before="0"/>
    </w:pPr>
    <w:r>
      <w:rPr>
        <w:rFonts w:ascii="Georgia" w:cs="Georgia" w:eastAsia="Georgia" w:hAnsi="Georgia"/>
        <w:i/>
        <w:iCs/>
        <w:color w:val="6F695C"/>
        <w:sz w:val="17"/>
        <w:szCs w:val="17"/>
      </w:rPr>
      <w:t xml:space="preserve">Vitarka Labs</w:t>
    </w:r>
    <w:r>
      <w:rPr>
        <w:rFonts w:ascii="Consolas" w:cs="Consolas" w:eastAsia="Consolas" w:hAnsi="Consolas"/>
        <w:color w:val="6F695C"/>
        <w:sz w:val="15"/>
        <w:szCs w:val="15"/>
      </w:rPr>
      <w:t xml:space="preserve">  ·  Build-Ready Blueprint  ·  Not for public circulation  ·  Page </w:t>
    </w:r>
    <w:r>
      <w:rPr>
        <w:rFonts w:ascii="Consolas" w:cs="Consolas" w:eastAsia="Consolas" w:hAnsi="Consolas"/>
        <w:b/>
        <w:bCs/>
        <w:color w:val="4A5B30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E1410" w:sz="6" w:space="6"/>
      </w:pBdr>
      <w:spacing w:after="0"/>
    </w:pPr>
    <w:r>
      <w:rPr>
        <w:rFonts w:ascii="Georgia" w:cs="Georgia" w:eastAsia="Georgia" w:hAnsi="Georgia"/>
        <w:i/>
        <w:iCs/>
        <w:color w:val="0E1410"/>
        <w:sz w:val="18"/>
        <w:szCs w:val="18"/>
      </w:rPr>
      <w:t xml:space="preserve">ARC-Node v2</w:t>
    </w:r>
    <w:r>
      <w:rPr>
        <w:rFonts w:ascii="Consolas" w:cs="Consolas" w:eastAsia="Consolas" w:hAnsi="Consolas"/>
        <w:color w:val="B8AF96"/>
        <w:sz w:val="16"/>
        <w:szCs w:val="16"/>
      </w:rPr>
      <w:t xml:space="preserve">   ·   </w:t>
    </w:r>
    <w:r>
      <w:rPr>
        <w:rFonts w:ascii="Consolas" w:cs="Consolas" w:eastAsia="Consolas" w:hAnsi="Consolas"/>
        <w:b/>
        <w:bCs/>
        <w:color w:val="4A5B30"/>
        <w:spacing w:val="60"/>
        <w:sz w:val="16"/>
        <w:szCs w:val="16"/>
      </w:rPr>
      <w:t xml:space="preserve">VITARKA LABS</w:t>
    </w:r>
    <w:r>
      <w:rPr>
        <w:rFonts w:ascii="Consolas" w:cs="Consolas" w:eastAsia="Consolas" w:hAnsi="Consolas"/>
        <w:color w:val="B8AF96"/>
        <w:sz w:val="16"/>
        <w:szCs w:val="16"/>
      </w:rPr>
      <w:t xml:space="preserve">   ·   </w:t>
    </w:r>
    <w:r>
      <w:rPr>
        <w:rFonts w:ascii="Consolas" w:cs="Consolas" w:eastAsia="Consolas" w:hAnsi="Consolas"/>
        <w:color w:val="6F695C"/>
        <w:spacing w:val="60"/>
        <w:sz w:val="16"/>
        <w:szCs w:val="16"/>
      </w:rPr>
      <w:t xml:space="preserve">TECHNICAL BLUEPRINT</w:t>
    </w:r>
    <w:r>
      <w:rPr>
        <w:rFonts w:ascii="Consolas" w:cs="Consolas" w:eastAsia="Consolas" w:hAnsi="Consolas"/>
        <w:color w:val="B8AF96"/>
        <w:sz w:val="16"/>
        <w:szCs w:val="16"/>
      </w:rPr>
      <w:t xml:space="preserve">   ·   </w:t>
    </w:r>
    <w:r>
      <w:rPr>
        <w:rFonts w:ascii="Consolas" w:cs="Consolas" w:eastAsia="Consolas" w:hAnsi="Consolas"/>
        <w:b/>
        <w:bCs/>
        <w:color w:val="C66A0E"/>
        <w:spacing w:val="60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720" w:hanging="360"/>
      </w:pPr>
      <w:rPr>
        <w:rFonts w:ascii="Consolas" w:cs="Consolas" w:eastAsia="Consolas" w:hAnsi="Consolas"/>
        <w:color w:val="4A5B30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Georgia" w:cs="Georgia" w:eastAsia="Georgia" w:hAnsi="Georgia"/>
      <w:b w:val="false"/>
      <w:bCs w:val="false"/>
      <w:color w:val="0E1410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Georgia" w:cs="Georgia" w:eastAsia="Georgia" w:hAnsi="Georgia"/>
      <w:b w:val="false"/>
      <w:bCs w:val="false"/>
      <w:color w:val="0E1410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Georgia" w:cs="Georgia" w:eastAsia="Georgia" w:hAnsi="Georgia"/>
      <w:b/>
      <w:bCs/>
      <w:color w:val="1F2A2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ARC-Node v2 — Technical Blueprint</dc:title>
  <dc:creator>Vitarka Labs</dc:creator>
  <dc:description>Distributed Passive Edge-AI Sensor Network for Counter-UAS Alerting</dc:description>
  <cp:lastModifiedBy>Un-named</cp:lastModifiedBy>
  <cp:revision>1</cp:revision>
  <dcterms:created xsi:type="dcterms:W3CDTF">2026-05-15T23:04:04.142Z</dcterms:created>
  <dcterms:modified xsi:type="dcterms:W3CDTF">2026-05-15T23:04:04.142Z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