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sz w:val="36"/>
        </w:rPr>
        <w:t>Прогнозирование отмены бронирования отеля</w:t>
      </w:r>
    </w:p>
    <w:p>
      <w:pPr>
        <w:spacing w:after="40"/>
        <w:jc w:val="center"/>
      </w:pPr>
      <w:r>
        <w:rPr>
          <w:rFonts w:ascii="Times New Roman" w:hAnsi="Times New Roman"/>
          <w:sz w:val="26"/>
        </w:rPr>
        <w:t>Отчёт по проекту</w:t>
      </w:r>
    </w:p>
    <w:p>
      <w:pPr>
        <w:spacing w:after="40"/>
        <w:jc w:val="center"/>
      </w:pPr>
      <w:r>
        <w:rPr>
          <w:rFonts w:ascii="Times New Roman" w:hAnsi="Times New Roman"/>
          <w:sz w:val="22"/>
        </w:rPr>
        <w:t>Курс «Технологии ИИ», СПбГУ, весна 2026</w:t>
      </w:r>
    </w:p>
    <w:p>
      <w:pPr>
        <w:spacing w:after="280"/>
        <w:jc w:val="center"/>
      </w:pPr>
      <w:r>
        <w:rPr>
          <w:rFonts w:ascii="Times New Roman" w:hAnsi="Times New Roman"/>
          <w:sz w:val="22"/>
        </w:rPr>
        <w:t>Авторы: Сухоплечев Виталий, Столярова Полина</w:t>
      </w:r>
    </w:p>
    <w:p>
      <w:pPr>
        <w:spacing w:before="240" w:after="120"/>
      </w:pPr>
      <w:r>
        <w:rPr>
          <w:rFonts w:ascii="Times New Roman" w:hAnsi="Times New Roman"/>
          <w:b/>
          <w:sz w:val="32"/>
        </w:rPr>
        <w:t>1. Цель и метрики</w:t>
      </w:r>
    </w:p>
    <w:p>
      <w:pPr>
        <w:spacing w:after="80"/>
        <w:ind w:firstLine="425"/>
      </w:pPr>
      <w:r>
        <w:rPr>
          <w:rFonts w:ascii="Times New Roman" w:hAnsi="Times New Roman"/>
          <w:sz w:val="22"/>
        </w:rPr>
        <w:t>Задача — бинарная классификация. По параметрам брони отеля нужно предсказать, будет ли она отменена до заезда. Целевая переменная «is_canceled» принимает значение 1, если бронь отменена, и 0 — если клиент в итоге доехал и заселился.</w:t>
      </w:r>
    </w:p>
    <w:p>
      <w:pPr>
        <w:spacing w:after="80"/>
        <w:ind w:firstLine="425"/>
      </w:pPr>
      <w:r>
        <w:rPr>
          <w:rFonts w:ascii="Times New Roman" w:hAnsi="Times New Roman"/>
          <w:sz w:val="22"/>
        </w:rPr>
        <w:t>Зачем эта задача нужна отелю. Каждая поздняя отмена — это пустой номер, который уже нельзя продать. Если знать риск отмены заранее, отель может попросить депозит у конкретного клиента, держать небольшой запас по overbooking-у или попытаться подтвердить визит звонком. Чем раньше мы получаем сигнал, тем больше у бизнеса манёвра.</w:t>
      </w:r>
    </w:p>
    <w:p>
      <w:pPr>
        <w:spacing w:after="80"/>
        <w:ind w:firstLine="425"/>
      </w:pPr>
      <w:r>
        <w:rPr>
          <w:rFonts w:ascii="Times New Roman" w:hAnsi="Times New Roman"/>
          <w:sz w:val="22"/>
        </w:rPr>
        <w:t>Основная метрика — ROC-AUC. Она измеряет, насколько хорошо модель ранжирует брони по риску отмены, и не зависит от выбранного порога принятия решения. Это удобно при сравнении моделей, потому что порог можно настраивать отдельно под бизнес-задачу.</w:t>
      </w:r>
    </w:p>
    <w:p>
      <w:pPr>
        <w:spacing w:after="80"/>
        <w:ind w:firstLine="425"/>
      </w:pPr>
      <w:r>
        <w:rPr>
          <w:rFonts w:ascii="Times New Roman" w:hAnsi="Times New Roman"/>
          <w:sz w:val="22"/>
        </w:rPr>
        <w:t>Дополнительные метрики — F1-мера и полнота по классу «отмена». Полнота важнее точности: пропущенная отмена (FN) обходится отелю дороже, чем ложно отмеченная как отмена бронь (FP). В первом случае отель теряет потенциальную перепродажу номера, во втором — рискует только перестраховаться.</w:t>
      </w:r>
    </w:p>
    <w:p>
      <w:pPr>
        <w:spacing w:before="240" w:after="120"/>
      </w:pPr>
      <w:r>
        <w:rPr>
          <w:rFonts w:ascii="Times New Roman" w:hAnsi="Times New Roman"/>
          <w:b/>
          <w:sz w:val="32"/>
        </w:rPr>
        <w:t>2. Данные</w:t>
      </w:r>
    </w:p>
    <w:p>
      <w:pPr>
        <w:spacing w:after="80"/>
        <w:ind w:firstLine="425"/>
      </w:pPr>
      <w:r>
        <w:rPr>
          <w:rFonts w:ascii="Times New Roman" w:hAnsi="Times New Roman"/>
          <w:sz w:val="22"/>
        </w:rPr>
        <w:t>Источник — открытый набор Hotel Booking Demand из статьи Antonio N., Almeida A., Nunes L. «Hotel booking demand datasets» (Data in Brief, 2019, 22, 41–49). Скачивали по прямой ссылке без авторизации, единым CSV-файлом размером около 17 МБ.</w:t>
      </w:r>
    </w:p>
    <w:p>
      <w:pPr>
        <w:spacing w:after="80"/>
        <w:ind w:firstLine="425"/>
      </w:pPr>
      <w:r>
        <w:rPr>
          <w:rFonts w:ascii="Times New Roman" w:hAnsi="Times New Roman"/>
          <w:sz w:val="22"/>
        </w:rPr>
        <w:t>В исходном наборе 119 390 строк и 32 признака. Все наблюдения относятся к двум отелям в Португалии — городскому (City Hotel) и курортному (Resort Hotel), период бронирований и заездов — 2015–2017 годы. Доля отменённых броней в сыром файле — 37 %.</w:t>
      </w:r>
    </w:p>
    <w:p>
      <w:pPr>
        <w:spacing w:after="80"/>
        <w:jc w:val="center"/>
      </w:pPr>
      <w:r>
        <w:drawing>
          <wp:inline xmlns:a="http://schemas.openxmlformats.org/drawingml/2006/main" xmlns:pic="http://schemas.openxmlformats.org/drawingml/2006/picture">
            <wp:extent cx="4320000" cy="2764800"/>
            <wp:docPr id="1" name="Picture 1"/>
            <wp:cNvGraphicFramePr>
              <a:graphicFrameLocks noChangeAspect="1"/>
            </wp:cNvGraphicFramePr>
            <a:graphic>
              <a:graphicData uri="http://schemas.openxmlformats.org/drawingml/2006/picture">
                <pic:pic>
                  <pic:nvPicPr>
                    <pic:cNvPr id="0" name="balance.png"/>
                    <pic:cNvPicPr/>
                  </pic:nvPicPr>
                  <pic:blipFill>
                    <a:blip r:embed="rId9"/>
                    <a:stretch>
                      <a:fillRect/>
                    </a:stretch>
                  </pic:blipFill>
                  <pic:spPr>
                    <a:xfrm>
                      <a:off x="0" y="0"/>
                      <a:ext cx="4320000" cy="2764800"/>
                    </a:xfrm>
                    <a:prstGeom prst="rect"/>
                  </pic:spPr>
                </pic:pic>
              </a:graphicData>
            </a:graphic>
          </wp:inline>
        </w:drawing>
      </w:r>
    </w:p>
    <w:p>
      <w:pPr>
        <w:spacing w:after="160"/>
        <w:jc w:val="center"/>
      </w:pPr>
      <w:r>
        <w:rPr>
          <w:rFonts w:ascii="Times New Roman" w:hAnsi="Times New Roman"/>
          <w:i/>
          <w:sz w:val="20"/>
        </w:rPr>
        <w:t>Рисунок 1. Баланс классов в исходных данных</w:t>
      </w:r>
    </w:p>
    <w:p>
      <w:pPr>
        <w:spacing w:before="200" w:after="80"/>
      </w:pPr>
      <w:r>
        <w:rPr>
          <w:rFonts w:ascii="Times New Roman" w:hAnsi="Times New Roman"/>
          <w:b/>
          <w:sz w:val="26"/>
        </w:rPr>
        <w:t>2.1. Ключевые признаки</w:t>
      </w:r>
    </w:p>
    <w:p>
      <w:pPr>
        <w:pStyle w:val="ListBullet"/>
        <w:spacing w:after="40"/>
      </w:pPr>
      <w:r>
        <w:rPr>
          <w:rFonts w:ascii="Times New Roman" w:hAnsi="Times New Roman"/>
          <w:sz w:val="22"/>
        </w:rPr>
        <w:t>lead_time — число дней между бронированием и заездом. Самый сильный отдельный признак.</w:t>
      </w:r>
    </w:p>
    <w:p>
      <w:pPr>
        <w:pStyle w:val="ListBullet"/>
        <w:spacing w:after="40"/>
      </w:pPr>
      <w:r>
        <w:rPr>
          <w:rFonts w:ascii="Times New Roman" w:hAnsi="Times New Roman"/>
          <w:sz w:val="22"/>
        </w:rPr>
        <w:t>deposit_type — тип депозита. Особенность датасета: брони с «невозвратным» депозитом почти всегда заканчиваются отменой (об этом пишут и авторы оригинальной статьи).</w:t>
      </w:r>
    </w:p>
    <w:p>
      <w:pPr>
        <w:pStyle w:val="ListBullet"/>
        <w:spacing w:after="40"/>
      </w:pPr>
      <w:r>
        <w:rPr>
          <w:rFonts w:ascii="Times New Roman" w:hAnsi="Times New Roman"/>
          <w:sz w:val="22"/>
        </w:rPr>
        <w:t>market_segment — канал, через который пришла бронь. Группы и онлайн-агентства отменяют чаще остальных.</w:t>
      </w:r>
    </w:p>
    <w:p>
      <w:pPr>
        <w:pStyle w:val="ListBullet"/>
        <w:spacing w:after="40"/>
      </w:pPr>
      <w:r>
        <w:rPr>
          <w:rFonts w:ascii="Times New Roman" w:hAnsi="Times New Roman"/>
          <w:sz w:val="22"/>
        </w:rPr>
        <w:t>previous_cancellations — сколько раз клиент уже отменял брони.</w:t>
      </w:r>
    </w:p>
    <w:p>
      <w:pPr>
        <w:pStyle w:val="ListBullet"/>
        <w:spacing w:after="40"/>
      </w:pPr>
      <w:r>
        <w:rPr>
          <w:rFonts w:ascii="Times New Roman" w:hAnsi="Times New Roman"/>
          <w:sz w:val="22"/>
        </w:rPr>
        <w:t>country — страна клиента. Португальцы отменяют заметно чаще, что закономерно — отели расположены в Португалии.</w:t>
      </w:r>
    </w:p>
    <w:p>
      <w:pPr>
        <w:pStyle w:val="ListBullet"/>
        <w:spacing w:after="40"/>
      </w:pPr>
      <w:r>
        <w:rPr>
          <w:rFonts w:ascii="Times New Roman" w:hAnsi="Times New Roman"/>
          <w:sz w:val="22"/>
        </w:rPr>
        <w:t>adr — средняя цена за ночь.</w:t>
      </w:r>
    </w:p>
    <w:p>
      <w:pPr>
        <w:pStyle w:val="ListBullet"/>
        <w:spacing w:after="40"/>
      </w:pPr>
      <w:r>
        <w:rPr>
          <w:rFonts w:ascii="Times New Roman" w:hAnsi="Times New Roman"/>
          <w:sz w:val="22"/>
        </w:rPr>
        <w:t>total_of_special_requests и required_car_parking_spaces — индикаторы вовлечённости клиента: чем больше запросов, тем меньше шанс отмены.</w:t>
      </w:r>
    </w:p>
    <w:p>
      <w:pPr>
        <w:spacing w:before="200" w:after="80"/>
      </w:pPr>
      <w:r>
        <w:rPr>
          <w:rFonts w:ascii="Times New Roman" w:hAnsi="Times New Roman"/>
          <w:b/>
          <w:sz w:val="26"/>
        </w:rPr>
        <w:t>2.2. Проблемы и чистка</w:t>
      </w:r>
    </w:p>
    <w:p>
      <w:pPr>
        <w:pStyle w:val="ListBullet"/>
        <w:spacing w:after="40"/>
      </w:pPr>
      <w:r>
        <w:rPr>
          <w:rFonts w:ascii="Times New Roman" w:hAnsi="Times New Roman"/>
          <w:sz w:val="22"/>
        </w:rPr>
        <w:t>Пропуски в колонках: «country» — 488 строк, «agent» — 16 340, «company» — 112 593 (94 % колонки). Странy заменили на «неизвестно», агентство — на 0, а из «company» сделали бинарный признак «бронь от компании».</w:t>
      </w:r>
    </w:p>
    <w:p>
      <w:pPr>
        <w:pStyle w:val="ListBullet"/>
        <w:spacing w:after="40"/>
      </w:pPr>
      <w:r>
        <w:rPr>
          <w:rFonts w:ascii="Times New Roman" w:hAnsi="Times New Roman"/>
          <w:sz w:val="22"/>
        </w:rPr>
        <w:t>Аномальные значения цены за ночь: встречались отрицательные и одно значение около 5 400 евро (нормальный диапазон около 100). Удалили записи с adr &lt; 0 и adr &gt; 1000.</w:t>
      </w:r>
    </w:p>
    <w:p>
      <w:pPr>
        <w:pStyle w:val="ListBullet"/>
        <w:spacing w:after="40"/>
      </w:pPr>
      <w:r>
        <w:rPr>
          <w:rFonts w:ascii="Times New Roman" w:hAnsi="Times New Roman"/>
          <w:sz w:val="22"/>
        </w:rPr>
        <w:t>Брони с нулевым числом гостей — удалили как невалидные.</w:t>
      </w:r>
    </w:p>
    <w:p>
      <w:pPr>
        <w:pStyle w:val="ListBullet"/>
        <w:spacing w:after="40"/>
      </w:pPr>
      <w:r>
        <w:rPr>
          <w:rFonts w:ascii="Times New Roman" w:hAnsi="Times New Roman"/>
          <w:sz w:val="22"/>
        </w:rPr>
        <w:t>Около 32 тысяч строк-дублей удалили через drop_duplicates().</w:t>
      </w:r>
    </w:p>
    <w:p>
      <w:pPr>
        <w:spacing w:before="200" w:after="80"/>
      </w:pPr>
      <w:r>
        <w:rPr>
          <w:rFonts w:ascii="Times New Roman" w:hAnsi="Times New Roman"/>
          <w:b/>
          <w:sz w:val="26"/>
        </w:rPr>
        <w:t>2.3. Утечка целевой переменной</w:t>
      </w:r>
    </w:p>
    <w:p>
      <w:pPr>
        <w:spacing w:after="80"/>
        <w:ind w:firstLine="425"/>
      </w:pPr>
      <w:r>
        <w:rPr>
          <w:rFonts w:ascii="Times New Roman" w:hAnsi="Times New Roman"/>
          <w:sz w:val="22"/>
        </w:rPr>
        <w:t>В исходном наборе есть две колонки — «reservation_status» (значения «Check-Out», «Canceled», «No-Show») и «reservation_status_date». Они описывают итог брони и фактически являются ответом. Включение их в модель привело бы к точности 1.0, но в реальной задаче на момент бронирования их не существует. Обе колонки удалили до обучения.</w:t>
      </w:r>
    </w:p>
    <w:p>
      <w:pPr>
        <w:spacing w:before="200" w:after="80"/>
      </w:pPr>
      <w:r>
        <w:rPr>
          <w:rFonts w:ascii="Times New Roman" w:hAnsi="Times New Roman"/>
          <w:b/>
          <w:sz w:val="26"/>
        </w:rPr>
        <w:t>2.4. Объём после чистки</w:t>
      </w:r>
    </w:p>
    <w:p>
      <w:pPr>
        <w:spacing w:after="80"/>
        <w:ind w:firstLine="425"/>
      </w:pPr>
      <w:r>
        <w:rPr>
          <w:rFonts w:ascii="Times New Roman" w:hAnsi="Times New Roman"/>
          <w:sz w:val="22"/>
        </w:rPr>
        <w:t>После всех удалений осталось 86 970 строк. Доля отмен — 27 %. Падение доли отмен после удаления дублей объяснимо: повторяющиеся строки чаще встречались в группе «не отменили», поэтому их дедупликация смещает баланс.</w:t>
      </w:r>
    </w:p>
    <w:p>
      <w:pPr>
        <w:spacing w:before="200" w:after="80"/>
      </w:pPr>
      <w:r>
        <w:rPr>
          <w:rFonts w:ascii="Times New Roman" w:hAnsi="Times New Roman"/>
          <w:b/>
          <w:sz w:val="26"/>
        </w:rPr>
        <w:t>2.5. Ограничения</w:t>
      </w:r>
    </w:p>
    <w:p>
      <w:pPr>
        <w:pStyle w:val="ListBullet"/>
        <w:spacing w:after="40"/>
      </w:pPr>
      <w:r>
        <w:rPr>
          <w:rFonts w:ascii="Times New Roman" w:hAnsi="Times New Roman"/>
          <w:sz w:val="22"/>
        </w:rPr>
        <w:t>Только два отеля и одна страна — обобщение на другие сети и регионы под вопросом.</w:t>
      </w:r>
    </w:p>
    <w:p>
      <w:pPr>
        <w:pStyle w:val="ListBullet"/>
        <w:spacing w:after="40"/>
      </w:pPr>
      <w:r>
        <w:rPr>
          <w:rFonts w:ascii="Times New Roman" w:hAnsi="Times New Roman"/>
          <w:sz w:val="22"/>
        </w:rPr>
        <w:t>Период 2015–2017 годов. После 2020 поведение клиентов и политика отмен сильно изменились.</w:t>
      </w:r>
    </w:p>
    <w:p>
      <w:pPr>
        <w:pStyle w:val="ListBullet"/>
        <w:spacing w:after="40"/>
      </w:pPr>
      <w:r>
        <w:rPr>
          <w:rFonts w:ascii="Times New Roman" w:hAnsi="Times New Roman"/>
          <w:sz w:val="22"/>
        </w:rPr>
        <w:t>Нет данных о ценах конкурентов и внешних событиях (праздники, отмены рейсов).</w:t>
      </w:r>
    </w:p>
    <w:p>
      <w:pPr>
        <w:spacing w:before="240" w:after="120"/>
      </w:pPr>
      <w:r>
        <w:rPr>
          <w:rFonts w:ascii="Times New Roman" w:hAnsi="Times New Roman"/>
          <w:b/>
          <w:sz w:val="32"/>
        </w:rPr>
        <w:t>3. Схема валидации</w:t>
      </w:r>
    </w:p>
    <w:p>
      <w:pPr>
        <w:spacing w:after="80"/>
        <w:ind w:firstLine="425"/>
      </w:pPr>
      <w:r>
        <w:rPr>
          <w:rFonts w:ascii="Times New Roman" w:hAnsi="Times New Roman"/>
          <w:sz w:val="22"/>
        </w:rPr>
        <w:t>Сначала отложили 20 % выборки в тест с помощью train_test_split(test_size=0.2, random_state=42, stratify=y). Стратификация по целевой переменной важна — без неё в тесте могла оказаться непропорционально маленькая доля отмен и оценки поплыли бы. После разбиения доли отмен совпали: 27.3 % и 27.3 %.</w:t>
      </w:r>
    </w:p>
    <w:p>
      <w:pPr>
        <w:spacing w:after="80"/>
        <w:ind w:firstLine="425"/>
      </w:pPr>
      <w:r>
        <w:rPr>
          <w:rFonts w:ascii="Times New Roman" w:hAnsi="Times New Roman"/>
          <w:sz w:val="22"/>
        </w:rPr>
        <w:t>Для подбора гиперпараметров и сравнения моделей использовали 5-фолдовую стратифицированную кросс-валидацию на обучающей выборке (StratifiedKFold с shuffle=True и random_state=42). Финальную оценку получаем на отложенном тесте, который при обучении не использовался ни в одном виде.</w:t>
      </w:r>
    </w:p>
    <w:p>
      <w:pPr>
        <w:spacing w:after="80"/>
        <w:ind w:firstLine="425"/>
      </w:pPr>
      <w:r>
        <w:rPr>
          <w:rFonts w:ascii="Times New Roman" w:hAnsi="Times New Roman"/>
          <w:sz w:val="22"/>
        </w:rPr>
        <w:t>Почему не time-based split. Логически правильнее было бы обучать на 2015–2016 годах и проверять на 2017, но баланс классов сильно меняется год к году, и эта схема даёт оценку, которую трудно сравнивать с CV. В работе авторов оригинального датасета тоже применялся обычный случайный split, поэтому остановились на нём.</w:t>
      </w:r>
    </w:p>
    <w:p>
      <w:pPr>
        <w:spacing w:before="240" w:after="120"/>
      </w:pPr>
      <w:r>
        <w:rPr>
          <w:rFonts w:ascii="Times New Roman" w:hAnsi="Times New Roman"/>
          <w:b/>
          <w:sz w:val="32"/>
        </w:rPr>
        <w:t>4. Подход</w:t>
      </w:r>
    </w:p>
    <w:p>
      <w:pPr>
        <w:spacing w:before="200" w:after="80"/>
      </w:pPr>
      <w:r>
        <w:rPr>
          <w:rFonts w:ascii="Times New Roman" w:hAnsi="Times New Roman"/>
          <w:b/>
          <w:sz w:val="26"/>
        </w:rPr>
        <w:t>4.1. Новые признаки</w:t>
      </w:r>
    </w:p>
    <w:p>
      <w:pPr>
        <w:pStyle w:val="ListBullet"/>
        <w:spacing w:after="40"/>
      </w:pPr>
      <w:r>
        <w:rPr>
          <w:rFonts w:ascii="Times New Roman" w:hAnsi="Times New Roman"/>
          <w:sz w:val="22"/>
        </w:rPr>
        <w:t>total_nights и total_guests — сумма соответствующих колонок, удобный агрегат для линейных моделей.</w:t>
      </w:r>
    </w:p>
    <w:p>
      <w:pPr>
        <w:pStyle w:val="ListBullet"/>
        <w:spacing w:after="40"/>
      </w:pPr>
      <w:r>
        <w:rPr>
          <w:rFonts w:ascii="Times New Roman" w:hAnsi="Times New Roman"/>
          <w:sz w:val="22"/>
        </w:rPr>
        <w:t>has_children и is_family — бинарные индикаторы семейной брони, они отменяются реже.</w:t>
      </w:r>
    </w:p>
    <w:p>
      <w:pPr>
        <w:pStyle w:val="ListBullet"/>
        <w:spacing w:after="40"/>
      </w:pPr>
      <w:r>
        <w:rPr>
          <w:rFonts w:ascii="Times New Roman" w:hAnsi="Times New Roman"/>
          <w:sz w:val="22"/>
        </w:rPr>
        <w:t>room_changed — флаг «выданный номер не совпадает с запрошенным». В этой группе отмен очень мало: клиент уже находится на ресепшене.</w:t>
      </w:r>
    </w:p>
    <w:p>
      <w:pPr>
        <w:pStyle w:val="ListBullet"/>
        <w:spacing w:after="40"/>
      </w:pPr>
      <w:r>
        <w:rPr>
          <w:rFonts w:ascii="Times New Roman" w:hAnsi="Times New Roman"/>
          <w:sz w:val="22"/>
        </w:rPr>
        <w:t>arrival_month_num, season, arrival_weekday — извлечение сезонности из даты заезда.</w:t>
      </w:r>
    </w:p>
    <w:p>
      <w:pPr>
        <w:pStyle w:val="ListBullet"/>
        <w:spacing w:after="40"/>
      </w:pPr>
      <w:r>
        <w:rPr>
          <w:rFonts w:ascii="Times New Roman" w:hAnsi="Times New Roman"/>
          <w:sz w:val="22"/>
        </w:rPr>
        <w:t>adr_per_person — цена в пересчёте на одного гостя.</w:t>
      </w:r>
    </w:p>
    <w:p>
      <w:pPr>
        <w:pStyle w:val="ListBullet"/>
        <w:spacing w:after="40"/>
      </w:pPr>
      <w:r>
        <w:rPr>
          <w:rFonts w:ascii="Times New Roman" w:hAnsi="Times New Roman"/>
          <w:sz w:val="22"/>
        </w:rPr>
        <w:t>has_company — бинарный признак вместо колонки company с 94 % пропусков.</w:t>
      </w:r>
    </w:p>
    <w:p>
      <w:pPr>
        <w:spacing w:before="200" w:after="80"/>
      </w:pPr>
      <w:r>
        <w:rPr>
          <w:rFonts w:ascii="Times New Roman" w:hAnsi="Times New Roman"/>
          <w:b/>
          <w:sz w:val="26"/>
        </w:rPr>
        <w:t>4.2. Кодирование категориальных признаков</w:t>
      </w:r>
    </w:p>
    <w:p>
      <w:pPr>
        <w:pStyle w:val="ListBullet"/>
        <w:spacing w:after="40"/>
      </w:pPr>
      <w:r>
        <w:rPr>
          <w:rFonts w:ascii="Times New Roman" w:hAnsi="Times New Roman"/>
          <w:sz w:val="22"/>
        </w:rPr>
        <w:t>Низкокардинальные (тип отеля, питание, канал, тип клиента, тип депозита, тип номера) кодировали one-hot для линейных моделей и порядковым кодером (OrdinalEncoder) для деревьев и бустинга.</w:t>
      </w:r>
    </w:p>
    <w:p>
      <w:pPr>
        <w:pStyle w:val="ListBullet"/>
        <w:spacing w:after="40"/>
      </w:pPr>
      <w:r>
        <w:rPr>
          <w:rFonts w:ascii="Times New Roman" w:hAnsi="Times New Roman"/>
          <w:sz w:val="22"/>
        </w:rPr>
        <w:t>Высокая кардинальность — колонка «country» (около 175 значений). Использовали целевое кодирование (category_encoders.TargetEncoder) со сглаживанием 10. Чтобы избежать утечки, кодирование заворачивается в Pipeline и считается отдельно для каждого фолда внутри CV.</w:t>
      </w:r>
    </w:p>
    <w:p>
      <w:pPr>
        <w:spacing w:before="200" w:after="80"/>
      </w:pPr>
      <w:r>
        <w:rPr>
          <w:rFonts w:ascii="Times New Roman" w:hAnsi="Times New Roman"/>
          <w:b/>
          <w:sz w:val="26"/>
        </w:rPr>
        <w:t>4.3. Бейзлайн</w:t>
      </w:r>
    </w:p>
    <w:p>
      <w:pPr>
        <w:spacing w:after="80"/>
        <w:ind w:firstLine="425"/>
      </w:pPr>
      <w:r>
        <w:rPr>
          <w:rFonts w:ascii="Times New Roman" w:hAnsi="Times New Roman"/>
          <w:sz w:val="22"/>
        </w:rPr>
        <w:t>В качестве отправной точки взяли DummyClassifier(most_frequent) — ROC-AUC = 0.5. Серьёзный бейзлайн — логистическая регрессия с GridSearchCV по параметру регуляризации C из {0.01, 0.1, 1, 10}. Лучшее значение — C = 1, средний ROC-AUC по 5 фолдам — около 0.84.</w:t>
      </w:r>
    </w:p>
    <w:p>
      <w:pPr>
        <w:spacing w:before="240" w:after="120"/>
      </w:pPr>
      <w:r>
        <w:rPr>
          <w:rFonts w:ascii="Times New Roman" w:hAnsi="Times New Roman"/>
          <w:b/>
          <w:sz w:val="32"/>
        </w:rPr>
        <w:t>5. Обучение моделей</w:t>
      </w:r>
    </w:p>
    <w:p>
      <w:pPr>
        <w:spacing w:after="80"/>
        <w:ind w:firstLine="425"/>
      </w:pPr>
      <w:r>
        <w:rPr>
          <w:rFonts w:ascii="Times New Roman" w:hAnsi="Times New Roman"/>
          <w:sz w:val="22"/>
        </w:rPr>
        <w:t>Сравнивали четыре семейства классических моделей плюс бейзлайн. У каждой модели подобрали гиперпараметры — либо через GridSearchCV, либо вручную в разумных диапазонах.</w:t>
      </w:r>
    </w:p>
    <w:p>
      <w:pPr>
        <w:pStyle w:val="ListBullet"/>
        <w:spacing w:after="40"/>
      </w:pPr>
      <w:r>
        <w:rPr>
          <w:rFonts w:ascii="Times New Roman" w:hAnsi="Times New Roman"/>
          <w:sz w:val="22"/>
        </w:rPr>
        <w:t>Логистическая регрессия: C = 1, solver = lbfgs, max_iter = 2000, one-hot + StandardScaler.</w:t>
      </w:r>
    </w:p>
    <w:p>
      <w:pPr>
        <w:pStyle w:val="ListBullet"/>
        <w:spacing w:after="40"/>
      </w:pPr>
      <w:r>
        <w:rPr>
          <w:rFonts w:ascii="Times New Roman" w:hAnsi="Times New Roman"/>
          <w:sz w:val="22"/>
        </w:rPr>
        <w:t>k ближайших соседей: n_neighbors = 30 (из {5, 15, 30}), обучали на подвыборке 20 000 строк — на полной обучающей выборке kNN считается неприемлемо долго.</w:t>
      </w:r>
    </w:p>
    <w:p>
      <w:pPr>
        <w:pStyle w:val="ListBullet"/>
        <w:spacing w:after="40"/>
      </w:pPr>
      <w:r>
        <w:rPr>
          <w:rFonts w:ascii="Times New Roman" w:hAnsi="Times New Roman"/>
          <w:sz w:val="22"/>
        </w:rPr>
        <w:t>Решающее дерево: max_depth = 10 (без ограничения модель переобучается). Других гиперпараметров не трогали.</w:t>
      </w:r>
    </w:p>
    <w:p>
      <w:pPr>
        <w:pStyle w:val="ListBullet"/>
        <w:spacing w:after="40"/>
      </w:pPr>
      <w:r>
        <w:rPr>
          <w:rFonts w:ascii="Times New Roman" w:hAnsi="Times New Roman"/>
          <w:sz w:val="22"/>
        </w:rPr>
        <w:t>Случайный лес: n_estimators = 300, max_features = «sqrt», min_samples_leaf = 1, n_jobs = -1.</w:t>
      </w:r>
    </w:p>
    <w:p>
      <w:pPr>
        <w:pStyle w:val="ListBullet"/>
        <w:spacing w:after="40"/>
      </w:pPr>
      <w:r>
        <w:rPr>
          <w:rFonts w:ascii="Times New Roman" w:hAnsi="Times New Roman"/>
          <w:sz w:val="22"/>
        </w:rPr>
        <w:t>Градиентный бустинг (HistGradientBoostingClassifier): max_iter = 300, learning_rate = 0.05, max_depth = 8. Финальная модель.</w:t>
      </w:r>
    </w:p>
    <w:p>
      <w:pPr>
        <w:spacing w:after="80"/>
        <w:jc w:val="center"/>
      </w:pPr>
      <w:r>
        <w:drawing>
          <wp:inline xmlns:a="http://schemas.openxmlformats.org/drawingml/2006/main" xmlns:pic="http://schemas.openxmlformats.org/drawingml/2006/picture">
            <wp:extent cx="5040000" cy="2636308"/>
            <wp:docPr id="2" name="Picture 2"/>
            <wp:cNvGraphicFramePr>
              <a:graphicFrameLocks noChangeAspect="1"/>
            </wp:cNvGraphicFramePr>
            <a:graphic>
              <a:graphicData uri="http://schemas.openxmlformats.org/drawingml/2006/picture">
                <pic:pic>
                  <pic:nvPicPr>
                    <pic:cNvPr id="0" name="models.png"/>
                    <pic:cNvPicPr/>
                  </pic:nvPicPr>
                  <pic:blipFill>
                    <a:blip r:embed="rId10"/>
                    <a:stretch>
                      <a:fillRect/>
                    </a:stretch>
                  </pic:blipFill>
                  <pic:spPr>
                    <a:xfrm>
                      <a:off x="0" y="0"/>
                      <a:ext cx="5040000" cy="2636308"/>
                    </a:xfrm>
                    <a:prstGeom prst="rect"/>
                  </pic:spPr>
                </pic:pic>
              </a:graphicData>
            </a:graphic>
          </wp:inline>
        </w:drawing>
      </w:r>
    </w:p>
    <w:p>
      <w:pPr>
        <w:spacing w:after="160"/>
        <w:jc w:val="center"/>
      </w:pPr>
      <w:r>
        <w:rPr>
          <w:rFonts w:ascii="Times New Roman" w:hAnsi="Times New Roman"/>
          <w:i/>
          <w:sz w:val="20"/>
        </w:rPr>
        <w:t>Рисунок 2. Сравнение моделей по ROC-AUC на 5-фолдовой CV</w:t>
      </w:r>
    </w:p>
    <w:tbl>
      <w:tblPr>
        <w:tblStyle w:val="LightGrid-Accent1"/>
        <w:tblW w:type="auto" w:w="0"/>
        <w:tblLook w:firstColumn="1" w:firstRow="1" w:lastColumn="0" w:lastRow="0" w:noHBand="0" w:noVBand="1" w:val="04A0"/>
      </w:tblPr>
      <w:tblGrid>
        <w:gridCol w:w="2422"/>
        <w:gridCol w:w="2422"/>
        <w:gridCol w:w="2422"/>
        <w:gridCol w:w="2422"/>
      </w:tblGrid>
      <w:tr>
        <w:tc>
          <w:tcPr>
            <w:tcW w:type="dxa" w:w="2422"/>
          </w:tcPr>
          <w:p>
            <w:r>
              <w:rPr>
                <w:rFonts w:ascii="Times New Roman" w:hAnsi="Times New Roman"/>
                <w:sz w:val="20"/>
              </w:rPr>
              <w:t>Модель</w:t>
            </w:r>
          </w:p>
        </w:tc>
        <w:tc>
          <w:tcPr>
            <w:tcW w:type="dxa" w:w="2422"/>
          </w:tcPr>
          <w:p>
            <w:r>
              <w:rPr>
                <w:rFonts w:ascii="Times New Roman" w:hAnsi="Times New Roman"/>
                <w:sz w:val="20"/>
              </w:rPr>
              <w:t>ROC-AUC (CV)</w:t>
            </w:r>
          </w:p>
        </w:tc>
        <w:tc>
          <w:tcPr>
            <w:tcW w:type="dxa" w:w="2422"/>
          </w:tcPr>
          <w:p>
            <w:r>
              <w:rPr>
                <w:rFonts w:ascii="Times New Roman" w:hAnsi="Times New Roman"/>
                <w:sz w:val="20"/>
              </w:rPr>
              <w:t>F1 (отмена)</w:t>
            </w:r>
          </w:p>
        </w:tc>
        <w:tc>
          <w:tcPr>
            <w:tcW w:type="dxa" w:w="2422"/>
          </w:tcPr>
          <w:p>
            <w:r>
              <w:rPr>
                <w:rFonts w:ascii="Times New Roman" w:hAnsi="Times New Roman"/>
                <w:sz w:val="20"/>
              </w:rPr>
              <w:t>Полнота (отмена)</w:t>
            </w:r>
          </w:p>
        </w:tc>
      </w:tr>
      <w:tr>
        <w:tc>
          <w:tcPr>
            <w:tcW w:type="dxa" w:w="2422"/>
          </w:tcPr>
          <w:p>
            <w:r>
              <w:rPr>
                <w:rFonts w:ascii="Times New Roman" w:hAnsi="Times New Roman"/>
                <w:sz w:val="20"/>
              </w:rPr>
              <w:t>DummyClassifier</w:t>
            </w:r>
          </w:p>
        </w:tc>
        <w:tc>
          <w:tcPr>
            <w:tcW w:type="dxa" w:w="2422"/>
          </w:tcPr>
          <w:p>
            <w:r>
              <w:rPr>
                <w:rFonts w:ascii="Times New Roman" w:hAnsi="Times New Roman"/>
                <w:sz w:val="20"/>
              </w:rPr>
              <w:t>0.500</w:t>
            </w:r>
          </w:p>
        </w:tc>
        <w:tc>
          <w:tcPr>
            <w:tcW w:type="dxa" w:w="2422"/>
          </w:tcPr>
          <w:p>
            <w:r>
              <w:rPr>
                <w:rFonts w:ascii="Times New Roman" w:hAnsi="Times New Roman"/>
                <w:sz w:val="20"/>
              </w:rPr>
              <w:t>—</w:t>
            </w:r>
          </w:p>
        </w:tc>
        <w:tc>
          <w:tcPr>
            <w:tcW w:type="dxa" w:w="2422"/>
          </w:tcPr>
          <w:p>
            <w:r>
              <w:rPr>
                <w:rFonts w:ascii="Times New Roman" w:hAnsi="Times New Roman"/>
                <w:sz w:val="20"/>
              </w:rPr>
              <w:t>—</w:t>
            </w:r>
          </w:p>
        </w:tc>
      </w:tr>
      <w:tr>
        <w:tc>
          <w:tcPr>
            <w:tcW w:type="dxa" w:w="2422"/>
          </w:tcPr>
          <w:p>
            <w:r>
              <w:rPr>
                <w:rFonts w:ascii="Times New Roman" w:hAnsi="Times New Roman"/>
                <w:sz w:val="20"/>
              </w:rPr>
              <w:t>Логистическая регрессия</w:t>
            </w:r>
          </w:p>
        </w:tc>
        <w:tc>
          <w:tcPr>
            <w:tcW w:type="dxa" w:w="2422"/>
          </w:tcPr>
          <w:p>
            <w:r>
              <w:rPr>
                <w:rFonts w:ascii="Times New Roman" w:hAnsi="Times New Roman"/>
                <w:sz w:val="20"/>
              </w:rPr>
              <w:t>0.840</w:t>
            </w:r>
          </w:p>
        </w:tc>
        <w:tc>
          <w:tcPr>
            <w:tcW w:type="dxa" w:w="2422"/>
          </w:tcPr>
          <w:p>
            <w:r>
              <w:rPr>
                <w:rFonts w:ascii="Times New Roman" w:hAnsi="Times New Roman"/>
                <w:sz w:val="20"/>
              </w:rPr>
              <w:t>0.63</w:t>
            </w:r>
          </w:p>
        </w:tc>
        <w:tc>
          <w:tcPr>
            <w:tcW w:type="dxa" w:w="2422"/>
          </w:tcPr>
          <w:p>
            <w:r>
              <w:rPr>
                <w:rFonts w:ascii="Times New Roman" w:hAnsi="Times New Roman"/>
                <w:sz w:val="20"/>
              </w:rPr>
              <w:t>0.55</w:t>
            </w:r>
          </w:p>
        </w:tc>
      </w:tr>
      <w:tr>
        <w:tc>
          <w:tcPr>
            <w:tcW w:type="dxa" w:w="2422"/>
          </w:tcPr>
          <w:p>
            <w:r>
              <w:rPr>
                <w:rFonts w:ascii="Times New Roman" w:hAnsi="Times New Roman"/>
                <w:sz w:val="20"/>
              </w:rPr>
              <w:t>k ближайших соседей</w:t>
            </w:r>
          </w:p>
        </w:tc>
        <w:tc>
          <w:tcPr>
            <w:tcW w:type="dxa" w:w="2422"/>
          </w:tcPr>
          <w:p>
            <w:r>
              <w:rPr>
                <w:rFonts w:ascii="Times New Roman" w:hAnsi="Times New Roman"/>
                <w:sz w:val="20"/>
              </w:rPr>
              <w:t>0.851</w:t>
            </w:r>
          </w:p>
        </w:tc>
        <w:tc>
          <w:tcPr>
            <w:tcW w:type="dxa" w:w="2422"/>
          </w:tcPr>
          <w:p>
            <w:r>
              <w:rPr>
                <w:rFonts w:ascii="Times New Roman" w:hAnsi="Times New Roman"/>
                <w:sz w:val="20"/>
              </w:rPr>
              <w:t>—</w:t>
            </w:r>
          </w:p>
        </w:tc>
        <w:tc>
          <w:tcPr>
            <w:tcW w:type="dxa" w:w="2422"/>
          </w:tcPr>
          <w:p>
            <w:r>
              <w:rPr>
                <w:rFonts w:ascii="Times New Roman" w:hAnsi="Times New Roman"/>
                <w:sz w:val="20"/>
              </w:rPr>
              <w:t>—</w:t>
            </w:r>
          </w:p>
        </w:tc>
      </w:tr>
      <w:tr>
        <w:tc>
          <w:tcPr>
            <w:tcW w:type="dxa" w:w="2422"/>
          </w:tcPr>
          <w:p>
            <w:r>
              <w:rPr>
                <w:rFonts w:ascii="Times New Roman" w:hAnsi="Times New Roman"/>
                <w:sz w:val="20"/>
              </w:rPr>
              <w:t>Решающее дерево</w:t>
            </w:r>
          </w:p>
        </w:tc>
        <w:tc>
          <w:tcPr>
            <w:tcW w:type="dxa" w:w="2422"/>
          </w:tcPr>
          <w:p>
            <w:r>
              <w:rPr>
                <w:rFonts w:ascii="Times New Roman" w:hAnsi="Times New Roman"/>
                <w:sz w:val="20"/>
              </w:rPr>
              <w:t>0.881</w:t>
            </w:r>
          </w:p>
        </w:tc>
        <w:tc>
          <w:tcPr>
            <w:tcW w:type="dxa" w:w="2422"/>
          </w:tcPr>
          <w:p>
            <w:r>
              <w:rPr>
                <w:rFonts w:ascii="Times New Roman" w:hAnsi="Times New Roman"/>
                <w:sz w:val="20"/>
              </w:rPr>
              <w:t>—</w:t>
            </w:r>
          </w:p>
        </w:tc>
        <w:tc>
          <w:tcPr>
            <w:tcW w:type="dxa" w:w="2422"/>
          </w:tcPr>
          <w:p>
            <w:r>
              <w:rPr>
                <w:rFonts w:ascii="Times New Roman" w:hAnsi="Times New Roman"/>
                <w:sz w:val="20"/>
              </w:rPr>
              <w:t>—</w:t>
            </w:r>
          </w:p>
        </w:tc>
      </w:tr>
      <w:tr>
        <w:tc>
          <w:tcPr>
            <w:tcW w:type="dxa" w:w="2422"/>
          </w:tcPr>
          <w:p>
            <w:r>
              <w:rPr>
                <w:rFonts w:ascii="Times New Roman" w:hAnsi="Times New Roman"/>
                <w:sz w:val="20"/>
              </w:rPr>
              <w:t>Случайный лес</w:t>
            </w:r>
          </w:p>
        </w:tc>
        <w:tc>
          <w:tcPr>
            <w:tcW w:type="dxa" w:w="2422"/>
          </w:tcPr>
          <w:p>
            <w:r>
              <w:rPr>
                <w:rFonts w:ascii="Times New Roman" w:hAnsi="Times New Roman"/>
                <w:sz w:val="20"/>
              </w:rPr>
              <w:t>0.913</w:t>
            </w:r>
          </w:p>
        </w:tc>
        <w:tc>
          <w:tcPr>
            <w:tcW w:type="dxa" w:w="2422"/>
          </w:tcPr>
          <w:p>
            <w:r>
              <w:rPr>
                <w:rFonts w:ascii="Times New Roman" w:hAnsi="Times New Roman"/>
                <w:sz w:val="20"/>
              </w:rPr>
              <w:t>0.76</w:t>
            </w:r>
          </w:p>
        </w:tc>
        <w:tc>
          <w:tcPr>
            <w:tcW w:type="dxa" w:w="2422"/>
          </w:tcPr>
          <w:p>
            <w:r>
              <w:rPr>
                <w:rFonts w:ascii="Times New Roman" w:hAnsi="Times New Roman"/>
                <w:sz w:val="20"/>
              </w:rPr>
              <w:t>0.66</w:t>
            </w:r>
          </w:p>
        </w:tc>
      </w:tr>
      <w:tr>
        <w:tc>
          <w:tcPr>
            <w:tcW w:type="dxa" w:w="2422"/>
          </w:tcPr>
          <w:p>
            <w:r>
              <w:rPr>
                <w:rFonts w:ascii="Times New Roman" w:hAnsi="Times New Roman"/>
                <w:sz w:val="20"/>
              </w:rPr>
              <w:t>Градиентный бустинг</w:t>
            </w:r>
          </w:p>
        </w:tc>
        <w:tc>
          <w:tcPr>
            <w:tcW w:type="dxa" w:w="2422"/>
          </w:tcPr>
          <w:p>
            <w:r>
              <w:rPr>
                <w:rFonts w:ascii="Times New Roman" w:hAnsi="Times New Roman"/>
                <w:sz w:val="20"/>
              </w:rPr>
              <w:t>0.920</w:t>
            </w:r>
          </w:p>
        </w:tc>
        <w:tc>
          <w:tcPr>
            <w:tcW w:type="dxa" w:w="2422"/>
          </w:tcPr>
          <w:p>
            <w:r>
              <w:rPr>
                <w:rFonts w:ascii="Times New Roman" w:hAnsi="Times New Roman"/>
                <w:sz w:val="20"/>
              </w:rPr>
              <w:t>0.77</w:t>
            </w:r>
          </w:p>
        </w:tc>
        <w:tc>
          <w:tcPr>
            <w:tcW w:type="dxa" w:w="2422"/>
          </w:tcPr>
          <w:p>
            <w:r>
              <w:rPr>
                <w:rFonts w:ascii="Times New Roman" w:hAnsi="Times New Roman"/>
                <w:sz w:val="20"/>
              </w:rPr>
              <w:t>0.67</w:t>
            </w:r>
          </w:p>
        </w:tc>
      </w:tr>
    </w:tbl>
    <w:p>
      <w:pPr>
        <w:spacing w:after="160"/>
        <w:jc w:val="center"/>
      </w:pPr>
      <w:r>
        <w:rPr>
          <w:rFonts w:ascii="Times New Roman" w:hAnsi="Times New Roman"/>
          <w:i/>
          <w:sz w:val="20"/>
        </w:rPr>
        <w:t>Таблица 1. Результаты моделей по 5-фолдовой кросс-валидации</w:t>
      </w:r>
    </w:p>
    <w:p>
      <w:pPr>
        <w:spacing w:before="200" w:after="80"/>
      </w:pPr>
      <w:r>
        <w:rPr>
          <w:rFonts w:ascii="Times New Roman" w:hAnsi="Times New Roman"/>
          <w:b/>
          <w:sz w:val="26"/>
        </w:rPr>
        <w:t>5.1. EDA — что увидели в данных</w:t>
      </w:r>
    </w:p>
    <w:p>
      <w:pPr>
        <w:spacing w:after="80"/>
        <w:ind w:firstLine="425"/>
      </w:pPr>
      <w:r>
        <w:rPr>
          <w:rFonts w:ascii="Times New Roman" w:hAnsi="Times New Roman"/>
          <w:sz w:val="22"/>
        </w:rPr>
        <w:t>Самый сильный одиночный сигнал — срок до заезда. Брони, оформленные за неделю до заезда, отменяют примерно в 10 % случаев; брони за 4–6 месяцев — почти в половине случаев. Видна почти монотонная зависимость. Здесь речь именно об одиночной зависимости признака и цели; в обученной модели с остальными признаками картина важности отличается (см. раздел 7).</w:t>
      </w:r>
    </w:p>
    <w:p>
      <w:pPr>
        <w:spacing w:after="80"/>
        <w:jc w:val="center"/>
      </w:pPr>
      <w:r>
        <w:drawing>
          <wp:inline xmlns:a="http://schemas.openxmlformats.org/drawingml/2006/main" xmlns:pic="http://schemas.openxmlformats.org/drawingml/2006/picture">
            <wp:extent cx="5040000" cy="2932364"/>
            <wp:docPr id="3" name="Picture 3"/>
            <wp:cNvGraphicFramePr>
              <a:graphicFrameLocks noChangeAspect="1"/>
            </wp:cNvGraphicFramePr>
            <a:graphic>
              <a:graphicData uri="http://schemas.openxmlformats.org/drawingml/2006/picture">
                <pic:pic>
                  <pic:nvPicPr>
                    <pic:cNvPr id="0" name="lead_time.png"/>
                    <pic:cNvPicPr/>
                  </pic:nvPicPr>
                  <pic:blipFill>
                    <a:blip r:embed="rId11"/>
                    <a:stretch>
                      <a:fillRect/>
                    </a:stretch>
                  </pic:blipFill>
                  <pic:spPr>
                    <a:xfrm>
                      <a:off x="0" y="0"/>
                      <a:ext cx="5040000" cy="2932364"/>
                    </a:xfrm>
                    <a:prstGeom prst="rect"/>
                  </pic:spPr>
                </pic:pic>
              </a:graphicData>
            </a:graphic>
          </wp:inline>
        </w:drawing>
      </w:r>
    </w:p>
    <w:p>
      <w:pPr>
        <w:spacing w:after="160"/>
        <w:jc w:val="center"/>
      </w:pPr>
      <w:r>
        <w:rPr>
          <w:rFonts w:ascii="Times New Roman" w:hAnsi="Times New Roman"/>
          <w:i/>
          <w:sz w:val="20"/>
        </w:rPr>
        <w:t>Рисунок 3. Доля отмен в зависимости от срока до заезда</w:t>
      </w:r>
    </w:p>
    <w:p>
      <w:pPr>
        <w:spacing w:after="80"/>
        <w:ind w:firstLine="425"/>
      </w:pPr>
      <w:r>
        <w:rPr>
          <w:rFonts w:ascii="Times New Roman" w:hAnsi="Times New Roman"/>
          <w:sz w:val="22"/>
        </w:rPr>
        <w:t>Второй по силе сигнал — тип депозита. В группе «невозвратный» отменяют практически все брони. Это особенность данных, которая описана в оригинальной статье. По-видимому, такая пометка ставится тогда, когда деньги уже формально невозвратные, но фактически бронь всё равно не реализуется.</w:t>
      </w:r>
    </w:p>
    <w:p>
      <w:pPr>
        <w:spacing w:after="80"/>
        <w:jc w:val="center"/>
      </w:pPr>
      <w:r>
        <w:drawing>
          <wp:inline xmlns:a="http://schemas.openxmlformats.org/drawingml/2006/main" xmlns:pic="http://schemas.openxmlformats.org/drawingml/2006/picture">
            <wp:extent cx="5040000" cy="3225600"/>
            <wp:docPr id="4" name="Picture 4"/>
            <wp:cNvGraphicFramePr>
              <a:graphicFrameLocks noChangeAspect="1"/>
            </wp:cNvGraphicFramePr>
            <a:graphic>
              <a:graphicData uri="http://schemas.openxmlformats.org/drawingml/2006/picture">
                <pic:pic>
                  <pic:nvPicPr>
                    <pic:cNvPr id="0" name="deposit.png"/>
                    <pic:cNvPicPr/>
                  </pic:nvPicPr>
                  <pic:blipFill>
                    <a:blip r:embed="rId12"/>
                    <a:stretch>
                      <a:fillRect/>
                    </a:stretch>
                  </pic:blipFill>
                  <pic:spPr>
                    <a:xfrm>
                      <a:off x="0" y="0"/>
                      <a:ext cx="5040000" cy="3225600"/>
                    </a:xfrm>
                    <a:prstGeom prst="rect"/>
                  </pic:spPr>
                </pic:pic>
              </a:graphicData>
            </a:graphic>
          </wp:inline>
        </w:drawing>
      </w:r>
    </w:p>
    <w:p>
      <w:pPr>
        <w:spacing w:after="160"/>
        <w:jc w:val="center"/>
      </w:pPr>
      <w:r>
        <w:rPr>
          <w:rFonts w:ascii="Times New Roman" w:hAnsi="Times New Roman"/>
          <w:i/>
          <w:sz w:val="20"/>
        </w:rPr>
        <w:t>Рисунок 4. Доля отмен по типу депозита</w:t>
      </w:r>
    </w:p>
    <w:p>
      <w:pPr>
        <w:spacing w:after="80"/>
        <w:ind w:firstLine="425"/>
      </w:pPr>
      <w:r>
        <w:rPr>
          <w:rFonts w:ascii="Times New Roman" w:hAnsi="Times New Roman"/>
          <w:sz w:val="22"/>
        </w:rPr>
        <w:t>Третий сильный признак — страна клиента. Португальцы (код PRT) отменяют существенно чаще остальных. Это объясняется тем, что отели расположены в Португалии — местные жители проще относятся к броням и могут оформлять их «на всякий случай».</w:t>
      </w:r>
    </w:p>
    <w:p>
      <w:pPr>
        <w:spacing w:after="80"/>
        <w:jc w:val="center"/>
      </w:pPr>
      <w:r>
        <w:drawing>
          <wp:inline xmlns:a="http://schemas.openxmlformats.org/drawingml/2006/main" xmlns:pic="http://schemas.openxmlformats.org/drawingml/2006/picture">
            <wp:extent cx="5040000" cy="2601290"/>
            <wp:docPr id="5" name="Picture 5"/>
            <wp:cNvGraphicFramePr>
              <a:graphicFrameLocks noChangeAspect="1"/>
            </wp:cNvGraphicFramePr>
            <a:graphic>
              <a:graphicData uri="http://schemas.openxmlformats.org/drawingml/2006/picture">
                <pic:pic>
                  <pic:nvPicPr>
                    <pic:cNvPr id="0" name="country.png"/>
                    <pic:cNvPicPr/>
                  </pic:nvPicPr>
                  <pic:blipFill>
                    <a:blip r:embed="rId13"/>
                    <a:stretch>
                      <a:fillRect/>
                    </a:stretch>
                  </pic:blipFill>
                  <pic:spPr>
                    <a:xfrm>
                      <a:off x="0" y="0"/>
                      <a:ext cx="5040000" cy="2601290"/>
                    </a:xfrm>
                    <a:prstGeom prst="rect"/>
                  </pic:spPr>
                </pic:pic>
              </a:graphicData>
            </a:graphic>
          </wp:inline>
        </w:drawing>
      </w:r>
    </w:p>
    <w:p>
      <w:pPr>
        <w:spacing w:after="160"/>
        <w:jc w:val="center"/>
      </w:pPr>
      <w:r>
        <w:rPr>
          <w:rFonts w:ascii="Times New Roman" w:hAnsi="Times New Roman"/>
          <w:i/>
          <w:sz w:val="20"/>
        </w:rPr>
        <w:t>Рисунок 5. Доля отмен по стране клиента (топ-10)</w:t>
      </w:r>
    </w:p>
    <w:p>
      <w:pPr>
        <w:spacing w:before="200" w:after="80"/>
      </w:pPr>
      <w:r>
        <w:rPr>
          <w:rFonts w:ascii="Times New Roman" w:hAnsi="Times New Roman"/>
          <w:b/>
          <w:sz w:val="26"/>
        </w:rPr>
        <w:t>5.2. Анализ ошибок</w:t>
      </w:r>
    </w:p>
    <w:p>
      <w:pPr>
        <w:spacing w:after="80"/>
        <w:ind w:firstLine="425"/>
      </w:pPr>
      <w:r>
        <w:rPr>
          <w:rFonts w:ascii="Times New Roman" w:hAnsi="Times New Roman"/>
          <w:sz w:val="22"/>
        </w:rPr>
        <w:t>На отложенном тесте мы посмотрели, на каких бронях градиентный бустинг ошибается. При пороге 0.5 пропущенные отмены (FN) — это почти всегда брони с коротким сроком до заезда, без предыдущих отмен и без признаков риска. По доступным признакам такая бронь выглядит как обычная, отличить её от реально доехавшей модель не может. Это объективное ограничение задачи, а не проблема модели.</w:t>
      </w:r>
    </w:p>
    <w:p>
      <w:pPr>
        <w:spacing w:after="80"/>
        <w:ind w:firstLine="425"/>
      </w:pPr>
      <w:r>
        <w:rPr>
          <w:rFonts w:ascii="Times New Roman" w:hAnsi="Times New Roman"/>
          <w:sz w:val="22"/>
        </w:rPr>
        <w:t>Ложные тревоги (FP) — это в основном брони со средним сроком до заезда, через рисковые каналы (онлайн-агентство, группы) и без спецзапросов. Модель видит сигналы риска, но клиент в итоге доезжает.</w:t>
      </w:r>
    </w:p>
    <w:p>
      <w:pPr>
        <w:spacing w:after="80"/>
        <w:ind w:firstLine="425"/>
      </w:pPr>
      <w:r>
        <w:rPr>
          <w:rFonts w:ascii="Times New Roman" w:hAnsi="Times New Roman"/>
          <w:sz w:val="22"/>
        </w:rPr>
        <w:t>Настройка порога. При threshold = 0.5 полнота по классу «отмена» на тесте составляет 0.67. Сдвиг порога вниз до 0.35 повышает полноту до 0.82 ценой падения точности. Конкретное значение порога подбирается бизнесом под стоимость FN и FP.</w:t>
      </w:r>
    </w:p>
    <w:p>
      <w:pPr>
        <w:spacing w:before="240" w:after="120"/>
      </w:pPr>
      <w:r>
        <w:rPr>
          <w:rFonts w:ascii="Times New Roman" w:hAnsi="Times New Roman"/>
          <w:b/>
          <w:sz w:val="32"/>
        </w:rPr>
        <w:t>6. Анализ качества</w:t>
      </w:r>
    </w:p>
    <w:p>
      <w:pPr>
        <w:spacing w:after="80"/>
        <w:ind w:firstLine="425"/>
      </w:pPr>
      <w:r>
        <w:rPr>
          <w:rFonts w:ascii="Times New Roman" w:hAnsi="Times New Roman"/>
          <w:sz w:val="22"/>
        </w:rPr>
        <w:t>ROC-AUC на 5-фолдовой кросс-валидации устойчив. Стандартное отклонение по фолдам у всех моделей — около 0.002–0.005. На отложенном тесте градиентный бустинг показывает ROC-AUC = 0.917, что попадает в доверительный интервал CV. Переобучения на тесте нет.</w:t>
      </w:r>
    </w:p>
    <w:p>
      <w:pPr>
        <w:spacing w:after="80"/>
        <w:ind w:firstLine="425"/>
      </w:pPr>
      <w:r>
        <w:rPr>
          <w:rFonts w:ascii="Times New Roman" w:hAnsi="Times New Roman"/>
          <w:sz w:val="22"/>
        </w:rPr>
        <w:t>Калибровка вероятностей — насколько предсказанной вероятности можно верить как числу. Считали стандартным образом: разбиваем диапазон [0, 1] на 10 равных бинов и сравниваем среднюю предсказанную вероятность в бине со средней фактической долей отмен. Идеальная калибровка — точки на диагонали.</w:t>
      </w:r>
    </w:p>
    <w:p>
      <w:pPr>
        <w:spacing w:after="80"/>
        <w:jc w:val="center"/>
      </w:pPr>
      <w:r>
        <w:drawing>
          <wp:inline xmlns:a="http://schemas.openxmlformats.org/drawingml/2006/main" xmlns:pic="http://schemas.openxmlformats.org/drawingml/2006/picture">
            <wp:extent cx="5040000" cy="3864000"/>
            <wp:docPr id="6" name="Picture 6"/>
            <wp:cNvGraphicFramePr>
              <a:graphicFrameLocks noChangeAspect="1"/>
            </wp:cNvGraphicFramePr>
            <a:graphic>
              <a:graphicData uri="http://schemas.openxmlformats.org/drawingml/2006/picture">
                <pic:pic>
                  <pic:nvPicPr>
                    <pic:cNvPr id="0" name="calibration.png"/>
                    <pic:cNvPicPr/>
                  </pic:nvPicPr>
                  <pic:blipFill>
                    <a:blip r:embed="rId14"/>
                    <a:stretch>
                      <a:fillRect/>
                    </a:stretch>
                  </pic:blipFill>
                  <pic:spPr>
                    <a:xfrm>
                      <a:off x="0" y="0"/>
                      <a:ext cx="5040000" cy="3864000"/>
                    </a:xfrm>
                    <a:prstGeom prst="rect"/>
                  </pic:spPr>
                </pic:pic>
              </a:graphicData>
            </a:graphic>
          </wp:inline>
        </w:drawing>
      </w:r>
    </w:p>
    <w:p>
      <w:pPr>
        <w:spacing w:after="160"/>
        <w:jc w:val="center"/>
      </w:pPr>
      <w:r>
        <w:rPr>
          <w:rFonts w:ascii="Times New Roman" w:hAnsi="Times New Roman"/>
          <w:i/>
          <w:sz w:val="20"/>
        </w:rPr>
        <w:t>Рисунок 6. Ошибка калибровки по диапазонам вероятности и распределение предсказаний</w:t>
      </w:r>
    </w:p>
    <w:p>
      <w:pPr>
        <w:pStyle w:val="ListBullet"/>
        <w:spacing w:after="40"/>
      </w:pPr>
      <w:r>
        <w:rPr>
          <w:rFonts w:ascii="Times New Roman" w:hAnsi="Times New Roman"/>
          <w:sz w:val="22"/>
        </w:rPr>
        <w:t>Логистическая регрессия откалибрована почти идеально: максимальное отклонение от диагонали меньше 2 %.</w:t>
      </w:r>
    </w:p>
    <w:p>
      <w:pPr>
        <w:pStyle w:val="ListBullet"/>
        <w:spacing w:after="40"/>
      </w:pPr>
      <w:r>
        <w:rPr>
          <w:rFonts w:ascii="Times New Roman" w:hAnsi="Times New Roman"/>
          <w:sz w:val="22"/>
        </w:rPr>
        <w:t>Случайный лес задирает уверенность в средних бинах — отклонение до 8 %. Это классическое поведение RF: усреднение голосов даёт оценки, более резкие, чем должны быть.</w:t>
      </w:r>
    </w:p>
    <w:p>
      <w:pPr>
        <w:pStyle w:val="ListBullet"/>
        <w:spacing w:after="40"/>
      </w:pPr>
      <w:r>
        <w:rPr>
          <w:rFonts w:ascii="Times New Roman" w:hAnsi="Times New Roman"/>
          <w:sz w:val="22"/>
        </w:rPr>
        <w:t>Градиентный бустинг ведёт себя похоже, отклонения до 7 %.</w:t>
      </w:r>
    </w:p>
    <w:p>
      <w:pPr>
        <w:spacing w:after="80"/>
        <w:ind w:firstLine="425"/>
      </w:pPr>
      <w:r>
        <w:rPr>
          <w:rFonts w:ascii="Times New Roman" w:hAnsi="Times New Roman"/>
          <w:sz w:val="22"/>
        </w:rPr>
        <w:t>Если конечный потребитель использует вероятность как число (например, выставляет пороги «при &gt; 0.7 — депозит, при &gt; 0.4 — напоминание»), калибровку имеет смысл дополнительно выпрямить через CalibratedClassifierCV с сигмоидной функцией. Если же важен только порядок броней по риску, бустинга достаточно как есть.</w:t>
      </w:r>
    </w:p>
    <w:p>
      <w:pPr>
        <w:spacing w:before="240" w:after="120"/>
      </w:pPr>
      <w:r>
        <w:rPr>
          <w:rFonts w:ascii="Times New Roman" w:hAnsi="Times New Roman"/>
          <w:b/>
          <w:sz w:val="32"/>
        </w:rPr>
        <w:t>7. Финальная модель и риски</w:t>
      </w:r>
    </w:p>
    <w:p>
      <w:pPr>
        <w:spacing w:after="80"/>
        <w:ind w:firstLine="425"/>
      </w:pPr>
      <w:r>
        <w:rPr>
          <w:rFonts w:ascii="Times New Roman" w:hAnsi="Times New Roman"/>
          <w:sz w:val="22"/>
        </w:rPr>
        <w:t>Финальной моделью выбрали HistGradientBoostingClassifier из scikit-learn. Параметры: 300 итераций, скорость обучения 0.05, максимальная глубина дерева 8. На входе — порядковое кодирование категориальных признаков и сырые числовые без масштабирования.</w:t>
      </w:r>
    </w:p>
    <w:p>
      <w:pPr>
        <w:spacing w:after="80"/>
        <w:ind w:firstLine="425"/>
      </w:pPr>
      <w:r>
        <w:rPr>
          <w:rFonts w:ascii="Times New Roman" w:hAnsi="Times New Roman"/>
          <w:sz w:val="22"/>
        </w:rPr>
        <w:t>Аргументы выбора:</w:t>
      </w:r>
    </w:p>
    <w:p>
      <w:pPr>
        <w:pStyle w:val="ListBullet"/>
        <w:spacing w:after="40"/>
      </w:pPr>
      <w:r>
        <w:rPr>
          <w:rFonts w:ascii="Times New Roman" w:hAnsi="Times New Roman"/>
          <w:sz w:val="22"/>
        </w:rPr>
        <w:t>лучший ROC-AUC и на CV, и на тесте (0.917 против 0.913 у случайного леса);</w:t>
      </w:r>
    </w:p>
    <w:p>
      <w:pPr>
        <w:pStyle w:val="ListBullet"/>
        <w:spacing w:after="40"/>
      </w:pPr>
      <w:r>
        <w:rPr>
          <w:rFonts w:ascii="Times New Roman" w:hAnsi="Times New Roman"/>
          <w:sz w:val="22"/>
        </w:rPr>
        <w:t>самый низкий разброс по фолдам — модель устойчива;</w:t>
      </w:r>
    </w:p>
    <w:p>
      <w:pPr>
        <w:pStyle w:val="ListBullet"/>
        <w:spacing w:after="40"/>
      </w:pPr>
      <w:r>
        <w:rPr>
          <w:rFonts w:ascii="Times New Roman" w:hAnsi="Times New Roman"/>
          <w:sz w:val="22"/>
        </w:rPr>
        <w:t>быстрее, чем сопоставимый случайный лес;</w:t>
      </w:r>
    </w:p>
    <w:p>
      <w:pPr>
        <w:pStyle w:val="ListBullet"/>
        <w:spacing w:after="40"/>
      </w:pPr>
      <w:r>
        <w:rPr>
          <w:rFonts w:ascii="Times New Roman" w:hAnsi="Times New Roman"/>
          <w:sz w:val="22"/>
        </w:rPr>
        <w:t>ловит нелинейные взаимодействия признаков — например, lead_time × deposit_type или market_segment × country, к которым логистическая регрессия не способна.</w:t>
      </w:r>
    </w:p>
    <w:p>
      <w:pPr>
        <w:spacing w:after="80"/>
        <w:jc w:val="center"/>
      </w:pPr>
      <w:r>
        <w:drawing>
          <wp:inline xmlns:a="http://schemas.openxmlformats.org/drawingml/2006/main" xmlns:pic="http://schemas.openxmlformats.org/drawingml/2006/picture">
            <wp:extent cx="5040000" cy="3060000"/>
            <wp:docPr id="7" name="Picture 7"/>
            <wp:cNvGraphicFramePr>
              <a:graphicFrameLocks noChangeAspect="1"/>
            </wp:cNvGraphicFramePr>
            <a:graphic>
              <a:graphicData uri="http://schemas.openxmlformats.org/drawingml/2006/picture">
                <pic:pic>
                  <pic:nvPicPr>
                    <pic:cNvPr id="0" name="importance.png"/>
                    <pic:cNvPicPr/>
                  </pic:nvPicPr>
                  <pic:blipFill>
                    <a:blip r:embed="rId15"/>
                    <a:stretch>
                      <a:fillRect/>
                    </a:stretch>
                  </pic:blipFill>
                  <pic:spPr>
                    <a:xfrm>
                      <a:off x="0" y="0"/>
                      <a:ext cx="5040000" cy="3060000"/>
                    </a:xfrm>
                    <a:prstGeom prst="rect"/>
                  </pic:spPr>
                </pic:pic>
              </a:graphicData>
            </a:graphic>
          </wp:inline>
        </w:drawing>
      </w:r>
    </w:p>
    <w:p>
      <w:pPr>
        <w:spacing w:after="160"/>
        <w:jc w:val="center"/>
      </w:pPr>
      <w:r>
        <w:rPr>
          <w:rFonts w:ascii="Times New Roman" w:hAnsi="Times New Roman"/>
          <w:i/>
          <w:sz w:val="20"/>
        </w:rPr>
        <w:t>Рисунок 7. Значимость признаков финальной модели по permutation importance</w:t>
      </w:r>
    </w:p>
    <w:p>
      <w:pPr>
        <w:spacing w:after="80"/>
        <w:ind w:firstLine="425"/>
      </w:pPr>
      <w:r>
        <w:rPr>
          <w:rFonts w:ascii="Times New Roman" w:hAnsi="Times New Roman"/>
          <w:sz w:val="22"/>
        </w:rPr>
        <w:t>На графике в топе оказалась страна клиента, а не срок до заезда, как можно было бы ожидать после EDA. Это не противоречие, а другая постановка вопроса. EDA смотрит на одиночную различимость признака: насколько хорошо им одним можно разделить отменивших и доехавших. Permutation importance меряет уникальный вклад признака в обученной модели: насколько падает ROC-AUC, если конкретную колонку перемешать, а остальные оставить. Признак становится «важным», только если другие его не дублируют.</w:t>
      </w:r>
    </w:p>
    <w:p>
      <w:pPr>
        <w:spacing w:after="80"/>
        <w:ind w:firstLine="425"/>
      </w:pPr>
      <w:r>
        <w:rPr>
          <w:rFonts w:ascii="Times New Roman" w:hAnsi="Times New Roman"/>
          <w:sz w:val="22"/>
        </w:rPr>
        <w:t>Срок до заезда коррелирует с каналом продажи (через короткие brides через прямые сайты, длинные — через онлайн-агентства), типом депозита, market_segment. Если его перемешать, модель восстанавливает часть сигнала через коррелирующие признаки, и падение AUC получается меньше. У страны клиента, закодированной через TargetEncoder, такого дублирования нет — она несёт уникальную информацию о доле отмен в каждой стране.</w:t>
      </w:r>
    </w:p>
    <w:p>
      <w:pPr>
        <w:spacing w:before="200" w:after="80"/>
      </w:pPr>
      <w:r>
        <w:rPr>
          <w:rFonts w:ascii="Times New Roman" w:hAnsi="Times New Roman"/>
          <w:b/>
          <w:sz w:val="26"/>
        </w:rPr>
        <w:t>7.1. Главные риски</w:t>
      </w:r>
    </w:p>
    <w:p>
      <w:pPr>
        <w:pStyle w:val="ListBullet"/>
        <w:spacing w:after="40"/>
      </w:pPr>
      <w:r>
        <w:rPr>
          <w:rFonts w:ascii="Times New Roman" w:hAnsi="Times New Roman"/>
          <w:sz w:val="22"/>
        </w:rPr>
        <w:t>Перенос на другие отели. Обучались на двух отелях в Португалии. На сетевой отель в Германии или Азии модель может не перенестись — структура каналов продаж и поведение клиентов другие.</w:t>
      </w:r>
    </w:p>
    <w:p>
      <w:pPr>
        <w:pStyle w:val="ListBullet"/>
        <w:spacing w:after="40"/>
      </w:pPr>
      <w:r>
        <w:rPr>
          <w:rFonts w:ascii="Times New Roman" w:hAnsi="Times New Roman"/>
          <w:sz w:val="22"/>
        </w:rPr>
        <w:t>Сдвиг во времени. Данные охватывают 2015–2017 годы. После пандемии COVID-19 поведение клиентов изменилось — гибкие условия отмены стали нормой, доля отмен в индустрии в целом выросла. Модель, обученная на старых данных, может систематически занижать риск.</w:t>
      </w:r>
    </w:p>
    <w:p>
      <w:pPr>
        <w:pStyle w:val="ListBullet"/>
        <w:spacing w:after="40"/>
      </w:pPr>
      <w:r>
        <w:rPr>
          <w:rFonts w:ascii="Times New Roman" w:hAnsi="Times New Roman"/>
          <w:sz w:val="22"/>
        </w:rPr>
        <w:t>Целевое кодирование страны. Для новой страны, которой не было в обучении, кодировщик использует глобальное среднее. Качество на таких бронях непредсказуемо. В мониторинге имеет смысл отслеживать долю броней с неизвестной страной.</w:t>
      </w:r>
    </w:p>
    <w:p>
      <w:pPr>
        <w:spacing w:before="240" w:after="120"/>
      </w:pPr>
      <w:r>
        <w:rPr>
          <w:rFonts w:ascii="Times New Roman" w:hAnsi="Times New Roman"/>
          <w:b/>
          <w:sz w:val="32"/>
        </w:rPr>
        <w:t>8. Деплой</w:t>
      </w:r>
    </w:p>
    <w:p>
      <w:pPr>
        <w:spacing w:after="80"/>
        <w:ind w:firstLine="425"/>
      </w:pPr>
      <w:r>
        <w:rPr>
          <w:rFonts w:ascii="Times New Roman" w:hAnsi="Times New Roman"/>
          <w:sz w:val="22"/>
        </w:rPr>
        <w:t>В прототипе работает Streamlit-дашборд (app/app.py), который грузит сохранённую модель из models/final_model.pkl, показывает форму с параметрами брони и сразу считает вероятность отмены. Запускается одной командой run_app.bat. Сверху страницы добавлены три готовых сценария (высокий, низкий и средний риск), чтобы можно было быстро увидеть как модель реагирует на разные комбинации признаков.</w:t>
      </w:r>
    </w:p>
    <w:p>
      <w:pPr>
        <w:spacing w:after="80"/>
        <w:ind w:firstLine="425"/>
      </w:pPr>
      <w:r>
        <w:rPr>
          <w:rFonts w:ascii="Times New Roman" w:hAnsi="Times New Roman"/>
          <w:sz w:val="22"/>
        </w:rPr>
        <w:t>Сценарий для прода:</w:t>
      </w:r>
    </w:p>
    <w:p>
      <w:pPr>
        <w:pStyle w:val="ListBullet"/>
        <w:spacing w:after="40"/>
      </w:pPr>
      <w:r>
        <w:rPr>
          <w:rFonts w:ascii="Times New Roman" w:hAnsi="Times New Roman"/>
          <w:sz w:val="22"/>
        </w:rPr>
        <w:t>REST API на FastAPI с эндпоинтом /predict, который принимает параметры брони и возвращает вероятность отмены.</w:t>
      </w:r>
    </w:p>
    <w:p>
      <w:pPr>
        <w:pStyle w:val="ListBullet"/>
        <w:spacing w:after="40"/>
      </w:pPr>
      <w:r>
        <w:rPr>
          <w:rFonts w:ascii="Times New Roman" w:hAnsi="Times New Roman"/>
          <w:sz w:val="22"/>
        </w:rPr>
        <w:t>Модель грузится в память при старте сервиса. Время ответа на одну бронь — меньше 50 мс.</w:t>
      </w:r>
    </w:p>
    <w:p>
      <w:pPr>
        <w:pStyle w:val="ListBullet"/>
        <w:spacing w:after="40"/>
      </w:pPr>
      <w:r>
        <w:rPr>
          <w:rFonts w:ascii="Times New Roman" w:hAnsi="Times New Roman"/>
          <w:sz w:val="22"/>
        </w:rPr>
        <w:t>Онлайн-инференс при создании брони плюс батч-пересчёт раз в сутки по активным бронированиям (срок до заезда уменьшается, риск переоценивается).</w:t>
      </w:r>
    </w:p>
    <w:p>
      <w:pPr>
        <w:pStyle w:val="ListBullet"/>
        <w:spacing w:after="40"/>
      </w:pPr>
      <w:r>
        <w:rPr>
          <w:rFonts w:ascii="Times New Roman" w:hAnsi="Times New Roman"/>
          <w:sz w:val="22"/>
        </w:rPr>
        <w:t>Переобучение раз в квартал на скользящем окне в два года.</w:t>
      </w:r>
    </w:p>
    <w:p>
      <w:pPr>
        <w:pStyle w:val="ListBullet"/>
        <w:spacing w:after="40"/>
      </w:pPr>
      <w:r>
        <w:rPr>
          <w:rFonts w:ascii="Times New Roman" w:hAnsi="Times New Roman"/>
          <w:sz w:val="22"/>
        </w:rPr>
        <w:t>Мониторинг: распределения ключевых признаков (lead_time, market_segment, country) с алертом при сильном сдвиге; метрика на последних N бронях, по которым уже известен итог; доля броней с новой страной.</w:t>
      </w:r>
    </w:p>
    <w:p>
      <w:pPr>
        <w:pStyle w:val="ListBullet"/>
        <w:spacing w:after="40"/>
      </w:pPr>
      <w:r>
        <w:rPr>
          <w:rFonts w:ascii="Times New Roman" w:hAnsi="Times New Roman"/>
          <w:sz w:val="22"/>
        </w:rPr>
        <w:t>Версионирование: к каждому артефакту final_model.pkl прикладывается манифест с версией, хешем train/test split и метриками на отложенной выборке. Это нужно для отката, если новая модель окажется хуже предыдущей.</w:t>
      </w:r>
    </w:p>
    <w:p>
      <w:pPr>
        <w:spacing w:before="240" w:after="120"/>
      </w:pPr>
      <w:r>
        <w:rPr>
          <w:rFonts w:ascii="Times New Roman" w:hAnsi="Times New Roman"/>
          <w:b/>
          <w:sz w:val="32"/>
        </w:rPr>
        <w:t>9. Итог</w:t>
      </w:r>
    </w:p>
    <w:p>
      <w:pPr>
        <w:spacing w:after="80"/>
        <w:ind w:firstLine="425"/>
      </w:pPr>
      <w:r>
        <w:rPr>
          <w:rFonts w:ascii="Times New Roman" w:hAnsi="Times New Roman"/>
          <w:sz w:val="22"/>
        </w:rPr>
        <w:t>Удалось получить устойчивую модель с ROC-AUC = 0.917 на отложенном тесте. По одиночной зависимости главным сигналом остаётся срок до заезда, в полной модели по permutation importance на первый план выходит страна клиента — это разные постановки вопроса и они согласованы между собой (см. раздел 7).</w:t>
      </w:r>
    </w:p>
    <w:p>
      <w:pPr>
        <w:spacing w:after="80"/>
        <w:ind w:firstLine="425"/>
      </w:pPr>
      <w:r>
        <w:rPr>
          <w:rFonts w:ascii="Times New Roman" w:hAnsi="Times New Roman"/>
          <w:sz w:val="22"/>
        </w:rPr>
        <w:t>Финальная модель сохранена в виде pickle-файла и подключена к Streamlit-приложению, которое показывает работу на конкретных бронях. Все этапы — чистка данных, инжиниринг признаков, валидация и анализ ошибок — выполнены в пяти тематических Jupyter-ноутбуках, переиспользуемая логика вынесена в модули src/data.py и src/features.py.</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