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hemeFill="accent2" w:themeFillTint="33"/>
        <w:tblLook w:val="04A0" w:firstRow="1" w:lastRow="0" w:firstColumn="1" w:lastColumn="0" w:noHBand="0" w:noVBand="1"/>
      </w:tblPr>
      <w:tblGrid>
        <w:gridCol w:w="9016"/>
      </w:tblGrid>
      <w:tr w:rsidR="003A5D2A" w:rsidRPr="00B328BC" w14:paraId="5EE1073E" w14:textId="77777777" w:rsidTr="005C32BF">
        <w:tc>
          <w:tcPr>
            <w:tcW w:w="9242" w:type="dxa"/>
            <w:shd w:val="clear" w:color="auto" w:fill="FBE4D5" w:themeFill="accent2" w:themeFillTint="33"/>
          </w:tcPr>
          <w:p w14:paraId="7A29DDDF" w14:textId="31BB1828" w:rsidR="003A5D2A" w:rsidRPr="00F13D47" w:rsidRDefault="00F60A2B" w:rsidP="005C32BF">
            <w:pPr>
              <w:spacing w:before="240"/>
              <w:rPr>
                <w:rFonts w:ascii="Arial" w:hAnsi="Arial" w:cs="Arial"/>
                <w:sz w:val="20"/>
                <w:szCs w:val="20"/>
                <w:u w:val="single"/>
                <w:lang w:val="en-US"/>
              </w:rPr>
            </w:pPr>
            <w:r w:rsidRPr="000643DD">
              <w:rPr>
                <w:rFonts w:ascii="Arial" w:hAnsi="Arial" w:cs="Arial"/>
                <w:sz w:val="20"/>
                <w:szCs w:val="20"/>
                <w:u w:val="single"/>
                <w:lang w:val="en-US"/>
              </w:rPr>
              <w:t>IMPORTANT NOTICE</w:t>
            </w:r>
            <w:r w:rsidR="00F3266A" w:rsidRPr="00F3266A">
              <w:rPr>
                <w:rFonts w:ascii="Arial" w:hAnsi="Arial" w:cs="Arial"/>
                <w:sz w:val="20"/>
                <w:szCs w:val="20"/>
                <w:lang w:val="en-US"/>
              </w:rPr>
              <w:t xml:space="preserve"> </w:t>
            </w:r>
            <w:r w:rsidR="00F13D47" w:rsidRPr="00F13D47">
              <w:rPr>
                <w:rFonts w:ascii="Arial" w:hAnsi="Arial" w:cs="Arial"/>
                <w:sz w:val="20"/>
                <w:szCs w:val="20"/>
                <w:lang w:val="en-US"/>
              </w:rPr>
              <w:t>(</w:t>
            </w:r>
            <w:r w:rsidR="00E04043" w:rsidRPr="00E04043">
              <w:rPr>
                <w:rFonts w:ascii="Arial" w:hAnsi="Arial" w:cs="Arial"/>
                <w:i/>
                <w:iCs/>
                <w:sz w:val="20"/>
                <w:szCs w:val="20"/>
                <w:lang w:val="en-US"/>
              </w:rPr>
              <w:t>Delete This Box Before Signing</w:t>
            </w:r>
            <w:r w:rsidR="00F13D47" w:rsidRPr="00F13D47">
              <w:rPr>
                <w:rFonts w:ascii="Arial" w:hAnsi="Arial" w:cs="Arial"/>
                <w:sz w:val="20"/>
                <w:szCs w:val="20"/>
                <w:lang w:val="en-US"/>
              </w:rPr>
              <w:t>)</w:t>
            </w:r>
          </w:p>
          <w:p w14:paraId="27BED43E" w14:textId="7EB81BB0" w:rsidR="00F60A2B" w:rsidRPr="000643DD" w:rsidRDefault="002C564D" w:rsidP="005C32BF">
            <w:pPr>
              <w:spacing w:before="240"/>
              <w:rPr>
                <w:rFonts w:ascii="Arial" w:hAnsi="Arial" w:cs="Arial"/>
                <w:sz w:val="20"/>
                <w:szCs w:val="20"/>
                <w:lang w:val="en-US"/>
              </w:rPr>
            </w:pPr>
            <w:r w:rsidRPr="002C564D">
              <w:rPr>
                <w:rFonts w:ascii="Arial" w:hAnsi="Arial" w:cs="Arial"/>
                <w:b/>
                <w:bCs/>
                <w:sz w:val="20"/>
                <w:szCs w:val="20"/>
                <w:lang w:val="en-US"/>
              </w:rPr>
              <w:t>Disclaimer</w:t>
            </w:r>
            <w:r>
              <w:rPr>
                <w:rFonts w:ascii="Arial" w:hAnsi="Arial" w:cs="Arial"/>
                <w:sz w:val="20"/>
                <w:szCs w:val="20"/>
                <w:lang w:val="en-US"/>
              </w:rPr>
              <w:t xml:space="preserve">. </w:t>
            </w:r>
            <w:r w:rsidR="000643DD" w:rsidRPr="000643DD">
              <w:rPr>
                <w:rFonts w:ascii="Arial" w:hAnsi="Arial" w:cs="Arial"/>
                <w:sz w:val="20"/>
                <w:szCs w:val="20"/>
                <w:lang w:val="en-US"/>
              </w:rPr>
              <w:t xml:space="preserve">This document should not be construed as legal, financial, tax, or investment advice for any particular facts or circumstances. This document is designed to be a starting point only and should be tailored to meet your specific requirements. Consult an attorney before entering into any binding legal obligations in connection with this document. The use of this document is further subject to our Terms of Use available here: </w:t>
            </w:r>
            <w:hyperlink r:id="rId8" w:history="1">
              <w:r w:rsidRPr="00B90902">
                <w:rPr>
                  <w:rStyle w:val="Hyperlink"/>
                  <w:rFonts w:ascii="Arial" w:hAnsi="Arial" w:cs="Arial"/>
                  <w:sz w:val="20"/>
                  <w:szCs w:val="20"/>
                  <w:lang w:val="en-US"/>
                </w:rPr>
                <w:t>https://www.degoverned.com/terms</w:t>
              </w:r>
            </w:hyperlink>
            <w:r w:rsidR="000643DD" w:rsidRPr="000643DD">
              <w:rPr>
                <w:rFonts w:ascii="Arial" w:hAnsi="Arial" w:cs="Arial"/>
                <w:sz w:val="20"/>
                <w:szCs w:val="20"/>
                <w:lang w:val="en-US"/>
              </w:rPr>
              <w:t>.</w:t>
            </w:r>
          </w:p>
        </w:tc>
      </w:tr>
    </w:tbl>
    <w:p w14:paraId="2D6E3CF0" w14:textId="4541B017" w:rsidR="00361BB1" w:rsidRDefault="00361BB1" w:rsidP="00F001B4">
      <w:pPr>
        <w:rPr>
          <w:lang w:val="en-US"/>
        </w:rPr>
      </w:pPr>
    </w:p>
    <w:p w14:paraId="3EEF8A75" w14:textId="7F94733C" w:rsidR="00F60A2B" w:rsidRPr="004D6B6C" w:rsidRDefault="004D6B6C" w:rsidP="00F60A2B">
      <w:pPr>
        <w:jc w:val="center"/>
        <w:rPr>
          <w:b/>
          <w:bCs/>
          <w:lang w:val="en-US"/>
        </w:rPr>
      </w:pPr>
      <w:r w:rsidRPr="004D6B6C">
        <w:rPr>
          <w:b/>
          <w:bCs/>
          <w:lang w:val="en-US"/>
        </w:rPr>
        <w:t>SIMPLE AGREEMENT FOR FUTURE TOKENS</w:t>
      </w:r>
    </w:p>
    <w:p w14:paraId="73E55D63" w14:textId="78F769F7" w:rsidR="004D6B6C" w:rsidRDefault="004D6B6C" w:rsidP="004D6B6C">
      <w:pPr>
        <w:pStyle w:val="BodyText"/>
        <w:jc w:val="both"/>
        <w:rPr>
          <w:lang w:val="en-US"/>
        </w:rPr>
      </w:pPr>
      <w:r w:rsidRPr="004D6B6C">
        <w:rPr>
          <w:lang w:val="en-US"/>
        </w:rPr>
        <w:t>The parties whose details are provided on the signature page below (“</w:t>
      </w:r>
      <w:r w:rsidRPr="004D6B6C">
        <w:rPr>
          <w:b/>
          <w:lang w:val="en-US"/>
        </w:rPr>
        <w:t>Company</w:t>
      </w:r>
      <w:r w:rsidRPr="004D6B6C">
        <w:rPr>
          <w:lang w:val="en-US"/>
        </w:rPr>
        <w:t>” and “</w:t>
      </w:r>
      <w:r w:rsidR="00BD6A95">
        <w:rPr>
          <w:b/>
          <w:bCs/>
          <w:lang w:val="en-US"/>
        </w:rPr>
        <w:t>Purchaser</w:t>
      </w:r>
      <w:r w:rsidRPr="004D6B6C">
        <w:rPr>
          <w:bCs/>
          <w:lang w:val="en-US"/>
        </w:rPr>
        <w:t>,</w:t>
      </w:r>
      <w:r w:rsidRPr="004D6B6C">
        <w:rPr>
          <w:lang w:val="en-US"/>
        </w:rPr>
        <w:t xml:space="preserve">” respectively) have entered into this </w:t>
      </w:r>
      <w:r w:rsidR="00EF7E43">
        <w:rPr>
          <w:lang w:val="en-US"/>
        </w:rPr>
        <w:t>S</w:t>
      </w:r>
      <w:r w:rsidRPr="004D6B6C">
        <w:rPr>
          <w:lang w:val="en-US"/>
        </w:rPr>
        <w:t xml:space="preserve">imple </w:t>
      </w:r>
      <w:r w:rsidR="00EF7E43">
        <w:rPr>
          <w:lang w:val="en-US"/>
        </w:rPr>
        <w:t>A</w:t>
      </w:r>
      <w:r w:rsidRPr="004D6B6C">
        <w:rPr>
          <w:lang w:val="en-US"/>
        </w:rPr>
        <w:t xml:space="preserve">greement for </w:t>
      </w:r>
      <w:r w:rsidR="00EF7E43">
        <w:rPr>
          <w:lang w:val="en-US"/>
        </w:rPr>
        <w:t>F</w:t>
      </w:r>
      <w:r w:rsidRPr="004D6B6C">
        <w:rPr>
          <w:lang w:val="en-US"/>
        </w:rPr>
        <w:t xml:space="preserve">uture </w:t>
      </w:r>
      <w:r w:rsidR="00EF7E43">
        <w:rPr>
          <w:lang w:val="en-US"/>
        </w:rPr>
        <w:t>T</w:t>
      </w:r>
      <w:r w:rsidRPr="004D6B6C">
        <w:rPr>
          <w:lang w:val="en-US"/>
        </w:rPr>
        <w:t>okens (“</w:t>
      </w:r>
      <w:r w:rsidR="00EF7E43" w:rsidRPr="00EF7E43">
        <w:rPr>
          <w:b/>
          <w:bCs/>
          <w:lang w:val="en-US"/>
        </w:rPr>
        <w:t>SAFT</w:t>
      </w:r>
      <w:r w:rsidRPr="004D6B6C">
        <w:rPr>
          <w:lang w:val="en-US"/>
        </w:rPr>
        <w:t>”) on the date of the later signature (“</w:t>
      </w:r>
      <w:r w:rsidRPr="004D6B6C">
        <w:rPr>
          <w:b/>
          <w:lang w:val="en-US"/>
        </w:rPr>
        <w:t>Effective Date</w:t>
      </w:r>
      <w:r w:rsidRPr="004D6B6C">
        <w:rPr>
          <w:lang w:val="en-US"/>
        </w:rPr>
        <w:t>”).</w:t>
      </w:r>
    </w:p>
    <w:p w14:paraId="22581A5E" w14:textId="77777777" w:rsidR="00EF7E43" w:rsidRDefault="00EF7E43" w:rsidP="004D6B6C">
      <w:pPr>
        <w:pStyle w:val="BodyText"/>
        <w:jc w:val="both"/>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875"/>
        <w:gridCol w:w="6141"/>
      </w:tblGrid>
      <w:tr w:rsidR="00EF7E43" w14:paraId="2C730716" w14:textId="77777777" w:rsidTr="00AA1D3D">
        <w:trPr>
          <w:tblHeader/>
        </w:trPr>
        <w:tc>
          <w:tcPr>
            <w:tcW w:w="9016" w:type="dxa"/>
            <w:gridSpan w:val="2"/>
            <w:shd w:val="clear" w:color="auto" w:fill="D9D9D9" w:themeFill="background1" w:themeFillShade="D9"/>
          </w:tcPr>
          <w:p w14:paraId="4E1F93B9" w14:textId="442244BC" w:rsidR="00EF7E43" w:rsidRDefault="00EF7E43" w:rsidP="00EF7E43">
            <w:pPr>
              <w:pStyle w:val="BodyText"/>
              <w:spacing w:before="120"/>
              <w:jc w:val="both"/>
              <w:rPr>
                <w:lang w:val="en-US"/>
              </w:rPr>
            </w:pPr>
            <w:r w:rsidRPr="00EF7E43">
              <w:rPr>
                <w:b/>
                <w:bCs/>
                <w:lang w:val="en-US"/>
              </w:rPr>
              <w:t>KEY TERMS</w:t>
            </w:r>
          </w:p>
        </w:tc>
      </w:tr>
      <w:tr w:rsidR="00EF7E43" w:rsidRPr="00B328BC" w14:paraId="6D88011D" w14:textId="77777777" w:rsidTr="00EF7E43">
        <w:tc>
          <w:tcPr>
            <w:tcW w:w="2875" w:type="dxa"/>
          </w:tcPr>
          <w:p w14:paraId="53E39987" w14:textId="03FA8CDE" w:rsidR="00EF7E43" w:rsidRDefault="00EF7E43" w:rsidP="00EF7E43">
            <w:pPr>
              <w:pStyle w:val="BodyText"/>
              <w:spacing w:before="120"/>
              <w:jc w:val="both"/>
              <w:rPr>
                <w:lang w:val="en-US"/>
              </w:rPr>
            </w:pPr>
            <w:r w:rsidRPr="00EF7E43">
              <w:rPr>
                <w:lang w:val="en-US"/>
              </w:rPr>
              <w:t>Purchase Amount</w:t>
            </w:r>
          </w:p>
        </w:tc>
        <w:tc>
          <w:tcPr>
            <w:tcW w:w="6141" w:type="dxa"/>
          </w:tcPr>
          <w:p w14:paraId="5D85B545" w14:textId="636113DA" w:rsidR="00EF7E43" w:rsidRDefault="00EF7E43" w:rsidP="00EF7E43">
            <w:pPr>
              <w:pStyle w:val="BodyText"/>
              <w:spacing w:before="120"/>
              <w:jc w:val="both"/>
              <w:rPr>
                <w:lang w:val="en-US"/>
              </w:rPr>
            </w:pPr>
            <w:r>
              <w:rPr>
                <w:lang w:val="en-US"/>
              </w:rPr>
              <w:t>$</w:t>
            </w:r>
            <w:r w:rsidRPr="00EF7E43">
              <w:rPr>
                <w:lang w:val="en-US"/>
              </w:rPr>
              <w:t>[</w:t>
            </w:r>
            <w:r w:rsidRPr="00EF7E43">
              <w:rPr>
                <w:highlight w:val="yellow"/>
                <w:lang w:val="en-US"/>
              </w:rPr>
              <w:t>TOKEN PRICE x PURCHASER’S TOKENS</w:t>
            </w:r>
            <w:r w:rsidRPr="00EF7E43">
              <w:rPr>
                <w:lang w:val="en-US"/>
              </w:rPr>
              <w:t>]</w:t>
            </w:r>
          </w:p>
        </w:tc>
      </w:tr>
      <w:tr w:rsidR="00135EC7" w:rsidRPr="00B328BC" w14:paraId="0E187A16" w14:textId="77777777" w:rsidTr="00EF7E43">
        <w:tc>
          <w:tcPr>
            <w:tcW w:w="2875" w:type="dxa"/>
          </w:tcPr>
          <w:p w14:paraId="57462150" w14:textId="45BCE85B" w:rsidR="00135EC7" w:rsidRPr="00EF7E43" w:rsidRDefault="00135EC7" w:rsidP="00EF7E43">
            <w:pPr>
              <w:pStyle w:val="BodyText"/>
              <w:spacing w:before="120"/>
              <w:jc w:val="both"/>
              <w:rPr>
                <w:lang w:val="en-US"/>
              </w:rPr>
            </w:pPr>
            <w:r>
              <w:rPr>
                <w:lang w:val="en-US"/>
              </w:rPr>
              <w:t>Payment Currency</w:t>
            </w:r>
          </w:p>
        </w:tc>
        <w:tc>
          <w:tcPr>
            <w:tcW w:w="6141" w:type="dxa"/>
          </w:tcPr>
          <w:p w14:paraId="3878D1E1" w14:textId="5F92969C" w:rsidR="00135EC7" w:rsidRDefault="00135EC7" w:rsidP="00EF7E43">
            <w:pPr>
              <w:pStyle w:val="BodyText"/>
              <w:spacing w:before="120"/>
              <w:jc w:val="both"/>
              <w:rPr>
                <w:lang w:val="en-US"/>
              </w:rPr>
            </w:pPr>
            <w:r>
              <w:rPr>
                <w:lang w:val="en-US"/>
              </w:rPr>
              <w:t>[</w:t>
            </w:r>
            <w:r w:rsidRPr="00135EC7">
              <w:rPr>
                <w:highlight w:val="yellow"/>
                <w:lang w:val="en-US"/>
              </w:rPr>
              <w:t>USDT, USDC, ETH, BTC, etc.</w:t>
            </w:r>
            <w:r>
              <w:rPr>
                <w:lang w:val="en-US"/>
              </w:rPr>
              <w:t>]</w:t>
            </w:r>
          </w:p>
        </w:tc>
      </w:tr>
      <w:tr w:rsidR="00EF7E43" w14:paraId="0E90AE2B" w14:textId="77777777" w:rsidTr="00EF7E43">
        <w:tc>
          <w:tcPr>
            <w:tcW w:w="2875" w:type="dxa"/>
          </w:tcPr>
          <w:p w14:paraId="159FA8B4" w14:textId="7E7D8B65" w:rsidR="00EF7E43" w:rsidRDefault="00EF7E43" w:rsidP="00EF7E43">
            <w:pPr>
              <w:pStyle w:val="BodyText"/>
              <w:spacing w:before="120"/>
              <w:jc w:val="both"/>
              <w:rPr>
                <w:lang w:val="en-US"/>
              </w:rPr>
            </w:pPr>
            <w:r w:rsidRPr="00EF7E43">
              <w:rPr>
                <w:lang w:val="en-US"/>
              </w:rPr>
              <w:t>Purchaser’s Tokens</w:t>
            </w:r>
          </w:p>
        </w:tc>
        <w:tc>
          <w:tcPr>
            <w:tcW w:w="6141" w:type="dxa"/>
          </w:tcPr>
          <w:p w14:paraId="2917BBE9" w14:textId="298150CF" w:rsidR="00EF7E43" w:rsidRDefault="0077671C" w:rsidP="00EF7E43">
            <w:pPr>
              <w:pStyle w:val="BodyText"/>
              <w:spacing w:before="120"/>
              <w:jc w:val="both"/>
              <w:rPr>
                <w:lang w:val="en-US"/>
              </w:rPr>
            </w:pPr>
            <w:r w:rsidRPr="0077671C">
              <w:rPr>
                <w:lang w:val="en-US"/>
              </w:rPr>
              <w:t>[</w:t>
            </w:r>
            <w:r w:rsidRPr="0077671C">
              <w:rPr>
                <w:highlight w:val="yellow"/>
                <w:lang w:val="en-US"/>
              </w:rPr>
              <w:t>NUMBER</w:t>
            </w:r>
            <w:r w:rsidRPr="0077671C">
              <w:rPr>
                <w:lang w:val="en-US"/>
              </w:rPr>
              <w:t>] Tokens</w:t>
            </w:r>
          </w:p>
        </w:tc>
      </w:tr>
      <w:tr w:rsidR="00EF7E43" w14:paraId="00435EA1" w14:textId="77777777" w:rsidTr="00EF7E43">
        <w:tc>
          <w:tcPr>
            <w:tcW w:w="2875" w:type="dxa"/>
          </w:tcPr>
          <w:p w14:paraId="5F7656E6" w14:textId="1B9399A6" w:rsidR="00EF7E43" w:rsidRDefault="00EF7E43" w:rsidP="00EF7E43">
            <w:pPr>
              <w:pStyle w:val="BodyText"/>
              <w:spacing w:before="120"/>
              <w:jc w:val="both"/>
              <w:rPr>
                <w:lang w:val="en-US"/>
              </w:rPr>
            </w:pPr>
            <w:r w:rsidRPr="00EF7E43">
              <w:rPr>
                <w:lang w:val="en-US"/>
              </w:rPr>
              <w:t>Token Price</w:t>
            </w:r>
          </w:p>
        </w:tc>
        <w:tc>
          <w:tcPr>
            <w:tcW w:w="6141" w:type="dxa"/>
          </w:tcPr>
          <w:p w14:paraId="59F0A6FF" w14:textId="4947F6F6" w:rsidR="00EF7E43" w:rsidRDefault="0077671C" w:rsidP="00EF7E43">
            <w:pPr>
              <w:pStyle w:val="BodyText"/>
              <w:spacing w:before="120"/>
              <w:jc w:val="both"/>
              <w:rPr>
                <w:lang w:val="en-US"/>
              </w:rPr>
            </w:pPr>
            <w:r>
              <w:rPr>
                <w:lang w:val="en-US"/>
              </w:rPr>
              <w:t>$</w:t>
            </w:r>
            <w:r w:rsidRPr="0077671C">
              <w:rPr>
                <w:lang w:val="en-US"/>
              </w:rPr>
              <w:t>[</w:t>
            </w:r>
            <w:r w:rsidRPr="0077671C">
              <w:rPr>
                <w:highlight w:val="yellow"/>
                <w:lang w:val="en-US"/>
              </w:rPr>
              <w:t>USD</w:t>
            </w:r>
            <w:r w:rsidRPr="0077671C">
              <w:rPr>
                <w:lang w:val="en-US"/>
              </w:rPr>
              <w:t>]</w:t>
            </w:r>
            <w:r>
              <w:rPr>
                <w:lang w:val="en-US"/>
              </w:rPr>
              <w:t xml:space="preserve"> per one Token</w:t>
            </w:r>
          </w:p>
        </w:tc>
      </w:tr>
      <w:tr w:rsidR="00F40BA3" w14:paraId="22ADA846" w14:textId="77777777" w:rsidTr="00EF7E43">
        <w:tc>
          <w:tcPr>
            <w:tcW w:w="2875" w:type="dxa"/>
          </w:tcPr>
          <w:p w14:paraId="04585939" w14:textId="7A6E3159" w:rsidR="00F40BA3" w:rsidRPr="00EF7E43" w:rsidRDefault="00F40BA3" w:rsidP="00EF7E43">
            <w:pPr>
              <w:pStyle w:val="BodyText"/>
              <w:spacing w:before="120"/>
              <w:jc w:val="both"/>
              <w:rPr>
                <w:lang w:val="en-US"/>
              </w:rPr>
            </w:pPr>
            <w:r>
              <w:rPr>
                <w:lang w:val="en-US"/>
              </w:rPr>
              <w:t>Payment Date</w:t>
            </w:r>
          </w:p>
        </w:tc>
        <w:tc>
          <w:tcPr>
            <w:tcW w:w="6141" w:type="dxa"/>
          </w:tcPr>
          <w:p w14:paraId="4C63908F" w14:textId="44F52025" w:rsidR="00F40BA3" w:rsidRDefault="00F40BA3" w:rsidP="00EF7E43">
            <w:pPr>
              <w:pStyle w:val="BodyText"/>
              <w:spacing w:before="120"/>
              <w:jc w:val="both"/>
              <w:rPr>
                <w:lang w:val="en-US"/>
              </w:rPr>
            </w:pPr>
            <w:r>
              <w:rPr>
                <w:lang w:val="en-US"/>
              </w:rPr>
              <w:t>[</w:t>
            </w:r>
            <w:r w:rsidRPr="00F40BA3">
              <w:rPr>
                <w:highlight w:val="yellow"/>
                <w:lang w:val="en-US"/>
              </w:rPr>
              <w:t>DATE</w:t>
            </w:r>
            <w:r>
              <w:rPr>
                <w:lang w:val="en-US"/>
              </w:rPr>
              <w:t>]</w:t>
            </w:r>
          </w:p>
        </w:tc>
      </w:tr>
      <w:tr w:rsidR="00EF7E43" w:rsidRPr="00B328BC" w14:paraId="167412C7" w14:textId="77777777" w:rsidTr="00EF7E43">
        <w:tc>
          <w:tcPr>
            <w:tcW w:w="2875" w:type="dxa"/>
          </w:tcPr>
          <w:p w14:paraId="3391FFBC" w14:textId="0C98400F" w:rsidR="00EF7E43" w:rsidRDefault="00EF7E43" w:rsidP="00EF7E43">
            <w:pPr>
              <w:pStyle w:val="BodyText"/>
              <w:spacing w:before="120"/>
              <w:jc w:val="both"/>
              <w:rPr>
                <w:lang w:val="en-US"/>
              </w:rPr>
            </w:pPr>
            <w:r w:rsidRPr="00EF7E43">
              <w:rPr>
                <w:lang w:val="en-US"/>
              </w:rPr>
              <w:t>Lock-up</w:t>
            </w:r>
          </w:p>
        </w:tc>
        <w:tc>
          <w:tcPr>
            <w:tcW w:w="6141" w:type="dxa"/>
          </w:tcPr>
          <w:p w14:paraId="030CA073" w14:textId="13373357" w:rsidR="00EF7E43" w:rsidRDefault="0077671C" w:rsidP="00EF7E43">
            <w:pPr>
              <w:pStyle w:val="BodyText"/>
              <w:spacing w:before="120"/>
              <w:jc w:val="both"/>
              <w:rPr>
                <w:lang w:val="en-US"/>
              </w:rPr>
            </w:pPr>
            <w:r w:rsidRPr="0077671C">
              <w:rPr>
                <w:lang w:val="en-US"/>
              </w:rPr>
              <w:t>[</w:t>
            </w:r>
            <w:r w:rsidRPr="0077671C">
              <w:rPr>
                <w:highlight w:val="yellow"/>
                <w:lang w:val="en-US"/>
              </w:rPr>
              <w:t>One-year lock-up with a three-year monthly vesting thereafter</w:t>
            </w:r>
            <w:r w:rsidRPr="0077671C">
              <w:rPr>
                <w:lang w:val="en-US"/>
              </w:rPr>
              <w:t>] as defined in Section</w:t>
            </w:r>
            <w:r>
              <w:rPr>
                <w:lang w:val="en-US"/>
              </w:rPr>
              <w:t xml:space="preserve"> </w:t>
            </w:r>
            <w:r>
              <w:rPr>
                <w:lang w:val="en-US"/>
              </w:rPr>
              <w:fldChar w:fldCharType="begin"/>
            </w:r>
            <w:r>
              <w:rPr>
                <w:lang w:val="en-US"/>
              </w:rPr>
              <w:instrText xml:space="preserve"> REF _Ref137477539 \r \h </w:instrText>
            </w:r>
            <w:r>
              <w:rPr>
                <w:lang w:val="en-US"/>
              </w:rPr>
            </w:r>
            <w:r>
              <w:rPr>
                <w:lang w:val="en-US"/>
              </w:rPr>
              <w:fldChar w:fldCharType="separate"/>
            </w:r>
            <w:r w:rsidR="00662A5D">
              <w:rPr>
                <w:lang w:val="en-US"/>
              </w:rPr>
              <w:t>5</w:t>
            </w:r>
            <w:r>
              <w:rPr>
                <w:lang w:val="en-US"/>
              </w:rPr>
              <w:fldChar w:fldCharType="end"/>
            </w:r>
          </w:p>
        </w:tc>
      </w:tr>
      <w:tr w:rsidR="00AA7754" w14:paraId="6EE5BDF6" w14:textId="77777777" w:rsidTr="00EF7E43">
        <w:tc>
          <w:tcPr>
            <w:tcW w:w="2875" w:type="dxa"/>
          </w:tcPr>
          <w:p w14:paraId="598C7B0D" w14:textId="77777777" w:rsidR="00AA7754" w:rsidRPr="0077671C" w:rsidRDefault="00AA7754" w:rsidP="00EF7E43">
            <w:pPr>
              <w:pStyle w:val="BodyText"/>
              <w:spacing w:before="120"/>
              <w:jc w:val="both"/>
              <w:rPr>
                <w:lang w:val="en-US"/>
              </w:rPr>
            </w:pPr>
            <w:r w:rsidRPr="0077671C">
              <w:rPr>
                <w:lang w:val="en-US"/>
              </w:rPr>
              <w:t>Deadline Date</w:t>
            </w:r>
          </w:p>
        </w:tc>
        <w:tc>
          <w:tcPr>
            <w:tcW w:w="6141" w:type="dxa"/>
          </w:tcPr>
          <w:p w14:paraId="7D5988E5" w14:textId="77777777" w:rsidR="00AA7754" w:rsidRDefault="00AA7754" w:rsidP="00EF7E43">
            <w:pPr>
              <w:pStyle w:val="BodyText"/>
              <w:spacing w:before="120"/>
              <w:jc w:val="both"/>
              <w:rPr>
                <w:lang w:val="en-US"/>
              </w:rPr>
            </w:pPr>
            <w:r>
              <w:rPr>
                <w:lang w:val="en-US"/>
              </w:rPr>
              <w:t>[</w:t>
            </w:r>
            <w:r w:rsidRPr="00EE2C99">
              <w:rPr>
                <w:highlight w:val="yellow"/>
                <w:lang w:val="en-US"/>
              </w:rPr>
              <w:t>DATE</w:t>
            </w:r>
            <w:r>
              <w:rPr>
                <w:lang w:val="en-US"/>
              </w:rPr>
              <w:t>]</w:t>
            </w:r>
          </w:p>
        </w:tc>
      </w:tr>
      <w:tr w:rsidR="00FC6050" w14:paraId="2D1E6850" w14:textId="77777777" w:rsidTr="00EF7E43">
        <w:tc>
          <w:tcPr>
            <w:tcW w:w="2875" w:type="dxa"/>
          </w:tcPr>
          <w:p w14:paraId="1D6A017A" w14:textId="77777777" w:rsidR="00FC6050" w:rsidRDefault="00FC6050" w:rsidP="00EF7E43">
            <w:pPr>
              <w:pStyle w:val="BodyText"/>
              <w:spacing w:before="120"/>
              <w:jc w:val="both"/>
              <w:rPr>
                <w:lang w:val="en-US"/>
              </w:rPr>
            </w:pPr>
            <w:r>
              <w:rPr>
                <w:lang w:val="en-US"/>
              </w:rPr>
              <w:t>Company’s Wallet</w:t>
            </w:r>
          </w:p>
        </w:tc>
        <w:tc>
          <w:tcPr>
            <w:tcW w:w="6141" w:type="dxa"/>
          </w:tcPr>
          <w:p w14:paraId="06C7769F" w14:textId="77777777" w:rsidR="00FC6050" w:rsidRDefault="00FC6050" w:rsidP="00EF7E43">
            <w:pPr>
              <w:pStyle w:val="BodyText"/>
              <w:spacing w:before="120"/>
              <w:jc w:val="both"/>
              <w:rPr>
                <w:lang w:val="en-US"/>
              </w:rPr>
            </w:pPr>
            <w:r>
              <w:rPr>
                <w:lang w:val="en-US"/>
              </w:rPr>
              <w:t>[</w:t>
            </w:r>
            <w:r w:rsidRPr="00A67B98">
              <w:rPr>
                <w:highlight w:val="yellow"/>
                <w:lang w:val="en-US"/>
              </w:rPr>
              <w:t>WALLET ADDRESS</w:t>
            </w:r>
            <w:r>
              <w:rPr>
                <w:lang w:val="en-US"/>
              </w:rPr>
              <w:t>]</w:t>
            </w:r>
          </w:p>
        </w:tc>
      </w:tr>
      <w:tr w:rsidR="00AA7754" w14:paraId="4CF1BEE3" w14:textId="77777777" w:rsidTr="00EF7E43">
        <w:tc>
          <w:tcPr>
            <w:tcW w:w="2875" w:type="dxa"/>
          </w:tcPr>
          <w:p w14:paraId="7EB58179" w14:textId="77777777" w:rsidR="00AA7754" w:rsidRPr="0077671C" w:rsidRDefault="00AA7754" w:rsidP="00EF7E43">
            <w:pPr>
              <w:pStyle w:val="BodyText"/>
              <w:spacing w:before="120"/>
              <w:jc w:val="both"/>
              <w:rPr>
                <w:lang w:val="en-US"/>
              </w:rPr>
            </w:pPr>
            <w:r>
              <w:rPr>
                <w:lang w:val="en-US"/>
              </w:rPr>
              <w:t>Purchaser’s Wallet</w:t>
            </w:r>
          </w:p>
        </w:tc>
        <w:tc>
          <w:tcPr>
            <w:tcW w:w="6141" w:type="dxa"/>
          </w:tcPr>
          <w:p w14:paraId="1434E995" w14:textId="77777777" w:rsidR="00AA7754" w:rsidRDefault="00AA7754" w:rsidP="00EF7E43">
            <w:pPr>
              <w:pStyle w:val="BodyText"/>
              <w:spacing w:before="120"/>
              <w:jc w:val="both"/>
              <w:rPr>
                <w:lang w:val="en-US"/>
              </w:rPr>
            </w:pPr>
            <w:r>
              <w:rPr>
                <w:lang w:val="en-US"/>
              </w:rPr>
              <w:t>[</w:t>
            </w:r>
            <w:r w:rsidRPr="00A67B98">
              <w:rPr>
                <w:highlight w:val="yellow"/>
                <w:lang w:val="en-US"/>
              </w:rPr>
              <w:t>WALLET ADDRESS</w:t>
            </w:r>
            <w:r>
              <w:rPr>
                <w:lang w:val="en-US"/>
              </w:rPr>
              <w:t>]</w:t>
            </w:r>
          </w:p>
        </w:tc>
      </w:tr>
      <w:tr w:rsidR="00EF7E43" w:rsidRPr="00B328BC" w14:paraId="004F44AD" w14:textId="77777777" w:rsidTr="00EF7E43">
        <w:tc>
          <w:tcPr>
            <w:tcW w:w="2875" w:type="dxa"/>
          </w:tcPr>
          <w:p w14:paraId="499AABE3" w14:textId="10CD8855" w:rsidR="00EF7E43" w:rsidRPr="00EF7E43" w:rsidRDefault="00EF7E43" w:rsidP="0077671C">
            <w:pPr>
              <w:pStyle w:val="BodyText"/>
              <w:spacing w:before="120"/>
              <w:jc w:val="both"/>
              <w:rPr>
                <w:lang w:val="en-US"/>
              </w:rPr>
            </w:pPr>
            <w:r w:rsidRPr="00EF7E43">
              <w:rPr>
                <w:lang w:val="en-US"/>
              </w:rPr>
              <w:t>Governing Law</w:t>
            </w:r>
          </w:p>
        </w:tc>
        <w:tc>
          <w:tcPr>
            <w:tcW w:w="6141" w:type="dxa"/>
          </w:tcPr>
          <w:p w14:paraId="4DC100FA" w14:textId="70AEEF8C" w:rsidR="00EF7E43" w:rsidRDefault="0077671C" w:rsidP="0077671C">
            <w:pPr>
              <w:spacing w:before="120" w:after="120" w:line="22" w:lineRule="atLeast"/>
              <w:ind w:left="4248" w:hanging="4248"/>
              <w:jc w:val="both"/>
              <w:rPr>
                <w:lang w:val="en-US"/>
              </w:rPr>
            </w:pPr>
            <w:r w:rsidRPr="00B553B6">
              <w:rPr>
                <w:lang w:val="en-US"/>
              </w:rPr>
              <w:t xml:space="preserve">State of New York as defined in Section </w:t>
            </w:r>
            <w:r>
              <w:fldChar w:fldCharType="begin"/>
            </w:r>
            <w:r w:rsidRPr="00B553B6">
              <w:rPr>
                <w:lang w:val="en-US"/>
              </w:rPr>
              <w:instrText xml:space="preserve"> REF _Ref121136715 \r \h </w:instrText>
            </w:r>
            <w:r>
              <w:fldChar w:fldCharType="separate"/>
            </w:r>
            <w:r w:rsidR="00662A5D">
              <w:rPr>
                <w:lang w:val="en-US"/>
              </w:rPr>
              <w:t>13.5</w:t>
            </w:r>
            <w:r>
              <w:fldChar w:fldCharType="end"/>
            </w:r>
          </w:p>
        </w:tc>
      </w:tr>
    </w:tbl>
    <w:p w14:paraId="3411D9FD" w14:textId="7336AF10" w:rsidR="00EF7E43" w:rsidRDefault="00EF7E43" w:rsidP="004D6B6C">
      <w:pPr>
        <w:pStyle w:val="BodyText"/>
        <w:jc w:val="both"/>
        <w:rPr>
          <w:lang w:val="en-US"/>
        </w:rPr>
      </w:pPr>
    </w:p>
    <w:p w14:paraId="6DCEB078" w14:textId="1F3246CD" w:rsidR="00EF7E43" w:rsidRDefault="00EF7E43" w:rsidP="00EF7E43">
      <w:pPr>
        <w:tabs>
          <w:tab w:val="left" w:pos="3150"/>
        </w:tabs>
        <w:jc w:val="both"/>
        <w:rPr>
          <w:lang w:val="en-US"/>
        </w:rPr>
      </w:pPr>
      <w:r>
        <w:rPr>
          <w:lang w:val="en-US"/>
        </w:rPr>
        <w:t>Other capitalized terms appearing in this SAFT are defined below.</w:t>
      </w:r>
    </w:p>
    <w:p w14:paraId="6C6E37AD" w14:textId="77777777" w:rsidR="00EF7E43" w:rsidRDefault="00EF7E43" w:rsidP="00EF7E43">
      <w:pPr>
        <w:tabs>
          <w:tab w:val="left" w:pos="3150"/>
        </w:tabs>
        <w:jc w:val="center"/>
        <w:rPr>
          <w:lang w:val="en-US"/>
        </w:rPr>
      </w:pPr>
    </w:p>
    <w:p w14:paraId="2D206BDB" w14:textId="20E0D593" w:rsidR="00EF7E43" w:rsidRDefault="00EF7E43" w:rsidP="00EF7E43">
      <w:pPr>
        <w:tabs>
          <w:tab w:val="left" w:pos="3150"/>
        </w:tabs>
        <w:jc w:val="center"/>
        <w:rPr>
          <w:lang w:val="en-US"/>
        </w:rPr>
      </w:pPr>
      <w:r>
        <w:rPr>
          <w:lang w:val="en-US"/>
        </w:rPr>
        <w:t>[</w:t>
      </w:r>
      <w:r w:rsidRPr="0078648F">
        <w:rPr>
          <w:i/>
          <w:iCs/>
          <w:lang w:val="en-US"/>
        </w:rPr>
        <w:t xml:space="preserve">Signature </w:t>
      </w:r>
      <w:r>
        <w:rPr>
          <w:i/>
          <w:iCs/>
          <w:lang w:val="en-US"/>
        </w:rPr>
        <w:t>P</w:t>
      </w:r>
      <w:r w:rsidRPr="0078648F">
        <w:rPr>
          <w:i/>
          <w:iCs/>
          <w:lang w:val="en-US"/>
        </w:rPr>
        <w:t xml:space="preserve">age </w:t>
      </w:r>
      <w:r>
        <w:rPr>
          <w:i/>
          <w:iCs/>
          <w:lang w:val="en-US"/>
        </w:rPr>
        <w:t>F</w:t>
      </w:r>
      <w:r w:rsidRPr="0078648F">
        <w:rPr>
          <w:i/>
          <w:iCs/>
          <w:lang w:val="en-US"/>
        </w:rPr>
        <w:t>ollows</w:t>
      </w:r>
      <w:r>
        <w:rPr>
          <w:lang w:val="en-US"/>
        </w:rPr>
        <w:t>]</w:t>
      </w:r>
      <w:r w:rsidRPr="0078648F">
        <w:rPr>
          <w:lang w:val="en-US"/>
        </w:rPr>
        <w:t xml:space="preserve"> </w:t>
      </w:r>
      <w:r>
        <w:rPr>
          <w:lang w:val="en-US"/>
        </w:rPr>
        <w:br w:type="page"/>
      </w:r>
    </w:p>
    <w:p w14:paraId="3644008C" w14:textId="77777777" w:rsidR="0078648F" w:rsidRPr="004D6B6C" w:rsidRDefault="0078648F" w:rsidP="0078648F">
      <w:pPr>
        <w:spacing w:after="160"/>
        <w:jc w:val="center"/>
        <w:rPr>
          <w:b/>
          <w:bCs/>
          <w:lang w:val="en-US"/>
        </w:rPr>
      </w:pPr>
      <w:r w:rsidRPr="004D6B6C">
        <w:rPr>
          <w:b/>
          <w:bCs/>
          <w:lang w:val="en-US"/>
        </w:rPr>
        <w:lastRenderedPageBreak/>
        <w:t>SIGNATURES OF THE PARTIES</w:t>
      </w:r>
    </w:p>
    <w:p w14:paraId="69D5D00D" w14:textId="77777777" w:rsidR="0078648F" w:rsidRPr="004D6B6C" w:rsidRDefault="0078648F" w:rsidP="0078648F">
      <w:pPr>
        <w:rPr>
          <w:lang w:val="en-US"/>
        </w:rPr>
      </w:pPr>
    </w:p>
    <w:tbl>
      <w:tblPr>
        <w:tblW w:w="8568" w:type="dxa"/>
        <w:tblInd w:w="-64" w:type="dxa"/>
        <w:tblLook w:val="04A0" w:firstRow="1" w:lastRow="0" w:firstColumn="1" w:lastColumn="0" w:noHBand="0" w:noVBand="1"/>
      </w:tblPr>
      <w:tblGrid>
        <w:gridCol w:w="4068"/>
        <w:gridCol w:w="4500"/>
      </w:tblGrid>
      <w:tr w:rsidR="0078648F" w:rsidRPr="007C1396" w14:paraId="48400F32" w14:textId="77777777" w:rsidTr="00160AF5">
        <w:tc>
          <w:tcPr>
            <w:tcW w:w="8568" w:type="dxa"/>
            <w:gridSpan w:val="2"/>
            <w:shd w:val="clear" w:color="auto" w:fill="auto"/>
          </w:tcPr>
          <w:p w14:paraId="4A9B70B8" w14:textId="622D6401" w:rsidR="0078648F" w:rsidRPr="007658BC" w:rsidRDefault="007658BC" w:rsidP="00160AF5">
            <w:pPr>
              <w:pStyle w:val="Heading2"/>
              <w:numPr>
                <w:ilvl w:val="0"/>
                <w:numId w:val="0"/>
              </w:numPr>
              <w:spacing w:before="120" w:after="120"/>
              <w:rPr>
                <w:b/>
                <w:bCs/>
              </w:rPr>
            </w:pPr>
            <w:r w:rsidRPr="007658BC">
              <w:rPr>
                <w:b/>
                <w:bCs/>
              </w:rPr>
              <w:t>COMPANY</w:t>
            </w:r>
          </w:p>
        </w:tc>
      </w:tr>
      <w:tr w:rsidR="0078648F" w:rsidRPr="007C1396" w14:paraId="5C6B1E85" w14:textId="77777777" w:rsidTr="00160AF5">
        <w:tc>
          <w:tcPr>
            <w:tcW w:w="4068" w:type="dxa"/>
            <w:shd w:val="clear" w:color="auto" w:fill="auto"/>
          </w:tcPr>
          <w:p w14:paraId="5C93CE86" w14:textId="77777777" w:rsidR="0078648F" w:rsidRPr="007C1396" w:rsidRDefault="0078648F" w:rsidP="00160AF5">
            <w:pPr>
              <w:pStyle w:val="Heading2"/>
              <w:numPr>
                <w:ilvl w:val="0"/>
                <w:numId w:val="0"/>
              </w:numPr>
              <w:spacing w:before="120" w:after="120"/>
            </w:pPr>
            <w:r w:rsidRPr="007C1396">
              <w:rPr>
                <w:w w:val="0"/>
              </w:rPr>
              <w:t>By</w:t>
            </w:r>
            <w:r w:rsidRPr="007C1396">
              <w:t>:</w:t>
            </w:r>
          </w:p>
        </w:tc>
        <w:tc>
          <w:tcPr>
            <w:tcW w:w="4500" w:type="dxa"/>
            <w:shd w:val="clear" w:color="auto" w:fill="auto"/>
          </w:tcPr>
          <w:p w14:paraId="2D66D0F5" w14:textId="77777777" w:rsidR="0078648F" w:rsidRPr="007C1396" w:rsidRDefault="0078648F" w:rsidP="00160AF5">
            <w:pPr>
              <w:pStyle w:val="Heading2"/>
              <w:numPr>
                <w:ilvl w:val="0"/>
                <w:numId w:val="0"/>
              </w:numPr>
              <w:spacing w:before="120" w:after="120"/>
            </w:pPr>
            <w:r w:rsidRPr="007C1396">
              <w:t>__________________________________</w:t>
            </w:r>
          </w:p>
        </w:tc>
      </w:tr>
      <w:tr w:rsidR="0078648F" w:rsidRPr="007C1396" w14:paraId="21B7E989" w14:textId="77777777" w:rsidTr="00160AF5">
        <w:tc>
          <w:tcPr>
            <w:tcW w:w="4068" w:type="dxa"/>
            <w:shd w:val="clear" w:color="auto" w:fill="auto"/>
          </w:tcPr>
          <w:p w14:paraId="147EB427" w14:textId="77777777" w:rsidR="0078648F" w:rsidRPr="00DA0554" w:rsidRDefault="0078648F" w:rsidP="00160AF5">
            <w:pPr>
              <w:pStyle w:val="Heading2"/>
              <w:numPr>
                <w:ilvl w:val="0"/>
                <w:numId w:val="0"/>
              </w:numPr>
              <w:spacing w:before="120" w:after="120"/>
              <w:rPr>
                <w:w w:val="0"/>
              </w:rPr>
            </w:pPr>
            <w:r>
              <w:rPr>
                <w:w w:val="0"/>
              </w:rPr>
              <w:t>Date:</w:t>
            </w:r>
          </w:p>
        </w:tc>
        <w:tc>
          <w:tcPr>
            <w:tcW w:w="4500" w:type="dxa"/>
            <w:shd w:val="clear" w:color="auto" w:fill="auto"/>
          </w:tcPr>
          <w:p w14:paraId="5BD1FBDB" w14:textId="77777777" w:rsidR="0078648F" w:rsidRPr="007C1396" w:rsidRDefault="0078648F" w:rsidP="00160AF5">
            <w:pPr>
              <w:pStyle w:val="Heading2"/>
              <w:numPr>
                <w:ilvl w:val="0"/>
                <w:numId w:val="0"/>
              </w:numPr>
              <w:spacing w:before="120" w:after="120"/>
            </w:pPr>
            <w:r w:rsidRPr="007C1396">
              <w:t>__________________________________</w:t>
            </w:r>
          </w:p>
        </w:tc>
      </w:tr>
      <w:tr w:rsidR="00B328BC" w:rsidRPr="007C1396" w14:paraId="05AD788E" w14:textId="77777777" w:rsidTr="00160AF5">
        <w:tc>
          <w:tcPr>
            <w:tcW w:w="4068" w:type="dxa"/>
            <w:shd w:val="clear" w:color="auto" w:fill="auto"/>
          </w:tcPr>
          <w:p w14:paraId="2786F29B" w14:textId="77777777" w:rsidR="00B328BC" w:rsidRPr="007C1396" w:rsidRDefault="00B328BC" w:rsidP="00B328BC">
            <w:pPr>
              <w:pStyle w:val="Heading2"/>
              <w:numPr>
                <w:ilvl w:val="0"/>
                <w:numId w:val="0"/>
              </w:numPr>
              <w:spacing w:before="120" w:after="120"/>
            </w:pPr>
            <w:r w:rsidRPr="007C1396">
              <w:rPr>
                <w:w w:val="0"/>
              </w:rPr>
              <w:t>Name</w:t>
            </w:r>
            <w:r w:rsidRPr="007C1396">
              <w:t>:</w:t>
            </w:r>
          </w:p>
        </w:tc>
        <w:tc>
          <w:tcPr>
            <w:tcW w:w="4500" w:type="dxa"/>
            <w:shd w:val="clear" w:color="auto" w:fill="auto"/>
          </w:tcPr>
          <w:p w14:paraId="7F15E2DF" w14:textId="3D030F8F" w:rsidR="00B328BC" w:rsidRPr="007C1396" w:rsidRDefault="00B328BC" w:rsidP="00B328BC">
            <w:pPr>
              <w:pStyle w:val="Heading2"/>
              <w:numPr>
                <w:ilvl w:val="0"/>
                <w:numId w:val="0"/>
              </w:numPr>
              <w:spacing w:before="120" w:after="120"/>
            </w:pPr>
            <w:r w:rsidRPr="0043778F">
              <w:t>__________________________________</w:t>
            </w:r>
          </w:p>
        </w:tc>
      </w:tr>
      <w:tr w:rsidR="00B328BC" w:rsidRPr="007C1396" w14:paraId="1224AF57" w14:textId="77777777" w:rsidTr="00160AF5">
        <w:tc>
          <w:tcPr>
            <w:tcW w:w="4068" w:type="dxa"/>
            <w:shd w:val="clear" w:color="auto" w:fill="auto"/>
          </w:tcPr>
          <w:p w14:paraId="6AF696A8" w14:textId="77777777" w:rsidR="00B328BC" w:rsidRPr="007C1396" w:rsidRDefault="00B328BC" w:rsidP="00B328BC">
            <w:pPr>
              <w:pStyle w:val="Heading2"/>
              <w:numPr>
                <w:ilvl w:val="0"/>
                <w:numId w:val="0"/>
              </w:numPr>
              <w:spacing w:before="120" w:after="120"/>
            </w:pPr>
            <w:r w:rsidRPr="007C1396">
              <w:t>Title:</w:t>
            </w:r>
          </w:p>
        </w:tc>
        <w:tc>
          <w:tcPr>
            <w:tcW w:w="4500" w:type="dxa"/>
            <w:shd w:val="clear" w:color="auto" w:fill="auto"/>
          </w:tcPr>
          <w:p w14:paraId="10FE9848" w14:textId="65162669" w:rsidR="00B328BC" w:rsidRPr="007C1396" w:rsidRDefault="00B328BC" w:rsidP="00B328BC">
            <w:pPr>
              <w:pStyle w:val="Heading2"/>
              <w:numPr>
                <w:ilvl w:val="0"/>
                <w:numId w:val="0"/>
              </w:numPr>
              <w:spacing w:before="120" w:after="120"/>
            </w:pPr>
            <w:r w:rsidRPr="0043778F">
              <w:t>__________________________________</w:t>
            </w:r>
          </w:p>
        </w:tc>
      </w:tr>
      <w:tr w:rsidR="00B328BC" w:rsidRPr="007C1396" w14:paraId="164706BC" w14:textId="77777777" w:rsidTr="00160AF5">
        <w:tc>
          <w:tcPr>
            <w:tcW w:w="4068" w:type="dxa"/>
            <w:shd w:val="clear" w:color="auto" w:fill="auto"/>
          </w:tcPr>
          <w:p w14:paraId="24676464" w14:textId="77777777" w:rsidR="00B328BC" w:rsidRPr="007C1396" w:rsidRDefault="00B328BC" w:rsidP="00B328BC">
            <w:pPr>
              <w:pStyle w:val="Heading2"/>
              <w:numPr>
                <w:ilvl w:val="0"/>
                <w:numId w:val="0"/>
              </w:numPr>
              <w:spacing w:before="120" w:after="120"/>
            </w:pPr>
            <w:r>
              <w:t>Email:</w:t>
            </w:r>
          </w:p>
        </w:tc>
        <w:tc>
          <w:tcPr>
            <w:tcW w:w="4500" w:type="dxa"/>
            <w:shd w:val="clear" w:color="auto" w:fill="auto"/>
          </w:tcPr>
          <w:p w14:paraId="2D830441" w14:textId="47499384" w:rsidR="00B328BC" w:rsidRPr="003E578B" w:rsidRDefault="00B328BC" w:rsidP="00B328BC">
            <w:pPr>
              <w:pStyle w:val="Heading2"/>
              <w:numPr>
                <w:ilvl w:val="0"/>
                <w:numId w:val="0"/>
              </w:numPr>
              <w:spacing w:before="120" w:after="120"/>
            </w:pPr>
            <w:r w:rsidRPr="0043778F">
              <w:t>__________________________________</w:t>
            </w:r>
          </w:p>
        </w:tc>
      </w:tr>
      <w:tr w:rsidR="00B328BC" w:rsidRPr="007C1396" w14:paraId="57575817" w14:textId="77777777" w:rsidTr="00160AF5">
        <w:tc>
          <w:tcPr>
            <w:tcW w:w="4068" w:type="dxa"/>
            <w:shd w:val="clear" w:color="auto" w:fill="auto"/>
          </w:tcPr>
          <w:p w14:paraId="3DDA1AF6" w14:textId="77777777" w:rsidR="00B328BC" w:rsidRPr="007C1396" w:rsidRDefault="00B328BC" w:rsidP="00B328BC">
            <w:pPr>
              <w:pStyle w:val="Heading2"/>
              <w:numPr>
                <w:ilvl w:val="0"/>
                <w:numId w:val="0"/>
              </w:numPr>
              <w:spacing w:before="120" w:after="120"/>
            </w:pPr>
            <w:r>
              <w:t>Address:</w:t>
            </w:r>
          </w:p>
        </w:tc>
        <w:tc>
          <w:tcPr>
            <w:tcW w:w="4500" w:type="dxa"/>
            <w:shd w:val="clear" w:color="auto" w:fill="auto"/>
          </w:tcPr>
          <w:p w14:paraId="73491FD6" w14:textId="47EBE640" w:rsidR="00B328BC" w:rsidRPr="003E578B" w:rsidRDefault="00B328BC" w:rsidP="00B328BC">
            <w:pPr>
              <w:pStyle w:val="Heading2"/>
              <w:numPr>
                <w:ilvl w:val="0"/>
                <w:numId w:val="0"/>
              </w:numPr>
              <w:spacing w:before="120" w:after="120"/>
            </w:pPr>
            <w:r w:rsidRPr="0043778F">
              <w:t>__________________________________</w:t>
            </w:r>
          </w:p>
        </w:tc>
      </w:tr>
    </w:tbl>
    <w:p w14:paraId="4CDB543B" w14:textId="77777777" w:rsidR="0078648F" w:rsidRDefault="0078648F" w:rsidP="0078648F">
      <w:pPr>
        <w:pStyle w:val="BodyTextIndent"/>
        <w:spacing w:before="120"/>
        <w:ind w:left="0"/>
        <w:jc w:val="both"/>
      </w:pPr>
    </w:p>
    <w:tbl>
      <w:tblPr>
        <w:tblW w:w="8568" w:type="dxa"/>
        <w:tblInd w:w="-64" w:type="dxa"/>
        <w:tblLook w:val="04A0" w:firstRow="1" w:lastRow="0" w:firstColumn="1" w:lastColumn="0" w:noHBand="0" w:noVBand="1"/>
      </w:tblPr>
      <w:tblGrid>
        <w:gridCol w:w="4068"/>
        <w:gridCol w:w="4500"/>
      </w:tblGrid>
      <w:tr w:rsidR="0078648F" w:rsidRPr="007C1396" w14:paraId="198086BC" w14:textId="77777777" w:rsidTr="00160AF5">
        <w:tc>
          <w:tcPr>
            <w:tcW w:w="8568" w:type="dxa"/>
            <w:gridSpan w:val="2"/>
            <w:shd w:val="clear" w:color="auto" w:fill="auto"/>
          </w:tcPr>
          <w:p w14:paraId="153B282A" w14:textId="58764198" w:rsidR="0078648F" w:rsidRPr="007658BC" w:rsidRDefault="00BD6A95" w:rsidP="00160AF5">
            <w:pPr>
              <w:pStyle w:val="Heading2"/>
              <w:numPr>
                <w:ilvl w:val="0"/>
                <w:numId w:val="0"/>
              </w:numPr>
              <w:spacing w:before="120" w:after="120"/>
              <w:rPr>
                <w:b/>
                <w:bCs/>
              </w:rPr>
            </w:pPr>
            <w:r>
              <w:rPr>
                <w:b/>
                <w:bCs/>
              </w:rPr>
              <w:t>PURCHASER</w:t>
            </w:r>
          </w:p>
        </w:tc>
      </w:tr>
      <w:tr w:rsidR="0078648F" w:rsidRPr="007C1396" w14:paraId="1BE6BD59" w14:textId="77777777" w:rsidTr="00160AF5">
        <w:tc>
          <w:tcPr>
            <w:tcW w:w="4068" w:type="dxa"/>
            <w:shd w:val="clear" w:color="auto" w:fill="auto"/>
          </w:tcPr>
          <w:p w14:paraId="72BDABF7" w14:textId="77777777" w:rsidR="0078648F" w:rsidRPr="007C1396" w:rsidRDefault="0078648F" w:rsidP="00160AF5">
            <w:pPr>
              <w:pStyle w:val="Heading2"/>
              <w:numPr>
                <w:ilvl w:val="0"/>
                <w:numId w:val="0"/>
              </w:numPr>
              <w:spacing w:before="120" w:after="120"/>
            </w:pPr>
            <w:r w:rsidRPr="007C1396">
              <w:rPr>
                <w:w w:val="0"/>
              </w:rPr>
              <w:t>By</w:t>
            </w:r>
            <w:r w:rsidRPr="007C1396">
              <w:t>:</w:t>
            </w:r>
          </w:p>
        </w:tc>
        <w:tc>
          <w:tcPr>
            <w:tcW w:w="4500" w:type="dxa"/>
            <w:shd w:val="clear" w:color="auto" w:fill="auto"/>
          </w:tcPr>
          <w:p w14:paraId="717B227B" w14:textId="77777777" w:rsidR="0078648F" w:rsidRPr="007C1396" w:rsidRDefault="0078648F" w:rsidP="00160AF5">
            <w:pPr>
              <w:pStyle w:val="Heading2"/>
              <w:numPr>
                <w:ilvl w:val="0"/>
                <w:numId w:val="0"/>
              </w:numPr>
              <w:spacing w:before="120" w:after="120"/>
            </w:pPr>
            <w:r w:rsidRPr="007C1396">
              <w:t>__________________________________</w:t>
            </w:r>
          </w:p>
        </w:tc>
      </w:tr>
      <w:tr w:rsidR="0078648F" w:rsidRPr="007C1396" w14:paraId="5817AAB2" w14:textId="77777777" w:rsidTr="00160AF5">
        <w:tc>
          <w:tcPr>
            <w:tcW w:w="4068" w:type="dxa"/>
            <w:shd w:val="clear" w:color="auto" w:fill="auto"/>
          </w:tcPr>
          <w:p w14:paraId="7DFAD220" w14:textId="77777777" w:rsidR="0078648F" w:rsidRPr="00DA0554" w:rsidRDefault="0078648F" w:rsidP="00160AF5">
            <w:pPr>
              <w:pStyle w:val="Heading2"/>
              <w:numPr>
                <w:ilvl w:val="0"/>
                <w:numId w:val="0"/>
              </w:numPr>
              <w:spacing w:before="120" w:after="120"/>
              <w:rPr>
                <w:w w:val="0"/>
              </w:rPr>
            </w:pPr>
            <w:r>
              <w:rPr>
                <w:w w:val="0"/>
              </w:rPr>
              <w:t>Date:</w:t>
            </w:r>
          </w:p>
        </w:tc>
        <w:tc>
          <w:tcPr>
            <w:tcW w:w="4500" w:type="dxa"/>
            <w:shd w:val="clear" w:color="auto" w:fill="auto"/>
          </w:tcPr>
          <w:p w14:paraId="1A5C0AD1" w14:textId="77777777" w:rsidR="0078648F" w:rsidRPr="007C1396" w:rsidRDefault="0078648F" w:rsidP="00160AF5">
            <w:pPr>
              <w:pStyle w:val="Heading2"/>
              <w:numPr>
                <w:ilvl w:val="0"/>
                <w:numId w:val="0"/>
              </w:numPr>
              <w:spacing w:before="120" w:after="120"/>
            </w:pPr>
            <w:r w:rsidRPr="007C1396">
              <w:t>__________________________________</w:t>
            </w:r>
          </w:p>
        </w:tc>
      </w:tr>
      <w:tr w:rsidR="00B328BC" w:rsidRPr="007C1396" w14:paraId="686EC188" w14:textId="77777777" w:rsidTr="00160AF5">
        <w:tc>
          <w:tcPr>
            <w:tcW w:w="4068" w:type="dxa"/>
            <w:shd w:val="clear" w:color="auto" w:fill="auto"/>
          </w:tcPr>
          <w:p w14:paraId="1EFC6667" w14:textId="77777777" w:rsidR="00B328BC" w:rsidRPr="007C1396" w:rsidRDefault="00B328BC" w:rsidP="00B328BC">
            <w:pPr>
              <w:pStyle w:val="Heading2"/>
              <w:numPr>
                <w:ilvl w:val="0"/>
                <w:numId w:val="0"/>
              </w:numPr>
              <w:spacing w:before="120" w:after="120"/>
            </w:pPr>
            <w:r w:rsidRPr="007C1396">
              <w:rPr>
                <w:w w:val="0"/>
              </w:rPr>
              <w:t>Name</w:t>
            </w:r>
            <w:r w:rsidRPr="007C1396">
              <w:t>:</w:t>
            </w:r>
          </w:p>
        </w:tc>
        <w:tc>
          <w:tcPr>
            <w:tcW w:w="4500" w:type="dxa"/>
            <w:shd w:val="clear" w:color="auto" w:fill="auto"/>
          </w:tcPr>
          <w:p w14:paraId="53F13AEF" w14:textId="08CD732A" w:rsidR="00B328BC" w:rsidRPr="007C1396" w:rsidRDefault="00B328BC" w:rsidP="00B328BC">
            <w:pPr>
              <w:pStyle w:val="Heading2"/>
              <w:numPr>
                <w:ilvl w:val="0"/>
                <w:numId w:val="0"/>
              </w:numPr>
              <w:spacing w:before="120" w:after="120"/>
            </w:pPr>
            <w:r w:rsidRPr="008D1A7E">
              <w:t>__________________________________</w:t>
            </w:r>
          </w:p>
        </w:tc>
      </w:tr>
      <w:tr w:rsidR="00B328BC" w:rsidRPr="007C1396" w14:paraId="1B1CFF5F" w14:textId="77777777" w:rsidTr="00160AF5">
        <w:tc>
          <w:tcPr>
            <w:tcW w:w="4068" w:type="dxa"/>
            <w:shd w:val="clear" w:color="auto" w:fill="auto"/>
          </w:tcPr>
          <w:p w14:paraId="79C12A36" w14:textId="77777777" w:rsidR="00B328BC" w:rsidRPr="007C1396" w:rsidRDefault="00B328BC" w:rsidP="00B328BC">
            <w:pPr>
              <w:pStyle w:val="Heading2"/>
              <w:numPr>
                <w:ilvl w:val="0"/>
                <w:numId w:val="0"/>
              </w:numPr>
              <w:spacing w:before="120" w:after="120"/>
            </w:pPr>
            <w:r w:rsidRPr="007C1396">
              <w:t>Title:</w:t>
            </w:r>
          </w:p>
        </w:tc>
        <w:tc>
          <w:tcPr>
            <w:tcW w:w="4500" w:type="dxa"/>
            <w:shd w:val="clear" w:color="auto" w:fill="auto"/>
          </w:tcPr>
          <w:p w14:paraId="027D4717" w14:textId="2510E4F5" w:rsidR="00B328BC" w:rsidRPr="007C1396" w:rsidRDefault="00B328BC" w:rsidP="00B328BC">
            <w:pPr>
              <w:pStyle w:val="Heading2"/>
              <w:numPr>
                <w:ilvl w:val="0"/>
                <w:numId w:val="0"/>
              </w:numPr>
              <w:spacing w:before="120" w:after="120"/>
            </w:pPr>
            <w:r w:rsidRPr="008D1A7E">
              <w:t>__________________________________</w:t>
            </w:r>
          </w:p>
        </w:tc>
      </w:tr>
      <w:tr w:rsidR="00B328BC" w:rsidRPr="007C1396" w14:paraId="6898814A" w14:textId="77777777" w:rsidTr="00160AF5">
        <w:tc>
          <w:tcPr>
            <w:tcW w:w="4068" w:type="dxa"/>
            <w:shd w:val="clear" w:color="auto" w:fill="auto"/>
          </w:tcPr>
          <w:p w14:paraId="294ED19D" w14:textId="77777777" w:rsidR="00B328BC" w:rsidRPr="007C1396" w:rsidRDefault="00B328BC" w:rsidP="00B328BC">
            <w:pPr>
              <w:pStyle w:val="Heading2"/>
              <w:numPr>
                <w:ilvl w:val="0"/>
                <w:numId w:val="0"/>
              </w:numPr>
              <w:spacing w:before="120" w:after="120"/>
            </w:pPr>
            <w:r>
              <w:t>Email:</w:t>
            </w:r>
          </w:p>
        </w:tc>
        <w:tc>
          <w:tcPr>
            <w:tcW w:w="4500" w:type="dxa"/>
            <w:shd w:val="clear" w:color="auto" w:fill="auto"/>
          </w:tcPr>
          <w:p w14:paraId="4FCC384B" w14:textId="01D5B5CE" w:rsidR="00B328BC" w:rsidRPr="003E578B" w:rsidRDefault="00B328BC" w:rsidP="00B328BC">
            <w:pPr>
              <w:pStyle w:val="Heading2"/>
              <w:numPr>
                <w:ilvl w:val="0"/>
                <w:numId w:val="0"/>
              </w:numPr>
              <w:spacing w:before="120" w:after="120"/>
            </w:pPr>
            <w:r w:rsidRPr="008D1A7E">
              <w:t>__________________________________</w:t>
            </w:r>
          </w:p>
        </w:tc>
      </w:tr>
      <w:tr w:rsidR="00B328BC" w:rsidRPr="007C1396" w14:paraId="3082B84E" w14:textId="77777777" w:rsidTr="00160AF5">
        <w:tc>
          <w:tcPr>
            <w:tcW w:w="4068" w:type="dxa"/>
            <w:shd w:val="clear" w:color="auto" w:fill="auto"/>
          </w:tcPr>
          <w:p w14:paraId="3DA4F13D" w14:textId="77777777" w:rsidR="00B328BC" w:rsidRPr="007C1396" w:rsidRDefault="00B328BC" w:rsidP="00B328BC">
            <w:pPr>
              <w:pStyle w:val="Heading2"/>
              <w:numPr>
                <w:ilvl w:val="0"/>
                <w:numId w:val="0"/>
              </w:numPr>
              <w:spacing w:before="120" w:after="120"/>
            </w:pPr>
            <w:r>
              <w:t>Address:</w:t>
            </w:r>
          </w:p>
        </w:tc>
        <w:tc>
          <w:tcPr>
            <w:tcW w:w="4500" w:type="dxa"/>
            <w:shd w:val="clear" w:color="auto" w:fill="auto"/>
          </w:tcPr>
          <w:p w14:paraId="7BC78693" w14:textId="3563A5F6" w:rsidR="00B328BC" w:rsidRPr="003E578B" w:rsidRDefault="00B328BC" w:rsidP="00B328BC">
            <w:pPr>
              <w:pStyle w:val="Heading2"/>
              <w:numPr>
                <w:ilvl w:val="0"/>
                <w:numId w:val="0"/>
              </w:numPr>
              <w:spacing w:before="120" w:after="120"/>
            </w:pPr>
            <w:r w:rsidRPr="008D1A7E">
              <w:t>__________________________________</w:t>
            </w:r>
          </w:p>
        </w:tc>
      </w:tr>
    </w:tbl>
    <w:p w14:paraId="21E54867" w14:textId="77777777" w:rsidR="0078648F" w:rsidRDefault="0078648F" w:rsidP="0078648F">
      <w:pPr>
        <w:spacing w:after="160"/>
        <w:jc w:val="center"/>
      </w:pPr>
    </w:p>
    <w:p w14:paraId="74175681" w14:textId="77777777" w:rsidR="0078648F" w:rsidRDefault="0078648F" w:rsidP="0078648F">
      <w:pPr>
        <w:spacing w:after="160"/>
        <w:jc w:val="center"/>
      </w:pPr>
    </w:p>
    <w:p w14:paraId="3E5E90D1" w14:textId="77777777" w:rsidR="0078648F" w:rsidRDefault="0078648F" w:rsidP="0078648F">
      <w:pPr>
        <w:spacing w:after="160"/>
        <w:jc w:val="center"/>
      </w:pPr>
      <w:r>
        <w:t>*</w:t>
      </w:r>
      <w:r>
        <w:tab/>
      </w:r>
      <w:r>
        <w:tab/>
        <w:t>*</w:t>
      </w:r>
      <w:r>
        <w:tab/>
      </w:r>
      <w:r>
        <w:tab/>
        <w:t>*</w:t>
      </w:r>
    </w:p>
    <w:p w14:paraId="01FF7B1E" w14:textId="4A71AC03" w:rsidR="0078648F" w:rsidRPr="0078648F" w:rsidRDefault="0078648F" w:rsidP="0078648F">
      <w:pPr>
        <w:spacing w:after="160"/>
        <w:jc w:val="center"/>
      </w:pPr>
      <w:r>
        <w:br w:type="page"/>
      </w:r>
    </w:p>
    <w:p w14:paraId="5EC079A3" w14:textId="18CAE16C" w:rsidR="0078648F" w:rsidRDefault="00AA1D3D" w:rsidP="0078648F">
      <w:pPr>
        <w:pStyle w:val="Heading1"/>
      </w:pPr>
      <w:r>
        <w:lastRenderedPageBreak/>
        <w:t>DEFINITIONS</w:t>
      </w:r>
    </w:p>
    <w:p w14:paraId="2652F591" w14:textId="77777777" w:rsidR="00AA1D3D" w:rsidRDefault="00E37C93" w:rsidP="00AA1D3D">
      <w:pPr>
        <w:pStyle w:val="Heading2"/>
        <w:numPr>
          <w:ilvl w:val="0"/>
          <w:numId w:val="0"/>
        </w:numPr>
        <w:ind w:left="720"/>
        <w:rPr>
          <w:rFonts w:eastAsia="Arial"/>
        </w:rPr>
      </w:pPr>
      <w:r w:rsidRPr="00E37C93">
        <w:t>“</w:t>
      </w:r>
      <w:r w:rsidRPr="00E37C93">
        <w:rPr>
          <w:b/>
          <w:bCs/>
        </w:rPr>
        <w:t>Affiliate</w:t>
      </w:r>
      <w:r w:rsidRPr="00E37C93">
        <w:t>”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advisers of, or shares the same management company or investment adviser with, such Person, where “control” is defined as directly or indirectly possessing the power to direct or cause the direction of the management and policies of the Affiliate, whether through ownership of voting securities, by contract or otherwise.</w:t>
      </w:r>
    </w:p>
    <w:p w14:paraId="30322345" w14:textId="77777777" w:rsidR="00AA1D3D" w:rsidRDefault="004D6B6C" w:rsidP="00AA1D3D">
      <w:pPr>
        <w:pStyle w:val="Heading2"/>
        <w:numPr>
          <w:ilvl w:val="0"/>
          <w:numId w:val="0"/>
        </w:numPr>
        <w:ind w:left="720"/>
      </w:pPr>
      <w:r>
        <w:t>“</w:t>
      </w:r>
      <w:r w:rsidRPr="007F6216">
        <w:rPr>
          <w:b/>
        </w:rPr>
        <w:t>Claim</w:t>
      </w:r>
      <w:r>
        <w:t>”</w:t>
      </w:r>
      <w:r w:rsidRPr="007F6216">
        <w:t xml:space="preserve"> means private or governmental action, suit, proceeding, claim, arbitration, or investigation before any foreign or domestic agency, court, or tribunal.</w:t>
      </w:r>
    </w:p>
    <w:p w14:paraId="0A794B62" w14:textId="77777777" w:rsidR="00AA1D3D" w:rsidRDefault="004D6B6C" w:rsidP="00AA1D3D">
      <w:pPr>
        <w:pStyle w:val="Heading2"/>
        <w:numPr>
          <w:ilvl w:val="0"/>
          <w:numId w:val="0"/>
        </w:numPr>
        <w:ind w:left="720"/>
        <w:rPr>
          <w:rFonts w:eastAsia="Arial"/>
        </w:rPr>
      </w:pPr>
      <w:r w:rsidRPr="004D6B6C">
        <w:rPr>
          <w:rFonts w:eastAsia="Arial"/>
        </w:rPr>
        <w:t>“</w:t>
      </w:r>
      <w:r w:rsidRPr="004D6B6C">
        <w:rPr>
          <w:rFonts w:eastAsia="Arial"/>
          <w:b/>
          <w:bCs/>
        </w:rPr>
        <w:t>Company Representative</w:t>
      </w:r>
      <w:r w:rsidRPr="004D6B6C">
        <w:rPr>
          <w:rFonts w:eastAsia="Arial"/>
        </w:rPr>
        <w:t>” means Company, any of its Affiliates, or any individuals authorized to act on their behalf.</w:t>
      </w:r>
    </w:p>
    <w:p w14:paraId="31A17065" w14:textId="4A5A6FA1" w:rsidR="004D6B6C" w:rsidRPr="00AA1D3D" w:rsidRDefault="004D6B6C" w:rsidP="00AA1D3D">
      <w:pPr>
        <w:pStyle w:val="Heading2"/>
        <w:numPr>
          <w:ilvl w:val="0"/>
          <w:numId w:val="0"/>
        </w:numPr>
        <w:ind w:left="720"/>
        <w:rPr>
          <w:rFonts w:eastAsia="Arial"/>
        </w:rPr>
      </w:pPr>
      <w:r w:rsidRPr="004E79FF">
        <w:t>“</w:t>
      </w:r>
      <w:r w:rsidRPr="004E79FF">
        <w:rPr>
          <w:b/>
        </w:rPr>
        <w:t>Confidential Information</w:t>
      </w:r>
      <w:r w:rsidRPr="004E79FF">
        <w:t xml:space="preserve">” </w:t>
      </w:r>
      <w:r>
        <w:t>means</w:t>
      </w:r>
      <w:r w:rsidRPr="004E79FF">
        <w:t xml:space="preserve">: </w:t>
      </w:r>
    </w:p>
    <w:p w14:paraId="1D4A913A" w14:textId="77777777" w:rsidR="00AA1D3D" w:rsidRPr="00AA1D3D" w:rsidRDefault="004D6B6C" w:rsidP="00F13D47">
      <w:pPr>
        <w:pStyle w:val="Heading3"/>
      </w:pPr>
      <w:r w:rsidRPr="00AA1D3D">
        <w:t xml:space="preserve">all information designated by either party as confidential and disclosed by one party to the other party; </w:t>
      </w:r>
    </w:p>
    <w:p w14:paraId="30EBFDF1" w14:textId="29BF16FE" w:rsidR="00AA1D3D" w:rsidRDefault="004D6B6C" w:rsidP="00F13D47">
      <w:pPr>
        <w:pStyle w:val="Heading3"/>
      </w:pPr>
      <w:r w:rsidRPr="00AA1D3D">
        <w:t>the terms of this</w:t>
      </w:r>
      <w:r w:rsidR="00F13D47">
        <w:t xml:space="preserve"> SAFT</w:t>
      </w:r>
      <w:r w:rsidRPr="00AA1D3D">
        <w:t xml:space="preserve"> and information exchanged by the parties in the course of performing under this </w:t>
      </w:r>
      <w:r w:rsidR="00F13D47">
        <w:t>SAFT</w:t>
      </w:r>
      <w:r w:rsidRPr="00AA1D3D">
        <w:t>; and</w:t>
      </w:r>
    </w:p>
    <w:p w14:paraId="3B141688" w14:textId="196A530B" w:rsidR="00AA1D3D" w:rsidRDefault="004D6B6C" w:rsidP="00BD1CB0">
      <w:pPr>
        <w:pStyle w:val="Heading3"/>
      </w:pPr>
      <w:r w:rsidRPr="00AA1D3D">
        <w:t>all information relating to trade secrets, markets, marketing plans, business opportunities, research, assets, liabilities, prices, costs, revenues, profits, finances, investors, products, product plans, development efforts, know-how, patents, inventions, algorithms, formulae, programs, user interfaces, designs, schematics, procedures, processes, techniques, methods, strategies, organization, employees, agents, resellers, contracts, customer data, and customer information,</w:t>
      </w:r>
    </w:p>
    <w:p w14:paraId="72150E16" w14:textId="607F2B36" w:rsidR="004D6B6C" w:rsidRPr="00AA1D3D" w:rsidRDefault="004D6B6C" w:rsidP="00BD1CB0">
      <w:pPr>
        <w:ind w:left="720"/>
        <w:jc w:val="both"/>
        <w:rPr>
          <w:lang w:val="en-US"/>
        </w:rPr>
      </w:pPr>
      <w:r w:rsidRPr="00AA1D3D">
        <w:rPr>
          <w:lang w:val="en-US"/>
        </w:rPr>
        <w:t xml:space="preserve">but excluding information that </w:t>
      </w:r>
      <w:r w:rsidR="00F13D47">
        <w:rPr>
          <w:lang w:val="en-US"/>
        </w:rPr>
        <w:t xml:space="preserve">(i) </w:t>
      </w:r>
      <w:r w:rsidRPr="00AA1D3D">
        <w:rPr>
          <w:lang w:val="en-US"/>
        </w:rPr>
        <w:t>is generally available to the public</w:t>
      </w:r>
      <w:r w:rsidR="00F13D47">
        <w:rPr>
          <w:lang w:val="en-US"/>
        </w:rPr>
        <w:t xml:space="preserve">, (ii) </w:t>
      </w:r>
      <w:r w:rsidRPr="00AA1D3D">
        <w:rPr>
          <w:lang w:val="en-US"/>
        </w:rPr>
        <w:t>either party has received from a third party without any obligation of confidentiality</w:t>
      </w:r>
      <w:r w:rsidR="00F13D47">
        <w:rPr>
          <w:lang w:val="en-US"/>
        </w:rPr>
        <w:t>, (iii)</w:t>
      </w:r>
      <w:r w:rsidRPr="00AA1D3D">
        <w:rPr>
          <w:lang w:val="en-US"/>
        </w:rPr>
        <w:t xml:space="preserve"> was in the possession of either party prior to receipt without any related obligation of confidentiality</w:t>
      </w:r>
      <w:r w:rsidR="00F13D47">
        <w:rPr>
          <w:lang w:val="en-US"/>
        </w:rPr>
        <w:t>,</w:t>
      </w:r>
      <w:r w:rsidRPr="00AA1D3D">
        <w:rPr>
          <w:lang w:val="en-US"/>
        </w:rPr>
        <w:t xml:space="preserve"> or </w:t>
      </w:r>
      <w:r w:rsidR="00F13D47">
        <w:rPr>
          <w:lang w:val="en-US"/>
        </w:rPr>
        <w:t xml:space="preserve">(iv) </w:t>
      </w:r>
      <w:r w:rsidRPr="00AA1D3D">
        <w:rPr>
          <w:lang w:val="en-US"/>
        </w:rPr>
        <w:t>either party has independently developed without using material or information received from the other party.</w:t>
      </w:r>
    </w:p>
    <w:p w14:paraId="2C593822" w14:textId="6C3CC8A2" w:rsidR="004D6B6C" w:rsidRPr="00301F78" w:rsidRDefault="004D6B6C" w:rsidP="00BD1CB0">
      <w:pPr>
        <w:pStyle w:val="Heading2"/>
        <w:numPr>
          <w:ilvl w:val="0"/>
          <w:numId w:val="0"/>
        </w:numPr>
        <w:ind w:left="720"/>
      </w:pPr>
      <w:r>
        <w:t>“</w:t>
      </w:r>
      <w:r w:rsidR="0091568D">
        <w:rPr>
          <w:b/>
        </w:rPr>
        <w:t>Initial Token Launch</w:t>
      </w:r>
      <w:r>
        <w:t>”</w:t>
      </w:r>
      <w:r w:rsidRPr="007F6216">
        <w:t xml:space="preserve"> means the date when </w:t>
      </w:r>
      <w:r w:rsidR="0030524D">
        <w:t xml:space="preserve">the </w:t>
      </w:r>
      <w:r w:rsidRPr="007F6216">
        <w:t>Tokens are minted, generated, or created, if ever, and available for issuance. Tokens are deemed available for issuance when the Platform’s development is finished, as Company determines in its sole discretion and announces on the Website.</w:t>
      </w:r>
    </w:p>
    <w:p w14:paraId="23DD8F09" w14:textId="76C9EB67" w:rsidR="00E04495" w:rsidRPr="00E04495" w:rsidRDefault="00E04495" w:rsidP="00E04495">
      <w:pPr>
        <w:ind w:left="720"/>
        <w:rPr>
          <w:lang w:val="en-US"/>
        </w:rPr>
      </w:pPr>
      <w:r>
        <w:rPr>
          <w:lang w:val="en-US"/>
        </w:rPr>
        <w:t>“</w:t>
      </w:r>
      <w:r w:rsidRPr="00E04495">
        <w:rPr>
          <w:b/>
          <w:bCs/>
          <w:lang w:val="en-US"/>
        </w:rPr>
        <w:t>Locked Tokens</w:t>
      </w:r>
      <w:r>
        <w:rPr>
          <w:lang w:val="en-US"/>
        </w:rPr>
        <w:t xml:space="preserve">” has the meaning attached to it in Section </w:t>
      </w:r>
      <w:r>
        <w:rPr>
          <w:lang w:val="en-US"/>
        </w:rPr>
        <w:fldChar w:fldCharType="begin"/>
      </w:r>
      <w:r>
        <w:rPr>
          <w:lang w:val="en-US"/>
        </w:rPr>
        <w:instrText xml:space="preserve"> REF _Ref137474619 \r \h </w:instrText>
      </w:r>
      <w:r>
        <w:rPr>
          <w:lang w:val="en-US"/>
        </w:rPr>
      </w:r>
      <w:r>
        <w:rPr>
          <w:lang w:val="en-US"/>
        </w:rPr>
        <w:fldChar w:fldCharType="separate"/>
      </w:r>
      <w:r>
        <w:rPr>
          <w:lang w:val="en-US"/>
        </w:rPr>
        <w:t>5.2</w:t>
      </w:r>
      <w:r>
        <w:rPr>
          <w:lang w:val="en-US"/>
        </w:rPr>
        <w:fldChar w:fldCharType="end"/>
      </w:r>
      <w:r>
        <w:rPr>
          <w:lang w:val="en-US"/>
        </w:rPr>
        <w:t>.</w:t>
      </w:r>
    </w:p>
    <w:p w14:paraId="75CB2F37" w14:textId="77777777" w:rsidR="004D6B6C" w:rsidRDefault="004D6B6C" w:rsidP="00BD1CB0">
      <w:pPr>
        <w:pStyle w:val="Heading2"/>
        <w:numPr>
          <w:ilvl w:val="0"/>
          <w:numId w:val="0"/>
        </w:numPr>
        <w:ind w:left="720"/>
      </w:pPr>
      <w:r>
        <w:t>“</w:t>
      </w:r>
      <w:r w:rsidRPr="007F6216">
        <w:rPr>
          <w:b/>
        </w:rPr>
        <w:t>Payment Date</w:t>
      </w:r>
      <w:r>
        <w:t>”</w:t>
      </w:r>
      <w:r w:rsidRPr="007F6216">
        <w:t xml:space="preserve"> means the date on or about the Effective Date on which </w:t>
      </w:r>
      <w:r>
        <w:t>Purchaser</w:t>
      </w:r>
      <w:r w:rsidRPr="007F6216">
        <w:t xml:space="preserve"> transfers the Purchase Amount to Company.</w:t>
      </w:r>
    </w:p>
    <w:p w14:paraId="0EDF3A09" w14:textId="77777777" w:rsidR="004D6B6C" w:rsidRPr="004D6B6C" w:rsidRDefault="004D6B6C" w:rsidP="00BD1CB0">
      <w:pPr>
        <w:ind w:left="720"/>
        <w:jc w:val="both"/>
        <w:rPr>
          <w:rFonts w:eastAsia="Arial"/>
          <w:lang w:val="en-US"/>
        </w:rPr>
      </w:pPr>
      <w:r w:rsidRPr="004D6B6C">
        <w:rPr>
          <w:rFonts w:eastAsia="Arial"/>
          <w:bCs/>
          <w:lang w:val="en-US"/>
        </w:rPr>
        <w:lastRenderedPageBreak/>
        <w:t>“</w:t>
      </w:r>
      <w:r w:rsidRPr="004D6B6C">
        <w:rPr>
          <w:rFonts w:eastAsia="Arial"/>
          <w:b/>
          <w:lang w:val="en-US"/>
        </w:rPr>
        <w:t>Person</w:t>
      </w:r>
      <w:r w:rsidRPr="004D6B6C">
        <w:rPr>
          <w:rFonts w:eastAsia="Arial"/>
          <w:bCs/>
          <w:lang w:val="en-US"/>
        </w:rPr>
        <w:t>”</w:t>
      </w:r>
      <w:r w:rsidRPr="004D6B6C">
        <w:rPr>
          <w:rFonts w:eastAsia="Arial"/>
          <w:lang w:val="en-US"/>
        </w:rPr>
        <w:t xml:space="preserve"> means an individual, legal entity, or governmental authority.</w:t>
      </w:r>
    </w:p>
    <w:p w14:paraId="24C211DC" w14:textId="40D4854D" w:rsidR="004D6B6C" w:rsidRPr="00027F15" w:rsidRDefault="004D6B6C" w:rsidP="00BD1CB0">
      <w:pPr>
        <w:pStyle w:val="Heading2"/>
        <w:numPr>
          <w:ilvl w:val="0"/>
          <w:numId w:val="0"/>
        </w:numPr>
        <w:ind w:left="720"/>
      </w:pPr>
      <w:r>
        <w:t>“</w:t>
      </w:r>
      <w:r w:rsidRPr="007F6216">
        <w:rPr>
          <w:b/>
        </w:rPr>
        <w:t>Platform</w:t>
      </w:r>
      <w:r>
        <w:t>”</w:t>
      </w:r>
      <w:r w:rsidRPr="007F6216">
        <w:t xml:space="preserve"> means </w:t>
      </w:r>
      <w:r w:rsidRPr="000E047F">
        <w:t>[</w:t>
      </w:r>
      <w:r w:rsidRPr="007F6216">
        <w:rPr>
          <w:highlight w:val="yellow"/>
        </w:rPr>
        <w:t>NAME</w:t>
      </w:r>
      <w:r w:rsidRPr="000E047F">
        <w:t>]</w:t>
      </w:r>
      <w:r w:rsidRPr="007F6216">
        <w:t xml:space="preserve"> </w:t>
      </w:r>
      <w:r w:rsidR="00C54F30">
        <w:t xml:space="preserve">platform </w:t>
      </w:r>
      <w:r w:rsidRPr="007F6216">
        <w:t>developed by Company or its Affiliates.</w:t>
      </w:r>
    </w:p>
    <w:p w14:paraId="4433ED4D" w14:textId="77777777" w:rsidR="004D6B6C" w:rsidRDefault="004D6B6C" w:rsidP="00BD1CB0">
      <w:pPr>
        <w:pStyle w:val="Heading2"/>
        <w:numPr>
          <w:ilvl w:val="0"/>
          <w:numId w:val="0"/>
        </w:numPr>
        <w:ind w:left="720"/>
      </w:pPr>
      <w:r>
        <w:t>“</w:t>
      </w:r>
      <w:r w:rsidRPr="007F6216">
        <w:rPr>
          <w:b/>
        </w:rPr>
        <w:t>Securities Act</w:t>
      </w:r>
      <w:r>
        <w:t>”</w:t>
      </w:r>
      <w:r w:rsidRPr="007F6216">
        <w:t xml:space="preserve"> means </w:t>
      </w:r>
      <w:r w:rsidRPr="007F6216">
        <w:rPr>
          <w:rFonts w:eastAsia="Roboto"/>
        </w:rPr>
        <w:t xml:space="preserve">the </w:t>
      </w:r>
      <w:r w:rsidRPr="007F6216">
        <w:t>U.S. Securities Act of 1933, as amended.</w:t>
      </w:r>
    </w:p>
    <w:p w14:paraId="2404027A" w14:textId="1D5627DB" w:rsidR="00C54F30" w:rsidRPr="00C54F30" w:rsidRDefault="00C54F30" w:rsidP="00BD1CB0">
      <w:pPr>
        <w:pStyle w:val="Heading2"/>
        <w:numPr>
          <w:ilvl w:val="0"/>
          <w:numId w:val="0"/>
        </w:numPr>
        <w:ind w:left="720"/>
      </w:pPr>
      <w:r>
        <w:rPr>
          <w:b/>
        </w:rPr>
        <w:t>“</w:t>
      </w:r>
      <w:r w:rsidRPr="007F6216">
        <w:rPr>
          <w:b/>
        </w:rPr>
        <w:t>Token</w:t>
      </w:r>
      <w:r>
        <w:rPr>
          <w:b/>
        </w:rPr>
        <w:t xml:space="preserve">” </w:t>
      </w:r>
      <w:r w:rsidRPr="00C54F30">
        <w:rPr>
          <w:bCs/>
        </w:rPr>
        <w:t>means</w:t>
      </w:r>
      <w:r>
        <w:rPr>
          <w:bCs/>
        </w:rPr>
        <w:t xml:space="preserve"> [</w:t>
      </w:r>
      <w:r w:rsidRPr="00C54F30">
        <w:rPr>
          <w:bCs/>
          <w:highlight w:val="yellow"/>
        </w:rPr>
        <w:t>NAME</w:t>
      </w:r>
      <w:r>
        <w:rPr>
          <w:bCs/>
        </w:rPr>
        <w:t xml:space="preserve">] token, a unit of value </w:t>
      </w:r>
      <w:r w:rsidRPr="007F6216">
        <w:t xml:space="preserve">on the </w:t>
      </w:r>
      <w:r w:rsidRPr="00B52799">
        <w:t>[</w:t>
      </w:r>
      <w:r w:rsidRPr="007F6216">
        <w:rPr>
          <w:highlight w:val="yellow"/>
        </w:rPr>
        <w:t>Ethereum</w:t>
      </w:r>
      <w:r w:rsidRPr="00B52799">
        <w:t>]</w:t>
      </w:r>
      <w:r w:rsidRPr="007F6216">
        <w:t xml:space="preserve"> blockchain</w:t>
      </w:r>
      <w:r w:rsidRPr="00C54F30">
        <w:t xml:space="preserve"> </w:t>
      </w:r>
      <w:r w:rsidRPr="007F6216">
        <w:t>issued by Company</w:t>
      </w:r>
      <w:r w:rsidR="001B70D1">
        <w:t xml:space="preserve"> or its Affiliate</w:t>
      </w:r>
      <w:r w:rsidRPr="007F6216">
        <w:t>.</w:t>
      </w:r>
    </w:p>
    <w:p w14:paraId="17238EA6" w14:textId="77777777" w:rsidR="004D6B6C" w:rsidRPr="007F6216" w:rsidRDefault="004D6B6C" w:rsidP="00BD1CB0">
      <w:pPr>
        <w:pStyle w:val="Heading2"/>
        <w:numPr>
          <w:ilvl w:val="0"/>
          <w:numId w:val="0"/>
        </w:numPr>
        <w:ind w:left="720"/>
      </w:pPr>
      <w:r>
        <w:t>“</w:t>
      </w:r>
      <w:r w:rsidRPr="007F6216">
        <w:rPr>
          <w:b/>
        </w:rPr>
        <w:t>Token Documentation</w:t>
      </w:r>
      <w:r>
        <w:t>”</w:t>
      </w:r>
      <w:r w:rsidRPr="007F6216">
        <w:t xml:space="preserve"> means the information and materials on the functionality of the Platform and Token available on the Website.</w:t>
      </w:r>
    </w:p>
    <w:p w14:paraId="687D8E29" w14:textId="7705BB29" w:rsidR="004D6B6C" w:rsidRPr="004D6B6C" w:rsidRDefault="00DD6F40" w:rsidP="00BD1CB0">
      <w:pPr>
        <w:ind w:left="720"/>
        <w:jc w:val="both"/>
        <w:rPr>
          <w:rFonts w:eastAsia="Arial"/>
          <w:lang w:val="en-US"/>
        </w:rPr>
      </w:pPr>
      <w:r>
        <w:rPr>
          <w:rFonts w:eastAsia="Arial"/>
          <w:bCs/>
          <w:lang w:val="en-US"/>
        </w:rPr>
        <w:t>“</w:t>
      </w:r>
      <w:r w:rsidRPr="00DD6F40">
        <w:rPr>
          <w:rFonts w:eastAsia="Arial"/>
          <w:b/>
          <w:lang w:val="en-US"/>
        </w:rPr>
        <w:t>$</w:t>
      </w:r>
      <w:r>
        <w:rPr>
          <w:rFonts w:eastAsia="Arial"/>
          <w:bCs/>
          <w:lang w:val="en-US"/>
        </w:rPr>
        <w:t xml:space="preserve">” or </w:t>
      </w:r>
      <w:r w:rsidR="004D6B6C" w:rsidRPr="004D6B6C">
        <w:rPr>
          <w:rFonts w:eastAsia="Arial"/>
          <w:bCs/>
          <w:lang w:val="en-US"/>
        </w:rPr>
        <w:t>“</w:t>
      </w:r>
      <w:r w:rsidR="004D6B6C" w:rsidRPr="004D6B6C">
        <w:rPr>
          <w:rFonts w:eastAsia="Arial"/>
          <w:b/>
          <w:lang w:val="en-US"/>
        </w:rPr>
        <w:t>USD</w:t>
      </w:r>
      <w:r w:rsidR="004D6B6C" w:rsidRPr="004D6B6C">
        <w:rPr>
          <w:rFonts w:eastAsia="Arial"/>
          <w:bCs/>
          <w:lang w:val="en-US"/>
        </w:rPr>
        <w:t>”</w:t>
      </w:r>
      <w:r w:rsidR="004D6B6C" w:rsidRPr="004D6B6C">
        <w:rPr>
          <w:rFonts w:eastAsia="Arial"/>
          <w:lang w:val="en-US"/>
        </w:rPr>
        <w:t xml:space="preserve"> means the U.S. dollar, the </w:t>
      </w:r>
      <w:r>
        <w:rPr>
          <w:rFonts w:eastAsia="Arial"/>
          <w:lang w:val="en-US"/>
        </w:rPr>
        <w:t xml:space="preserve">official </w:t>
      </w:r>
      <w:r w:rsidR="004D6B6C" w:rsidRPr="004D6B6C">
        <w:rPr>
          <w:rFonts w:eastAsia="Arial"/>
          <w:lang w:val="en-US"/>
        </w:rPr>
        <w:t>currency of the United States of America.</w:t>
      </w:r>
    </w:p>
    <w:p w14:paraId="33C3BBEC" w14:textId="5B7A200C" w:rsidR="004D6B6C" w:rsidRPr="007F6216" w:rsidRDefault="004D6B6C" w:rsidP="00BD1CB0">
      <w:pPr>
        <w:pStyle w:val="Heading2"/>
        <w:numPr>
          <w:ilvl w:val="0"/>
          <w:numId w:val="0"/>
        </w:numPr>
        <w:ind w:left="720"/>
      </w:pPr>
      <w:r>
        <w:t>“</w:t>
      </w:r>
      <w:r w:rsidRPr="007F6216">
        <w:rPr>
          <w:b/>
        </w:rPr>
        <w:t>Website</w:t>
      </w:r>
      <w:r>
        <w:t>”</w:t>
      </w:r>
      <w:r w:rsidRPr="007F6216">
        <w:t xml:space="preserve"> means the website available at</w:t>
      </w:r>
      <w:r w:rsidR="00FC6050">
        <w:t xml:space="preserve"> [</w:t>
      </w:r>
      <w:r w:rsidR="00FC6050" w:rsidRPr="00FC6050">
        <w:rPr>
          <w:highlight w:val="yellow"/>
        </w:rPr>
        <w:t>URL</w:t>
      </w:r>
      <w:r w:rsidR="00FC6050">
        <w:t>]</w:t>
      </w:r>
      <w:r w:rsidRPr="007F6216">
        <w:t>.</w:t>
      </w:r>
    </w:p>
    <w:p w14:paraId="770D1E54" w14:textId="4467E6B3" w:rsidR="004D6B6C" w:rsidRPr="004D6B6C" w:rsidRDefault="004D6B6C" w:rsidP="00BD1CB0">
      <w:pPr>
        <w:ind w:left="720"/>
        <w:jc w:val="both"/>
        <w:rPr>
          <w:lang w:val="en-US"/>
        </w:rPr>
      </w:pPr>
      <w:r w:rsidRPr="004D6B6C">
        <w:rPr>
          <w:lang w:val="en-US"/>
        </w:rPr>
        <w:t>“</w:t>
      </w:r>
      <w:r w:rsidRPr="004D6B6C">
        <w:rPr>
          <w:b/>
          <w:bCs/>
          <w:lang w:val="en-US"/>
        </w:rPr>
        <w:t>Wallet Address</w:t>
      </w:r>
      <w:r w:rsidRPr="004D6B6C">
        <w:rPr>
          <w:lang w:val="en-US"/>
        </w:rPr>
        <w:t xml:space="preserve">” means the blockchain address of a digital wallet belonging to Purchaser or </w:t>
      </w:r>
      <w:r w:rsidR="002B615A">
        <w:rPr>
          <w:lang w:val="en-US"/>
        </w:rPr>
        <w:t>Company</w:t>
      </w:r>
      <w:r w:rsidRPr="004D6B6C">
        <w:rPr>
          <w:lang w:val="en-US"/>
        </w:rPr>
        <w:t xml:space="preserve"> </w:t>
      </w:r>
      <w:r w:rsidR="00923F82">
        <w:rPr>
          <w:lang w:val="en-US"/>
        </w:rPr>
        <w:t>as set forth in the Key Terms</w:t>
      </w:r>
      <w:r w:rsidR="00EE07DA">
        <w:rPr>
          <w:lang w:val="en-US"/>
        </w:rPr>
        <w:t xml:space="preserve"> </w:t>
      </w:r>
      <w:r w:rsidRPr="004D6B6C">
        <w:rPr>
          <w:lang w:val="en-US"/>
        </w:rPr>
        <w:t>respectively.</w:t>
      </w:r>
    </w:p>
    <w:p w14:paraId="27883A98" w14:textId="1A423C38" w:rsidR="004D6B6C" w:rsidRPr="007F6216" w:rsidRDefault="004D6B6C" w:rsidP="00B82D38">
      <w:pPr>
        <w:pStyle w:val="Heading1"/>
        <w:rPr>
          <w:rFonts w:eastAsia="Arial"/>
        </w:rPr>
      </w:pPr>
      <w:r w:rsidRPr="007F6216">
        <w:t>PURCHASE AND SALE OF TOKENS</w:t>
      </w:r>
    </w:p>
    <w:p w14:paraId="77699B90" w14:textId="4BAEE798" w:rsidR="004D6B6C" w:rsidRPr="007F6216" w:rsidRDefault="004D6B6C" w:rsidP="004D6B6C">
      <w:pPr>
        <w:pStyle w:val="Heading2"/>
      </w:pPr>
      <w:bookmarkStart w:id="0" w:name="_Ref63098197"/>
      <w:r w:rsidRPr="007F6216">
        <w:t xml:space="preserve">On </w:t>
      </w:r>
      <w:r w:rsidR="00B13830">
        <w:t xml:space="preserve">or before </w:t>
      </w:r>
      <w:r w:rsidRPr="007F6216">
        <w:t xml:space="preserve">the Payment Date, </w:t>
      </w:r>
      <w:r w:rsidR="00BA6735">
        <w:t xml:space="preserve">Purchaser </w:t>
      </w:r>
      <w:bookmarkEnd w:id="0"/>
      <w:r w:rsidRPr="007F6216">
        <w:t xml:space="preserve">will transfer the Purchase Amount </w:t>
      </w:r>
      <w:r w:rsidR="00B13CCA">
        <w:t xml:space="preserve">in the agreed Payment Currency to </w:t>
      </w:r>
      <w:r w:rsidR="00301F78">
        <w:t>Company</w:t>
      </w:r>
      <w:r w:rsidR="00B13CCA">
        <w:t xml:space="preserve"> </w:t>
      </w:r>
      <w:r w:rsidR="002B615A">
        <w:t xml:space="preserve">by wire transfer of funds to </w:t>
      </w:r>
      <w:r w:rsidR="00301F78">
        <w:t>Company</w:t>
      </w:r>
      <w:r w:rsidR="00B722FA">
        <w:t>’s bank account</w:t>
      </w:r>
      <w:r w:rsidR="002B615A">
        <w:t xml:space="preserve">, </w:t>
      </w:r>
      <w:r w:rsidR="00FD3ACE">
        <w:t xml:space="preserve">by </w:t>
      </w:r>
      <w:r w:rsidR="002B615A">
        <w:t xml:space="preserve">transfer </w:t>
      </w:r>
      <w:r w:rsidR="00B722FA">
        <w:t xml:space="preserve">of </w:t>
      </w:r>
      <w:r w:rsidR="00561DBC">
        <w:t xml:space="preserve">cryptocurrencies </w:t>
      </w:r>
      <w:r w:rsidR="002B615A">
        <w:t>to</w:t>
      </w:r>
      <w:r w:rsidR="002B615A" w:rsidRPr="002B615A">
        <w:t xml:space="preserve"> </w:t>
      </w:r>
      <w:r w:rsidR="002B615A" w:rsidRPr="007F6216">
        <w:t xml:space="preserve">Company’s </w:t>
      </w:r>
      <w:r w:rsidR="002B615A">
        <w:t xml:space="preserve">Wallet, or </w:t>
      </w:r>
      <w:r w:rsidR="00FD3ACE">
        <w:t xml:space="preserve">by </w:t>
      </w:r>
      <w:r w:rsidR="00C54F30">
        <w:t>any</w:t>
      </w:r>
      <w:r w:rsidR="002B615A">
        <w:t xml:space="preserve"> other </w:t>
      </w:r>
      <w:r w:rsidR="008E660D">
        <w:t xml:space="preserve">means </w:t>
      </w:r>
      <w:r w:rsidR="002B615A">
        <w:t>agreed</w:t>
      </w:r>
      <w:r w:rsidR="00C54F30">
        <w:t xml:space="preserve"> upon</w:t>
      </w:r>
      <w:r w:rsidR="002B615A">
        <w:t xml:space="preserve"> by the parties in writing.</w:t>
      </w:r>
      <w:r w:rsidR="00AB2A41">
        <w:t xml:space="preserve"> If the agreed Payment Currency is other than USD, Purchaser will transfer the Purchase Amount in the agreed Payment Currency at then effective exchange rate.</w:t>
      </w:r>
    </w:p>
    <w:p w14:paraId="73111E04" w14:textId="7E8160ED" w:rsidR="004D6B6C" w:rsidRPr="002B615A" w:rsidRDefault="004D6B6C" w:rsidP="002B615A">
      <w:pPr>
        <w:pStyle w:val="Heading2"/>
        <w:spacing w:before="240"/>
      </w:pPr>
      <w:r w:rsidRPr="007F6216">
        <w:t xml:space="preserve">On or before the </w:t>
      </w:r>
      <w:r w:rsidR="0091568D">
        <w:t>Initial Token Launch</w:t>
      </w:r>
      <w:r w:rsidRPr="007F6216">
        <w:t xml:space="preserve"> and subject to the receipt by Company of the Purchase Amount, Company will transfer </w:t>
      </w:r>
      <w:r w:rsidR="003D7F32">
        <w:t xml:space="preserve">the </w:t>
      </w:r>
      <w:r>
        <w:t>Purchaser</w:t>
      </w:r>
      <w:r w:rsidRPr="007F6216">
        <w:t xml:space="preserve">’s Tokens to </w:t>
      </w:r>
      <w:r w:rsidR="003D7F32">
        <w:t xml:space="preserve">the </w:t>
      </w:r>
      <w:r>
        <w:t>Purchaser</w:t>
      </w:r>
      <w:r w:rsidRPr="007F6216">
        <w:t xml:space="preserve">’s </w:t>
      </w:r>
      <w:r>
        <w:t>Wallet</w:t>
      </w:r>
      <w:r w:rsidRPr="007F6216">
        <w:t>.</w:t>
      </w:r>
    </w:p>
    <w:p w14:paraId="21E289F9" w14:textId="1E487218" w:rsidR="004D6B6C" w:rsidRDefault="004D6B6C" w:rsidP="00B82D38">
      <w:pPr>
        <w:pStyle w:val="Heading1"/>
      </w:pPr>
      <w:r w:rsidRPr="007F6216">
        <w:t>COMPANY’S RIGHTS</w:t>
      </w:r>
    </w:p>
    <w:p w14:paraId="42B93499" w14:textId="77777777" w:rsidR="00457B30" w:rsidRDefault="00F3266A" w:rsidP="00457B30">
      <w:pPr>
        <w:pStyle w:val="Heading2"/>
      </w:pPr>
      <w:r w:rsidRPr="00AB60B4">
        <w:rPr>
          <w:b/>
          <w:bCs/>
        </w:rPr>
        <w:t>Platform Completion</w:t>
      </w:r>
      <w:r>
        <w:t xml:space="preserve">. </w:t>
      </w:r>
      <w:r w:rsidRPr="007F6216">
        <w:t xml:space="preserve">Company </w:t>
      </w:r>
      <w:r>
        <w:t xml:space="preserve">will use reasonable efforts to </w:t>
      </w:r>
      <w:r w:rsidRPr="007F6216">
        <w:t xml:space="preserve">complete the development of the Platform as described in the Token Documentation and to ensure that the Platform remains operational. However, if there are newly identified legal risks that restrict or </w:t>
      </w:r>
      <w:r w:rsidRPr="00B82D38">
        <w:t>prohibit the development of the Platform or the operations of Company or its Affiliates, Company may suspend or terminate the development of the Platform.</w:t>
      </w:r>
    </w:p>
    <w:p w14:paraId="56403E05" w14:textId="37B8B242" w:rsidR="00457B30" w:rsidRPr="00457B30" w:rsidRDefault="00457B30" w:rsidP="00457B30">
      <w:pPr>
        <w:pStyle w:val="Heading2"/>
      </w:pPr>
      <w:r w:rsidRPr="00457B30">
        <w:rPr>
          <w:b/>
          <w:bCs/>
        </w:rPr>
        <w:t>Token Sale Suspension</w:t>
      </w:r>
      <w:r>
        <w:t xml:space="preserve">. </w:t>
      </w:r>
      <w:r w:rsidRPr="00B82D38">
        <w:t xml:space="preserve">At any time during the sale of </w:t>
      </w:r>
      <w:r>
        <w:t xml:space="preserve">the </w:t>
      </w:r>
      <w:r w:rsidRPr="00B82D38">
        <w:t xml:space="preserve">Tokens, Company may temporarily suspend </w:t>
      </w:r>
      <w:r>
        <w:t xml:space="preserve">or cancel </w:t>
      </w:r>
      <w:r w:rsidRPr="00B82D38">
        <w:t>the sale in its sole discretion.</w:t>
      </w:r>
    </w:p>
    <w:p w14:paraId="4DAFD6A8" w14:textId="40DADE07" w:rsidR="00B82D38" w:rsidRPr="00B82D38" w:rsidRDefault="00402AFB" w:rsidP="00B82D38">
      <w:pPr>
        <w:pStyle w:val="Heading2"/>
        <w:rPr>
          <w:b/>
          <w:bCs/>
        </w:rPr>
      </w:pPr>
      <w:r w:rsidRPr="00402AFB">
        <w:rPr>
          <w:b/>
          <w:bCs/>
        </w:rPr>
        <w:t>Blockchain Migration</w:t>
      </w:r>
      <w:r>
        <w:t xml:space="preserve">. </w:t>
      </w:r>
      <w:r w:rsidR="004D6B6C" w:rsidRPr="004D6B6C">
        <w:t xml:space="preserve">Company may exchange, fork, hard-spoon, or otherwise migrate all the Tokens generated in connection with the token distribution to another smart contract, </w:t>
      </w:r>
      <w:r w:rsidR="004D6B6C" w:rsidRPr="00B82D38">
        <w:t>whether</w:t>
      </w:r>
      <w:r w:rsidR="004D6B6C" w:rsidRPr="004D6B6C">
        <w:t xml:space="preserve"> on the same or a different blockchain network protocol. Company may also replace the Tokens with another digital token if Company determines, in its sole discretion, that doing so is necessary or useful for the operation of the Platform, legal compliance reasons, or to achieve technical and operational efficiencies. If Company decides to exchange or migrate the Tokens or the existing chain state, Company may no longer provide support for the Tokens relating to the </w:t>
      </w:r>
      <w:r w:rsidR="004D6B6C" w:rsidRPr="004D6B6C">
        <w:lastRenderedPageBreak/>
        <w:t>Platform, its services, or any other operational matters, except with respect to the exchange, migration, or replacement process.</w:t>
      </w:r>
      <w:r w:rsidR="00B82D38">
        <w:t xml:space="preserve"> </w:t>
      </w:r>
    </w:p>
    <w:p w14:paraId="312F72C9" w14:textId="37355F9A" w:rsidR="00B82D38" w:rsidRPr="00B82D38" w:rsidRDefault="00AB60B4" w:rsidP="00B82D38">
      <w:pPr>
        <w:pStyle w:val="Heading2"/>
      </w:pPr>
      <w:r w:rsidRPr="00AB60B4">
        <w:rPr>
          <w:b/>
          <w:bCs/>
        </w:rPr>
        <w:t>Token Documentation Updates</w:t>
      </w:r>
      <w:r>
        <w:t xml:space="preserve">. </w:t>
      </w:r>
      <w:r w:rsidR="00B82D38" w:rsidRPr="00B82D38">
        <w:t xml:space="preserve">Company may update the Token Documentation from time to time. Once the updated Token Documentation is published on the Website, Purchaser will be deemed to have read and accepted it. </w:t>
      </w:r>
    </w:p>
    <w:p w14:paraId="10FC627E" w14:textId="44B204BC" w:rsidR="00B82D38" w:rsidRPr="00B82D38" w:rsidRDefault="00AB60B4" w:rsidP="009E3353">
      <w:pPr>
        <w:pStyle w:val="Heading2"/>
      </w:pPr>
      <w:r w:rsidRPr="00AB60B4">
        <w:rPr>
          <w:b/>
          <w:bCs/>
        </w:rPr>
        <w:t>Collection of Information</w:t>
      </w:r>
      <w:r>
        <w:t xml:space="preserve">. </w:t>
      </w:r>
      <w:r w:rsidR="009E3353">
        <w:t xml:space="preserve">Company may require Purchaser to provide Purchaser’s personal information, including full legal name, address, and Purchaser’s Wallet Address details, and Purchaser warrants that any information Purchaser provides in response to such request will be true and correct. If Purchaser does not provide the requested information, Company will be unable to deliver Purchaser’s Tokens to Purchaser’s Wallet Address. </w:t>
      </w:r>
      <w:r w:rsidR="00B82D38" w:rsidRPr="00B82D38">
        <w:t>Company may use, collect, or disclose Purchaser’s personal information that is necessary to verify Purchaser’s identity, deliver products and services to Purchaser, analyze Purchaser’s preferences, and any other purposes as set out in Company’s privacy policy on its Website.</w:t>
      </w:r>
      <w:r w:rsidR="009E3353">
        <w:t xml:space="preserve"> </w:t>
      </w:r>
      <w:r w:rsidR="006E18AE">
        <w:t xml:space="preserve">Company has no duty to notify Purchaser of the outcome of any of Company’s customer identification procedures, due diligence, or anti-money-laundering checks or to provide reasons for the unsatisfactory results of these checks. </w:t>
      </w:r>
    </w:p>
    <w:p w14:paraId="498679DC" w14:textId="7525F873" w:rsidR="00B82D38" w:rsidRDefault="00B82D38" w:rsidP="00B82D38">
      <w:pPr>
        <w:pStyle w:val="Heading1"/>
      </w:pPr>
      <w:bookmarkStart w:id="1" w:name="_Ref137476805"/>
      <w:r w:rsidRPr="00B82D38">
        <w:t>CANCELLATION; REFUSAL OF PURCHASE REQUESTS; REFUNDS</w:t>
      </w:r>
      <w:bookmarkEnd w:id="1"/>
    </w:p>
    <w:p w14:paraId="2215E314" w14:textId="123C8919" w:rsidR="00053F32" w:rsidRDefault="00F3266A" w:rsidP="00053F32">
      <w:pPr>
        <w:pStyle w:val="Heading2"/>
      </w:pPr>
      <w:r>
        <w:rPr>
          <w:b/>
          <w:bCs/>
        </w:rPr>
        <w:t>General</w:t>
      </w:r>
      <w:r w:rsidR="0058494C">
        <w:t xml:space="preserve">. </w:t>
      </w:r>
      <w:r w:rsidR="00231A7A">
        <w:t xml:space="preserve">The </w:t>
      </w:r>
      <w:r w:rsidR="00B82D38" w:rsidRPr="007F6216">
        <w:t xml:space="preserve">purchase of </w:t>
      </w:r>
      <w:r>
        <w:t xml:space="preserve">the </w:t>
      </w:r>
      <w:r w:rsidR="00B82D38" w:rsidRPr="007F6216">
        <w:t xml:space="preserve">Tokens from Company is final, and </w:t>
      </w:r>
      <w:r>
        <w:t xml:space="preserve">Purchaser </w:t>
      </w:r>
      <w:r w:rsidRPr="00B82D38">
        <w:t xml:space="preserve">waives any rights to </w:t>
      </w:r>
      <w:r>
        <w:t xml:space="preserve">cancel the purchase or demand the </w:t>
      </w:r>
      <w:r w:rsidRPr="00B82D38">
        <w:t xml:space="preserve">refund of any amounts paid for </w:t>
      </w:r>
      <w:r w:rsidR="00742990">
        <w:t xml:space="preserve">the </w:t>
      </w:r>
      <w:r w:rsidRPr="00B82D38">
        <w:t>Purchaser’s Tokens</w:t>
      </w:r>
      <w:r>
        <w:t xml:space="preserve"> </w:t>
      </w:r>
      <w:r w:rsidR="00B82D38" w:rsidRPr="007F6216">
        <w:t xml:space="preserve">except as </w:t>
      </w:r>
      <w:r w:rsidR="00E15261">
        <w:t xml:space="preserve">(a) </w:t>
      </w:r>
      <w:r w:rsidR="00B82D38" w:rsidRPr="007F6216">
        <w:t xml:space="preserve">may be required by </w:t>
      </w:r>
      <w:r>
        <w:t xml:space="preserve">the </w:t>
      </w:r>
      <w:r w:rsidR="00B82D38" w:rsidRPr="00B82D38">
        <w:t xml:space="preserve">applicable law or </w:t>
      </w:r>
      <w:r w:rsidR="00E15261">
        <w:t xml:space="preserve">(b) </w:t>
      </w:r>
      <w:r w:rsidR="00231A7A">
        <w:t xml:space="preserve">explicitly </w:t>
      </w:r>
      <w:r w:rsidR="00B82D38" w:rsidRPr="00B82D38">
        <w:t xml:space="preserve">provided </w:t>
      </w:r>
      <w:r w:rsidR="00E15261">
        <w:t xml:space="preserve">for </w:t>
      </w:r>
      <w:r w:rsidR="00B82D38" w:rsidRPr="00B82D38">
        <w:t xml:space="preserve">in this </w:t>
      </w:r>
      <w:r w:rsidR="009B5ADF">
        <w:t>SAFT</w:t>
      </w:r>
      <w:r w:rsidR="00B82D38" w:rsidRPr="00B82D38">
        <w:t>.</w:t>
      </w:r>
      <w:bookmarkStart w:id="2" w:name="_Ref95136597"/>
    </w:p>
    <w:p w14:paraId="513B371F" w14:textId="25B95B45" w:rsidR="00053F32" w:rsidRDefault="00E15261" w:rsidP="00053F32">
      <w:pPr>
        <w:pStyle w:val="Heading2"/>
      </w:pPr>
      <w:r w:rsidRPr="00E15261">
        <w:rPr>
          <w:b/>
          <w:bCs/>
        </w:rPr>
        <w:t>Cancellation by Purchaser</w:t>
      </w:r>
      <w:r>
        <w:t xml:space="preserve">. </w:t>
      </w:r>
      <w:r w:rsidR="00053F32">
        <w:t xml:space="preserve">Purchaser may cancel its purchase of </w:t>
      </w:r>
      <w:r w:rsidR="00742990">
        <w:t xml:space="preserve">the </w:t>
      </w:r>
      <w:r w:rsidR="00053F32">
        <w:t xml:space="preserve">Tokens and demand the refund of </w:t>
      </w:r>
      <w:r w:rsidR="00F3266A">
        <w:t xml:space="preserve">the </w:t>
      </w:r>
      <w:r w:rsidR="00053F32">
        <w:t>Purchase Amount at any time</w:t>
      </w:r>
      <w:r w:rsidR="005A3020">
        <w:t xml:space="preserve">, and Company will refund </w:t>
      </w:r>
      <w:r>
        <w:t xml:space="preserve">the </w:t>
      </w:r>
      <w:r w:rsidR="005A3020">
        <w:t xml:space="preserve">Purchase Amount </w:t>
      </w:r>
      <w:r w:rsidR="005A3020" w:rsidRPr="00B82D38">
        <w:t xml:space="preserve">to Purchaser, </w:t>
      </w:r>
      <w:r w:rsidR="00FC0C8C" w:rsidRPr="00B82D38">
        <w:t xml:space="preserve">less network and processing fees and </w:t>
      </w:r>
      <w:r w:rsidR="00FC0C8C">
        <w:t xml:space="preserve">pro rata </w:t>
      </w:r>
      <w:r w:rsidR="00FC0C8C" w:rsidRPr="00B82D38">
        <w:t>expenses incurred in connection with the marketing or development of the Tokens and the Platform</w:t>
      </w:r>
      <w:r w:rsidR="00AF70D3">
        <w:t>,</w:t>
      </w:r>
      <w:r w:rsidR="00053F32">
        <w:t xml:space="preserve"> if:</w:t>
      </w:r>
    </w:p>
    <w:p w14:paraId="22FCD4DF" w14:textId="33D5A1A7" w:rsidR="00053F32" w:rsidRDefault="00053F32" w:rsidP="00053F32">
      <w:pPr>
        <w:pStyle w:val="Heading3"/>
      </w:pPr>
      <w:r>
        <w:t>Company fail</w:t>
      </w:r>
      <w:r w:rsidR="00E15261">
        <w:t>s</w:t>
      </w:r>
      <w:r>
        <w:t xml:space="preserve"> to launch </w:t>
      </w:r>
      <w:r w:rsidR="00F3266A">
        <w:t xml:space="preserve">the </w:t>
      </w:r>
      <w:r>
        <w:t xml:space="preserve">Platform and/or issue </w:t>
      </w:r>
      <w:r w:rsidR="00F3266A">
        <w:t xml:space="preserve">the </w:t>
      </w:r>
      <w:r>
        <w:t>Tokens prior to the Deadline Date;</w:t>
      </w:r>
    </w:p>
    <w:p w14:paraId="15C4983C" w14:textId="52E0366A" w:rsidR="002B02A1" w:rsidRDefault="00053F32" w:rsidP="00053F32">
      <w:pPr>
        <w:pStyle w:val="Heading3"/>
      </w:pPr>
      <w:r>
        <w:t xml:space="preserve">there is a change of control over Company, including </w:t>
      </w:r>
      <w:r w:rsidR="004475EC">
        <w:t xml:space="preserve">the </w:t>
      </w:r>
      <w:r>
        <w:t xml:space="preserve">change of Company’s </w:t>
      </w:r>
      <w:r w:rsidR="0045416F">
        <w:t xml:space="preserve">(i) </w:t>
      </w:r>
      <w:r>
        <w:t xml:space="preserve">CEO, </w:t>
      </w:r>
      <w:r w:rsidR="0045416F">
        <w:t xml:space="preserve">(ii) </w:t>
      </w:r>
      <w:r>
        <w:t xml:space="preserve">CTO, </w:t>
      </w:r>
      <w:r w:rsidR="0045416F">
        <w:t xml:space="preserve">(iii) </w:t>
      </w:r>
      <w:r>
        <w:t xml:space="preserve">at least 30% members of the board of directors (or a sole director), or </w:t>
      </w:r>
      <w:r w:rsidR="0045416F">
        <w:t xml:space="preserve">(iv) </w:t>
      </w:r>
      <w:r>
        <w:t>addition of a new shareholder holding no less than 1</w:t>
      </w:r>
      <w:r w:rsidR="004475EC">
        <w:t>5</w:t>
      </w:r>
      <w:r>
        <w:t>% of outstanding stock</w:t>
      </w:r>
      <w:r w:rsidR="00CB6C3D">
        <w:t xml:space="preserve"> of Company or its Affiliate</w:t>
      </w:r>
      <w:r w:rsidR="002B02A1">
        <w:t>; or</w:t>
      </w:r>
    </w:p>
    <w:p w14:paraId="08B6F968" w14:textId="6B92B87A" w:rsidR="00053F32" w:rsidRPr="00053F32" w:rsidRDefault="00CB6C3D" w:rsidP="00053F32">
      <w:pPr>
        <w:pStyle w:val="Heading3"/>
      </w:pPr>
      <w:r>
        <w:t xml:space="preserve">upon reasonable and good faith belief of Purchaser, </w:t>
      </w:r>
      <w:r w:rsidR="005A3020">
        <w:t>Company is engaged in illicit activities, fraud, or other violations o</w:t>
      </w:r>
      <w:r w:rsidR="00243C3C">
        <w:t>f</w:t>
      </w:r>
      <w:r w:rsidR="00615F13">
        <w:t xml:space="preserve"> </w:t>
      </w:r>
      <w:r w:rsidR="0045416F">
        <w:t xml:space="preserve">the </w:t>
      </w:r>
      <w:r w:rsidR="00615F13">
        <w:t>applicable</w:t>
      </w:r>
      <w:r w:rsidR="005A3020">
        <w:t xml:space="preserve"> law</w:t>
      </w:r>
      <w:r w:rsidR="002B02A1">
        <w:t>.</w:t>
      </w:r>
    </w:p>
    <w:p w14:paraId="12583CD2" w14:textId="41ABE140" w:rsidR="00B82D38" w:rsidRPr="00B82D38" w:rsidRDefault="00FC0C8C" w:rsidP="00B82D38">
      <w:pPr>
        <w:pStyle w:val="Heading2"/>
        <w:rPr>
          <w:rFonts w:eastAsia="Arial"/>
          <w:b/>
          <w:bCs/>
        </w:rPr>
      </w:pPr>
      <w:r w:rsidRPr="00E15261">
        <w:rPr>
          <w:b/>
          <w:bCs/>
        </w:rPr>
        <w:t xml:space="preserve">Cancellation by </w:t>
      </w:r>
      <w:r>
        <w:rPr>
          <w:b/>
          <w:bCs/>
        </w:rPr>
        <w:t>Company</w:t>
      </w:r>
      <w:r>
        <w:t xml:space="preserve">. </w:t>
      </w:r>
      <w:r w:rsidR="00B82D38" w:rsidRPr="00B82D38">
        <w:t xml:space="preserve">Company may refuse </w:t>
      </w:r>
      <w:r>
        <w:t xml:space="preserve">to accept </w:t>
      </w:r>
      <w:r w:rsidR="00B82D38" w:rsidRPr="00B82D38">
        <w:t xml:space="preserve">or cancel any purchases </w:t>
      </w:r>
      <w:r>
        <w:t xml:space="preserve">of </w:t>
      </w:r>
      <w:r w:rsidR="00B82D38" w:rsidRPr="00B82D38">
        <w:t xml:space="preserve">the </w:t>
      </w:r>
      <w:r>
        <w:t xml:space="preserve">Purchaser’s </w:t>
      </w:r>
      <w:r w:rsidR="00B82D38" w:rsidRPr="00B82D38">
        <w:t>Tokens at any time in Co</w:t>
      </w:r>
      <w:r w:rsidR="00B82D38" w:rsidRPr="007F6216">
        <w:t xml:space="preserve">mpany’s sole discretion, including </w:t>
      </w:r>
      <w:r>
        <w:t>due to</w:t>
      </w:r>
      <w:r w:rsidR="00B82D38" w:rsidRPr="007F6216">
        <w:t>:</w:t>
      </w:r>
      <w:bookmarkEnd w:id="2"/>
    </w:p>
    <w:p w14:paraId="57A28237" w14:textId="77777777" w:rsidR="00B82D38" w:rsidRPr="00B82D38" w:rsidRDefault="00B82D38" w:rsidP="00B82D38">
      <w:pPr>
        <w:numPr>
          <w:ilvl w:val="2"/>
          <w:numId w:val="5"/>
        </w:numPr>
        <w:pBdr>
          <w:top w:val="nil"/>
          <w:left w:val="nil"/>
          <w:bottom w:val="nil"/>
          <w:right w:val="nil"/>
          <w:between w:val="nil"/>
        </w:pBdr>
        <w:jc w:val="both"/>
        <w:rPr>
          <w:rFonts w:eastAsia="Arial"/>
          <w:color w:val="000000"/>
          <w:lang w:val="en-US"/>
        </w:rPr>
      </w:pPr>
      <w:r w:rsidRPr="00B82D38">
        <w:rPr>
          <w:rFonts w:eastAsia="Arial"/>
          <w:color w:val="000000"/>
          <w:lang w:val="en-US"/>
        </w:rPr>
        <w:t>Purchaser’s failure to complete any know-your-customer, anti-money laundering, and counter-terrorist financing checks that Company requires;</w:t>
      </w:r>
    </w:p>
    <w:p w14:paraId="106A56EB" w14:textId="77777777" w:rsidR="00B82D38" w:rsidRPr="00B82D38" w:rsidRDefault="00B82D38" w:rsidP="00B82D38">
      <w:pPr>
        <w:numPr>
          <w:ilvl w:val="2"/>
          <w:numId w:val="5"/>
        </w:numPr>
        <w:pBdr>
          <w:top w:val="nil"/>
          <w:left w:val="nil"/>
          <w:bottom w:val="nil"/>
          <w:right w:val="nil"/>
          <w:between w:val="nil"/>
        </w:pBdr>
        <w:jc w:val="both"/>
        <w:rPr>
          <w:rFonts w:eastAsia="Arial"/>
          <w:color w:val="000000"/>
          <w:lang w:val="en-US"/>
        </w:rPr>
      </w:pPr>
      <w:r w:rsidRPr="00B82D38">
        <w:rPr>
          <w:rFonts w:eastAsia="Arial"/>
          <w:color w:val="000000"/>
          <w:lang w:val="en-US"/>
        </w:rPr>
        <w:t>a change in Company’s business or development plan; or</w:t>
      </w:r>
    </w:p>
    <w:p w14:paraId="5A952E2A" w14:textId="77777777" w:rsidR="00B82D38" w:rsidRPr="00B82D38" w:rsidRDefault="00B82D38" w:rsidP="00B82D38">
      <w:pPr>
        <w:numPr>
          <w:ilvl w:val="2"/>
          <w:numId w:val="5"/>
        </w:numPr>
        <w:pBdr>
          <w:top w:val="nil"/>
          <w:left w:val="nil"/>
          <w:bottom w:val="nil"/>
          <w:right w:val="nil"/>
          <w:between w:val="nil"/>
        </w:pBdr>
        <w:jc w:val="both"/>
        <w:rPr>
          <w:rFonts w:eastAsia="Arial"/>
          <w:color w:val="000000"/>
          <w:lang w:val="en-US"/>
        </w:rPr>
      </w:pPr>
      <w:r w:rsidRPr="00B82D38">
        <w:rPr>
          <w:rFonts w:eastAsia="Arial"/>
          <w:color w:val="000000"/>
          <w:lang w:val="en-US"/>
        </w:rPr>
        <w:lastRenderedPageBreak/>
        <w:t>an adverse change in the regulatory environment.</w:t>
      </w:r>
      <w:bookmarkStart w:id="3" w:name="_heading=h.35nkun2" w:colFirst="0" w:colLast="0"/>
      <w:bookmarkEnd w:id="3"/>
    </w:p>
    <w:p w14:paraId="30FA83D1" w14:textId="504F646A" w:rsidR="00B82D38" w:rsidRPr="00B82D38" w:rsidRDefault="00B82D38" w:rsidP="00B82D38">
      <w:pPr>
        <w:pStyle w:val="Heading2"/>
      </w:pPr>
      <w:r w:rsidRPr="00B82D38">
        <w:t xml:space="preserve">If Company refuses </w:t>
      </w:r>
      <w:r w:rsidR="00FC0C8C">
        <w:t xml:space="preserve">to accept </w:t>
      </w:r>
      <w:r w:rsidRPr="00B82D38">
        <w:t xml:space="preserve">or cancels any purchases of </w:t>
      </w:r>
      <w:r w:rsidR="00FC0C8C">
        <w:t xml:space="preserve">the </w:t>
      </w:r>
      <w:r w:rsidRPr="00B82D38">
        <w:t xml:space="preserve">Purchaser’s Tokens, Company will refund the Purchase Amount to Purchaser (if applicable laws permit such a refund), less network and processing fees and </w:t>
      </w:r>
      <w:r w:rsidR="00FC0C8C">
        <w:t xml:space="preserve">pro rata </w:t>
      </w:r>
      <w:r w:rsidRPr="00B82D38">
        <w:t>expenses incurred in connection with the marketing or development of the Tokens and the Platform. No interest will accrue on the value of any refund.</w:t>
      </w:r>
    </w:p>
    <w:p w14:paraId="08DEC29D" w14:textId="645C3A7E" w:rsidR="00B82D38" w:rsidRPr="00B82D38" w:rsidRDefault="0091568D" w:rsidP="00B37E6F">
      <w:pPr>
        <w:pStyle w:val="Heading1"/>
        <w:numPr>
          <w:ilvl w:val="0"/>
          <w:numId w:val="2"/>
        </w:numPr>
        <w:ind w:left="720" w:hanging="720"/>
      </w:pPr>
      <w:bookmarkStart w:id="4" w:name="_Ref137477539"/>
      <w:r w:rsidRPr="0091568D">
        <w:t>COVENANTS</w:t>
      </w:r>
      <w:r w:rsidRPr="0091568D">
        <w:rPr>
          <w:b w:val="0"/>
          <w:bCs w:val="0"/>
          <w:i/>
          <w:iCs/>
          <w:caps w:val="0"/>
          <w:highlight w:val="yellow"/>
        </w:rPr>
        <w:t xml:space="preserve"> </w:t>
      </w:r>
      <w:bookmarkEnd w:id="4"/>
    </w:p>
    <w:p w14:paraId="39252EE5" w14:textId="044AF097" w:rsidR="0091568D" w:rsidRPr="0091568D" w:rsidRDefault="0049101A" w:rsidP="00B82D38">
      <w:pPr>
        <w:pStyle w:val="Heading2"/>
      </w:pPr>
      <w:bookmarkStart w:id="5" w:name="_Ref137474619"/>
      <w:r w:rsidRPr="0049101A">
        <w:rPr>
          <w:b/>
          <w:bCs/>
        </w:rPr>
        <w:t>Tokens Lock-up</w:t>
      </w:r>
      <w:r>
        <w:t xml:space="preserve">. </w:t>
      </w:r>
      <w:r w:rsidR="0091568D">
        <w:t xml:space="preserve">Purchaser </w:t>
      </w:r>
      <w:r w:rsidR="0091568D" w:rsidRPr="00731C6A">
        <w:rPr>
          <w:lang w:val="en-GB"/>
        </w:rPr>
        <w:t xml:space="preserve">hereby agrees that, without the prior written consent of </w:t>
      </w:r>
      <w:r w:rsidR="00301F78">
        <w:rPr>
          <w:lang w:val="en-GB"/>
        </w:rPr>
        <w:t>Company</w:t>
      </w:r>
      <w:r w:rsidR="0091568D" w:rsidRPr="00731C6A">
        <w:rPr>
          <w:lang w:val="en-GB"/>
        </w:rPr>
        <w:t xml:space="preserve">, </w:t>
      </w:r>
      <w:r w:rsidR="0091568D">
        <w:t xml:space="preserve">Purchaser </w:t>
      </w:r>
      <w:r w:rsidR="0091568D" w:rsidRPr="00731C6A">
        <w:rPr>
          <w:lang w:val="en-GB"/>
        </w:rPr>
        <w:t>will not</w:t>
      </w:r>
      <w:r w:rsidR="0091568D">
        <w:rPr>
          <w:lang w:val="en-GB"/>
        </w:rPr>
        <w:t xml:space="preserve"> </w:t>
      </w:r>
      <w:r w:rsidR="0091568D" w:rsidRPr="00731C6A">
        <w:rPr>
          <w:lang w:val="en-GB"/>
        </w:rPr>
        <w:t xml:space="preserve">(a) offer, pledge, sell, contract to sell, sell any option or contract to purchase, purchase any option or contract to sell, grant any option, right or warrant to purchase, lend, or otherwise transfer or dispose of, directly or indirectly, this </w:t>
      </w:r>
      <w:r w:rsidR="00E04495">
        <w:rPr>
          <w:lang w:val="en-GB"/>
        </w:rPr>
        <w:t>SAFT</w:t>
      </w:r>
      <w:r w:rsidR="0091568D" w:rsidRPr="00731C6A">
        <w:rPr>
          <w:lang w:val="en-GB"/>
        </w:rPr>
        <w:t xml:space="preserve"> or any Locked Tokens</w:t>
      </w:r>
      <w:r w:rsidR="00E22635">
        <w:rPr>
          <w:lang w:val="en-GB"/>
        </w:rPr>
        <w:t xml:space="preserve"> (as defined below)</w:t>
      </w:r>
      <w:r w:rsidR="0091568D">
        <w:rPr>
          <w:lang w:val="en-GB"/>
        </w:rPr>
        <w:t>;</w:t>
      </w:r>
      <w:r w:rsidR="0091568D" w:rsidRPr="00731C6A">
        <w:rPr>
          <w:lang w:val="en-GB"/>
        </w:rPr>
        <w:t xml:space="preserve"> or (b) enter into any swap or other arrangement that transfers to another, in whole or in part, any of the economic consequences of ownership of this </w:t>
      </w:r>
      <w:r w:rsidR="00E04495">
        <w:rPr>
          <w:lang w:val="en-GB"/>
        </w:rPr>
        <w:t>SAFT</w:t>
      </w:r>
      <w:r w:rsidR="0091568D" w:rsidRPr="00731C6A">
        <w:rPr>
          <w:lang w:val="en-GB"/>
        </w:rPr>
        <w:t xml:space="preserve"> or any Locked Tokens; provided, however, that </w:t>
      </w:r>
      <w:r w:rsidR="0091568D">
        <w:rPr>
          <w:lang w:val="en-GB"/>
        </w:rPr>
        <w:t>Purchaser</w:t>
      </w:r>
      <w:r w:rsidR="0091568D" w:rsidRPr="00731C6A">
        <w:rPr>
          <w:lang w:val="en-GB"/>
        </w:rPr>
        <w:t xml:space="preserve"> may stake, vote or otherwise participate in the Platform with respect to all of its Locked Tokens</w:t>
      </w:r>
      <w:r w:rsidR="0091568D">
        <w:rPr>
          <w:lang w:val="en-GB"/>
        </w:rPr>
        <w:t xml:space="preserve">. </w:t>
      </w:r>
      <w:r w:rsidR="0091568D" w:rsidRPr="00731C6A">
        <w:rPr>
          <w:lang w:val="en-GB"/>
        </w:rPr>
        <w:t xml:space="preserve">For purposes of this </w:t>
      </w:r>
      <w:r w:rsidR="00E04495">
        <w:rPr>
          <w:lang w:val="en-GB"/>
        </w:rPr>
        <w:t>SAFT</w:t>
      </w:r>
      <w:r w:rsidR="0091568D" w:rsidRPr="00731C6A">
        <w:rPr>
          <w:lang w:val="en-GB"/>
        </w:rPr>
        <w:t>, “</w:t>
      </w:r>
      <w:r w:rsidR="0091568D" w:rsidRPr="00462DCD">
        <w:rPr>
          <w:b/>
          <w:lang w:val="en-GB"/>
        </w:rPr>
        <w:t>Locked Tokens</w:t>
      </w:r>
      <w:r w:rsidR="0091568D" w:rsidRPr="00731C6A">
        <w:rPr>
          <w:lang w:val="en-GB"/>
        </w:rPr>
        <w:t>” means</w:t>
      </w:r>
      <w:r w:rsidR="0091568D">
        <w:rPr>
          <w:lang w:val="en-GB"/>
        </w:rPr>
        <w:t>:</w:t>
      </w:r>
      <w:bookmarkEnd w:id="5"/>
    </w:p>
    <w:p w14:paraId="694D65AC" w14:textId="122A1EB0" w:rsidR="0091568D" w:rsidRDefault="0091568D" w:rsidP="0091568D">
      <w:pPr>
        <w:pStyle w:val="Heading3"/>
      </w:pPr>
      <w:r w:rsidRPr="00731C6A">
        <w:t xml:space="preserve">prior to the </w:t>
      </w:r>
      <w:r>
        <w:t>[</w:t>
      </w:r>
      <w:r w:rsidR="0049101A">
        <w:rPr>
          <w:highlight w:val="yellow"/>
        </w:rPr>
        <w:t>12</w:t>
      </w:r>
      <w:r w:rsidRPr="0091568D">
        <w:rPr>
          <w:highlight w:val="yellow"/>
        </w:rPr>
        <w:t>-month</w:t>
      </w:r>
      <w:r>
        <w:t>]</w:t>
      </w:r>
      <w:r w:rsidRPr="00731C6A">
        <w:t xml:space="preserve"> anniversary of </w:t>
      </w:r>
      <w:r>
        <w:t>the Initial Token Launch</w:t>
      </w:r>
      <w:r w:rsidRPr="00731C6A">
        <w:t xml:space="preserve">, 100% of the </w:t>
      </w:r>
      <w:r w:rsidR="0049101A">
        <w:t xml:space="preserve">Purchaser’s </w:t>
      </w:r>
      <w:r w:rsidRPr="00731C6A">
        <w:t>Tokens; and thereafter</w:t>
      </w:r>
    </w:p>
    <w:p w14:paraId="14FA724F" w14:textId="096B400D" w:rsidR="00B82D38" w:rsidRDefault="0091568D" w:rsidP="0091568D">
      <w:pPr>
        <w:pStyle w:val="Heading3"/>
      </w:pPr>
      <w:r w:rsidRPr="00731C6A">
        <w:t xml:space="preserve">on each monthly anniversary of the date of the Initial Token Launch, that percentage of </w:t>
      </w:r>
      <w:r>
        <w:t xml:space="preserve">the </w:t>
      </w:r>
      <w:r w:rsidR="0049101A">
        <w:t xml:space="preserve">Purchaser’s </w:t>
      </w:r>
      <w:r w:rsidRPr="00731C6A">
        <w:t xml:space="preserve">Tokens equal to the immediately preceding percentage of </w:t>
      </w:r>
      <w:r>
        <w:t xml:space="preserve">the </w:t>
      </w:r>
      <w:r w:rsidRPr="00731C6A">
        <w:t xml:space="preserve">Locked Tokens less </w:t>
      </w:r>
      <w:r>
        <w:t>[</w:t>
      </w:r>
      <w:r w:rsidRPr="0091568D">
        <w:rPr>
          <w:highlight w:val="yellow"/>
        </w:rPr>
        <w:t>2.778</w:t>
      </w:r>
      <w:r>
        <w:t>]%</w:t>
      </w:r>
      <w:r w:rsidRPr="00731C6A">
        <w:t xml:space="preserve"> such that none of the </w:t>
      </w:r>
      <w:r>
        <w:t xml:space="preserve">Purchaser’s </w:t>
      </w:r>
      <w:r w:rsidRPr="00731C6A">
        <w:t xml:space="preserve">Tokens shall be deemed Locked Tokens on the date that is </w:t>
      </w:r>
      <w:r>
        <w:t>[</w:t>
      </w:r>
      <w:r w:rsidR="0049101A" w:rsidRPr="0049101A">
        <w:rPr>
          <w:highlight w:val="yellow"/>
        </w:rPr>
        <w:t>36</w:t>
      </w:r>
      <w:r>
        <w:t>]</w:t>
      </w:r>
      <w:r w:rsidRPr="00731C6A">
        <w:t xml:space="preserve"> months after the date of the Initial Token Launch.</w:t>
      </w:r>
      <w:r>
        <w:t xml:space="preserve"> </w:t>
      </w:r>
    </w:p>
    <w:p w14:paraId="3DEF4E1C" w14:textId="77777777" w:rsidR="00B82D38" w:rsidRPr="007F6216" w:rsidRDefault="00B82D38" w:rsidP="00B82D38">
      <w:pPr>
        <w:pStyle w:val="Heading1"/>
      </w:pPr>
      <w:r w:rsidRPr="00B82D38">
        <w:t>TOKEN</w:t>
      </w:r>
      <w:r w:rsidRPr="007F6216">
        <w:t xml:space="preserve"> DOCUMENTATION</w:t>
      </w:r>
    </w:p>
    <w:p w14:paraId="69D37ED5" w14:textId="77777777" w:rsidR="00B82D38" w:rsidRPr="007F6216" w:rsidRDefault="00B82D38" w:rsidP="007900E0">
      <w:pPr>
        <w:pStyle w:val="Heading2"/>
        <w:numPr>
          <w:ilvl w:val="0"/>
          <w:numId w:val="0"/>
        </w:numPr>
        <w:ind w:left="720"/>
      </w:pPr>
      <w:r>
        <w:t>Purchaser</w:t>
      </w:r>
      <w:r w:rsidRPr="007F6216">
        <w:t xml:space="preserve"> agrees and </w:t>
      </w:r>
      <w:r w:rsidRPr="00B82D38">
        <w:t>acknowledges</w:t>
      </w:r>
      <w:r w:rsidRPr="007F6216">
        <w:t xml:space="preserve"> that the Token Documentation:</w:t>
      </w:r>
    </w:p>
    <w:p w14:paraId="6D9823AF" w14:textId="77777777" w:rsidR="00B82D38" w:rsidRPr="007F6216" w:rsidRDefault="00B82D38" w:rsidP="00B82D38">
      <w:pPr>
        <w:pStyle w:val="Heading3"/>
      </w:pPr>
      <w:r w:rsidRPr="007F6216">
        <w:t>has been issued for informational purposes only and is merely intended to be an introduction to the concept of the Platform;</w:t>
      </w:r>
    </w:p>
    <w:p w14:paraId="009DD2BC" w14:textId="77777777" w:rsidR="00B82D38" w:rsidRPr="007F6216" w:rsidRDefault="00B82D38" w:rsidP="00B82D38">
      <w:pPr>
        <w:pStyle w:val="Heading3"/>
      </w:pPr>
      <w:r w:rsidRPr="007F6216">
        <w:t>does not constitute a prospectus or offering document of any kind;</w:t>
      </w:r>
    </w:p>
    <w:p w14:paraId="41AA27F9" w14:textId="77777777" w:rsidR="00B82D38" w:rsidRPr="007F6216" w:rsidRDefault="00B82D38" w:rsidP="00B82D38">
      <w:pPr>
        <w:pStyle w:val="Heading3"/>
      </w:pPr>
      <w:r w:rsidRPr="007F6216">
        <w:t>is not intended to form the basis of any investment decision;</w:t>
      </w:r>
    </w:p>
    <w:p w14:paraId="37CC65B5" w14:textId="77777777" w:rsidR="00B82D38" w:rsidRPr="007F6216" w:rsidRDefault="00B82D38" w:rsidP="00B82D38">
      <w:pPr>
        <w:pStyle w:val="Heading3"/>
      </w:pPr>
      <w:r w:rsidRPr="007F6216">
        <w:t>is not intended to be a solicitation for investment or an offering of securities in any jurisdiction;</w:t>
      </w:r>
    </w:p>
    <w:p w14:paraId="3766A56C" w14:textId="77777777" w:rsidR="00B82D38" w:rsidRPr="007F6216" w:rsidRDefault="00B82D38" w:rsidP="00B82D38">
      <w:pPr>
        <w:pStyle w:val="Heading3"/>
      </w:pPr>
      <w:r w:rsidRPr="007F6216">
        <w:t>has not been reviewed, examined, or approved by any regulatory authority;</w:t>
      </w:r>
    </w:p>
    <w:p w14:paraId="77E503D0" w14:textId="77777777" w:rsidR="00B82D38" w:rsidRPr="007F6216" w:rsidRDefault="00B82D38" w:rsidP="00B82D38">
      <w:pPr>
        <w:pStyle w:val="Heading3"/>
      </w:pPr>
      <w:r w:rsidRPr="007F6216">
        <w:t>is subject to amendment in accordance with changes in Company’s business plan or applicable law; and</w:t>
      </w:r>
    </w:p>
    <w:p w14:paraId="622CFCE3" w14:textId="3671DACA" w:rsidR="0078648F" w:rsidRDefault="00B82D38" w:rsidP="00B82D38">
      <w:pPr>
        <w:pStyle w:val="Heading3"/>
      </w:pPr>
      <w:r w:rsidRPr="007F6216">
        <w:t xml:space="preserve">may change materially prior to the </w:t>
      </w:r>
      <w:r w:rsidR="0091568D">
        <w:t>Initial Token Launch</w:t>
      </w:r>
      <w:r w:rsidRPr="007F6216">
        <w:t xml:space="preserve"> or at any time thereafter.</w:t>
      </w:r>
    </w:p>
    <w:p w14:paraId="470A2B0E" w14:textId="77777777" w:rsidR="00B82D38" w:rsidRPr="007F6216" w:rsidRDefault="00B82D38" w:rsidP="00B82D38">
      <w:pPr>
        <w:pStyle w:val="Heading1"/>
      </w:pPr>
      <w:r>
        <w:t xml:space="preserve">MUTUAL </w:t>
      </w:r>
      <w:r w:rsidRPr="00B82D38">
        <w:t>REPRESENTATIONS</w:t>
      </w:r>
      <w:r w:rsidRPr="007F6216">
        <w:t xml:space="preserve"> </w:t>
      </w:r>
    </w:p>
    <w:p w14:paraId="6C2289D5" w14:textId="77777777" w:rsidR="00B82D38" w:rsidRPr="007F6216" w:rsidRDefault="00B82D38" w:rsidP="00105F23">
      <w:pPr>
        <w:pStyle w:val="Heading2"/>
        <w:numPr>
          <w:ilvl w:val="0"/>
          <w:numId w:val="0"/>
        </w:numPr>
        <w:ind w:left="720"/>
      </w:pPr>
      <w:bookmarkStart w:id="6" w:name="_Ref533181298"/>
      <w:r w:rsidRPr="007F6216">
        <w:lastRenderedPageBreak/>
        <w:t xml:space="preserve">As of the </w:t>
      </w:r>
      <w:r w:rsidRPr="00B82D38">
        <w:t>Effective</w:t>
      </w:r>
      <w:r w:rsidRPr="007F6216">
        <w:t xml:space="preserve"> Date, each party represents to the other party that:</w:t>
      </w:r>
      <w:r w:rsidRPr="007F6216" w:rsidDel="00B16E0F">
        <w:t xml:space="preserve"> </w:t>
      </w:r>
    </w:p>
    <w:p w14:paraId="040E90BE" w14:textId="374BAB00" w:rsidR="00B82D38" w:rsidRPr="00B82D38" w:rsidRDefault="00B82D38" w:rsidP="00B82D38">
      <w:pPr>
        <w:pStyle w:val="Heading3"/>
      </w:pPr>
      <w:r w:rsidRPr="007F6216">
        <w:t xml:space="preserve">it has the power and authority to enter into and perform its obligations under this </w:t>
      </w:r>
      <w:r w:rsidR="002A44E5">
        <w:t>SAFT</w:t>
      </w:r>
      <w:r w:rsidRPr="00B82D38">
        <w:t>;</w:t>
      </w:r>
    </w:p>
    <w:p w14:paraId="3DD36CEA" w14:textId="31871F47" w:rsidR="00B82D38" w:rsidRPr="00B82D38" w:rsidRDefault="00B82D38" w:rsidP="00B82D38">
      <w:pPr>
        <w:pStyle w:val="Heading3"/>
      </w:pPr>
      <w:r w:rsidRPr="00B82D38">
        <w:t xml:space="preserve">execution, delivery, and performance of this </w:t>
      </w:r>
      <w:r w:rsidR="002A44E5">
        <w:t xml:space="preserve">SAFT </w:t>
      </w:r>
      <w:r w:rsidRPr="00B82D38">
        <w:t>will constitute legal, valid, binding, and enforceable obligations</w:t>
      </w:r>
      <w:r w:rsidR="002A44E5">
        <w:t xml:space="preserve"> of such party</w:t>
      </w:r>
      <w:r w:rsidRPr="00B82D38">
        <w:t>; and</w:t>
      </w:r>
    </w:p>
    <w:p w14:paraId="73062712" w14:textId="77777777" w:rsidR="00B82D38" w:rsidRPr="007F6216" w:rsidRDefault="00B82D38" w:rsidP="00B82D38">
      <w:pPr>
        <w:pStyle w:val="Heading3"/>
      </w:pPr>
      <w:r w:rsidRPr="00B82D38">
        <w:t>it is not insolvent</w:t>
      </w:r>
      <w:r w:rsidRPr="007F6216">
        <w:t xml:space="preserve"> and is able to pay its debts as and when they fall due</w:t>
      </w:r>
      <w:bookmarkEnd w:id="6"/>
      <w:r>
        <w:t>.</w:t>
      </w:r>
    </w:p>
    <w:p w14:paraId="4E15C41E" w14:textId="77777777" w:rsidR="00B82D38" w:rsidRPr="007F6216" w:rsidRDefault="00B82D38" w:rsidP="00B82D38">
      <w:pPr>
        <w:pStyle w:val="Heading1"/>
      </w:pPr>
      <w:r>
        <w:t>PURCHASER</w:t>
      </w:r>
      <w:r w:rsidRPr="007F6216">
        <w:t>’S REPRESENTATIONS AND WARRANTIES</w:t>
      </w:r>
    </w:p>
    <w:p w14:paraId="1E67DB7A" w14:textId="6625BA84" w:rsidR="00B553B6" w:rsidRPr="00B553B6" w:rsidRDefault="00B553B6" w:rsidP="00B553B6">
      <w:pPr>
        <w:pStyle w:val="Heading2"/>
      </w:pPr>
      <w:proofErr w:type="spellStart"/>
      <w:r w:rsidRPr="00B553B6">
        <w:rPr>
          <w:b/>
          <w:lang w:val="en-GB"/>
        </w:rPr>
        <w:t>Organi</w:t>
      </w:r>
      <w:r w:rsidRPr="00B553B6">
        <w:rPr>
          <w:b/>
        </w:rPr>
        <w:t>zation</w:t>
      </w:r>
      <w:proofErr w:type="spellEnd"/>
      <w:r w:rsidRPr="00B553B6">
        <w:t xml:space="preserve">. </w:t>
      </w:r>
      <w:r>
        <w:t>Purchaser</w:t>
      </w:r>
      <w:r w:rsidRPr="00B553B6">
        <w:t xml:space="preserve"> is </w:t>
      </w:r>
      <w:r w:rsidR="000F7EE2">
        <w:t xml:space="preserve">(a) </w:t>
      </w:r>
      <w:r w:rsidRPr="00B553B6">
        <w:t>duly organized, formed, validly existing and in good standing under the laws of its jurisdiction of formation</w:t>
      </w:r>
      <w:r w:rsidR="000F7EE2">
        <w:t xml:space="preserve">, or (b) </w:t>
      </w:r>
      <w:r w:rsidR="001558D8">
        <w:t>an individual with full legal capacity and of suitable age to enter this</w:t>
      </w:r>
      <w:r w:rsidR="0070375A">
        <w:t xml:space="preserve"> SAFT</w:t>
      </w:r>
      <w:r w:rsidR="001558D8">
        <w:t xml:space="preserve"> under the laws of its place of residency</w:t>
      </w:r>
      <w:r w:rsidRPr="00B553B6">
        <w:t>.</w:t>
      </w:r>
    </w:p>
    <w:p w14:paraId="039A3B3D" w14:textId="289EA8F9" w:rsidR="00B553B6" w:rsidRPr="00B553B6" w:rsidRDefault="00B553B6" w:rsidP="00B553B6">
      <w:pPr>
        <w:pStyle w:val="Heading2"/>
      </w:pPr>
      <w:r w:rsidRPr="00B553B6">
        <w:rPr>
          <w:b/>
          <w:bCs/>
        </w:rPr>
        <w:t>Purchase Entirely for Own Account</w:t>
      </w:r>
      <w:r w:rsidRPr="00B553B6">
        <w:t xml:space="preserve">. </w:t>
      </w:r>
      <w:r>
        <w:t>Purchaser</w:t>
      </w:r>
      <w:r w:rsidRPr="00B553B6">
        <w:t xml:space="preserve"> is acquiring this </w:t>
      </w:r>
      <w:r w:rsidR="00670C33">
        <w:t>SAFT</w:t>
      </w:r>
      <w:r w:rsidRPr="00B553B6">
        <w:t xml:space="preserve"> for investment for </w:t>
      </w:r>
      <w:r>
        <w:t>Purchaser</w:t>
      </w:r>
      <w:r w:rsidRPr="00B553B6">
        <w:t xml:space="preserve">’s own account, not as a nominee or agent, and not with a view to the resale or distribution of </w:t>
      </w:r>
      <w:r w:rsidR="00742990">
        <w:t xml:space="preserve">the </w:t>
      </w:r>
      <w:r>
        <w:t>Purchaser</w:t>
      </w:r>
      <w:r w:rsidRPr="00B553B6">
        <w:t xml:space="preserve">’s </w:t>
      </w:r>
      <w:r w:rsidR="00DB1FCF">
        <w:t xml:space="preserve">Tokens </w:t>
      </w:r>
      <w:r w:rsidRPr="00B553B6">
        <w:t xml:space="preserve">or any part thereof, and </w:t>
      </w:r>
      <w:r>
        <w:t>Purchaser</w:t>
      </w:r>
      <w:r w:rsidRPr="00B553B6">
        <w:t xml:space="preserve"> has no present intention of selling, granting any participation in, or otherwise distributing </w:t>
      </w:r>
      <w:r w:rsidR="00742990">
        <w:t xml:space="preserve">the </w:t>
      </w:r>
      <w:r>
        <w:t>Purchaser</w:t>
      </w:r>
      <w:r w:rsidRPr="00B553B6">
        <w:t xml:space="preserve">’s </w:t>
      </w:r>
      <w:r w:rsidR="00DB1FCF">
        <w:t xml:space="preserve">Tokens </w:t>
      </w:r>
      <w:r w:rsidRPr="00B553B6">
        <w:t xml:space="preserve">or any part thereof, except for an ordinary market sale arising out of </w:t>
      </w:r>
      <w:r>
        <w:t>Purchaser</w:t>
      </w:r>
      <w:r w:rsidRPr="00B553B6">
        <w:t xml:space="preserve">’s personal investment strategy. </w:t>
      </w:r>
      <w:r>
        <w:t>Purchaser</w:t>
      </w:r>
      <w:r w:rsidRPr="00B553B6">
        <w:t xml:space="preserve"> further represents that </w:t>
      </w:r>
      <w:r>
        <w:t>Purchaser</w:t>
      </w:r>
      <w:r w:rsidRPr="00B553B6">
        <w:t xml:space="preserve"> does not presently have any contract, undertaking, agreement, or arrangement with any Person to sell, transfer, distribute, or grant participations to such Person or to any third Person, with respect to this </w:t>
      </w:r>
      <w:r w:rsidR="001D66AB">
        <w:t>SAFT</w:t>
      </w:r>
      <w:r w:rsidRPr="00B553B6">
        <w:t xml:space="preserve">, </w:t>
      </w:r>
      <w:r w:rsidR="00742990">
        <w:t xml:space="preserve">the </w:t>
      </w:r>
      <w:r>
        <w:t>Purchaser</w:t>
      </w:r>
      <w:r w:rsidRPr="00B553B6">
        <w:t xml:space="preserve">’s </w:t>
      </w:r>
      <w:r w:rsidR="001D66AB">
        <w:t>Tokens</w:t>
      </w:r>
      <w:r w:rsidRPr="00B553B6">
        <w:t xml:space="preserve">, or any part hereof. </w:t>
      </w:r>
      <w:r>
        <w:t>Purchaser</w:t>
      </w:r>
      <w:r w:rsidRPr="00B553B6">
        <w:t xml:space="preserve"> has not been formed for the specific purpose of acquiring this </w:t>
      </w:r>
      <w:r w:rsidR="009B1A5E">
        <w:t>SAFT</w:t>
      </w:r>
      <w:r w:rsidRPr="00B553B6">
        <w:t>.</w:t>
      </w:r>
    </w:p>
    <w:p w14:paraId="4EDF3913" w14:textId="3500A5EF" w:rsidR="00B553B6" w:rsidRPr="00B553B6" w:rsidRDefault="00B553B6" w:rsidP="00B553B6">
      <w:pPr>
        <w:pStyle w:val="Heading2"/>
      </w:pPr>
      <w:r w:rsidRPr="00B553B6">
        <w:rPr>
          <w:b/>
          <w:bCs/>
        </w:rPr>
        <w:t>Disclosure of Information</w:t>
      </w:r>
      <w:r w:rsidRPr="00B553B6">
        <w:t xml:space="preserve">. </w:t>
      </w:r>
      <w:r>
        <w:t>Purchaser</w:t>
      </w:r>
      <w:r w:rsidRPr="00B553B6">
        <w:t xml:space="preserve"> has had an opportunity to discuss </w:t>
      </w:r>
      <w:r w:rsidR="00301F78">
        <w:t>Company</w:t>
      </w:r>
      <w:r w:rsidRPr="00B553B6">
        <w:t xml:space="preserve">’s business, management, financial affairs and the terms and conditions of the offering of this </w:t>
      </w:r>
      <w:r w:rsidR="009B1A5E">
        <w:t>SAFT</w:t>
      </w:r>
      <w:r w:rsidRPr="00B553B6">
        <w:t xml:space="preserve"> with </w:t>
      </w:r>
      <w:r w:rsidR="00301F78">
        <w:t>Company</w:t>
      </w:r>
      <w:r w:rsidRPr="00B553B6">
        <w:t xml:space="preserve">’s management. </w:t>
      </w:r>
    </w:p>
    <w:p w14:paraId="649D644B" w14:textId="0DFA6033" w:rsidR="00B553B6" w:rsidRPr="00B553B6" w:rsidRDefault="00B553B6" w:rsidP="00B553B6">
      <w:pPr>
        <w:pStyle w:val="Heading2"/>
      </w:pPr>
      <w:r w:rsidRPr="00B553B6">
        <w:rPr>
          <w:b/>
          <w:bCs/>
        </w:rPr>
        <w:t>Accredited Investor</w:t>
      </w:r>
      <w:r w:rsidRPr="00B553B6">
        <w:t xml:space="preserve">. </w:t>
      </w:r>
      <w:r>
        <w:t>Purchaser</w:t>
      </w:r>
      <w:r w:rsidRPr="00B553B6">
        <w:t xml:space="preserve"> is </w:t>
      </w:r>
      <w:r>
        <w:t xml:space="preserve">either </w:t>
      </w:r>
      <w:r w:rsidR="00365739">
        <w:t xml:space="preserve">(a) </w:t>
      </w:r>
      <w:r w:rsidRPr="00B553B6">
        <w:t>an accredited investor as defined in Rule 501(a) of Regulation D promulgated under the Securities Act</w:t>
      </w:r>
      <w:r>
        <w:t xml:space="preserve">, or </w:t>
      </w:r>
      <w:r w:rsidR="00365739">
        <w:t xml:space="preserve">(b) </w:t>
      </w:r>
      <w:r w:rsidRPr="00B82D38">
        <w:t>is not, nor is it acting on behalf of, a “United States person” (within the meaning of Regulation S of the Securities Act, as amended)</w:t>
      </w:r>
      <w:r w:rsidRPr="00B553B6">
        <w:t>.</w:t>
      </w:r>
    </w:p>
    <w:p w14:paraId="051D7BA6" w14:textId="1E954100" w:rsidR="00B553B6" w:rsidRPr="00B553B6" w:rsidRDefault="00B553B6" w:rsidP="00B553B6">
      <w:pPr>
        <w:pStyle w:val="Heading2"/>
      </w:pPr>
      <w:r w:rsidRPr="00B553B6">
        <w:rPr>
          <w:b/>
          <w:bCs/>
        </w:rPr>
        <w:t>Securities</w:t>
      </w:r>
      <w:r w:rsidRPr="00B553B6">
        <w:t xml:space="preserve">. </w:t>
      </w:r>
      <w:r>
        <w:t>Purchaser</w:t>
      </w:r>
      <w:r w:rsidRPr="00B553B6">
        <w:t xml:space="preserve"> has been advised that this </w:t>
      </w:r>
      <w:r w:rsidR="005E132A">
        <w:t>SAFT</w:t>
      </w:r>
      <w:r w:rsidRPr="00B553B6">
        <w:t xml:space="preserve"> and the underlying Tokens may be deemed securities and have not been registered under the Securities Act, or any state securities laws and, therefore, may not be able to be resold unless they are registered pursuant to the Securities Act and applicable state securities laws or unless an exemption from such registration requirements is available. </w:t>
      </w:r>
      <w:r>
        <w:t>Purchaser</w:t>
      </w:r>
      <w:r w:rsidRPr="00B553B6">
        <w:t xml:space="preserve"> has such knowledge and experience in financial and business matters to be capable of evaluating the merits and risks of such investment, able to incur a complete loss of such investment without impairing </w:t>
      </w:r>
      <w:r>
        <w:t>Purchaser</w:t>
      </w:r>
      <w:r w:rsidRPr="00B553B6">
        <w:t xml:space="preserve">’s financial condition and is able to bear the economic risk of such investment for an indefinite period of time. </w:t>
      </w:r>
      <w:r>
        <w:t>Purchaser</w:t>
      </w:r>
      <w:r w:rsidRPr="00B553B6">
        <w:t xml:space="preserve"> understands and expressly accepts that the Tokens, if any, will involve risks, all of which </w:t>
      </w:r>
      <w:r>
        <w:t>Purchaser</w:t>
      </w:r>
      <w:r w:rsidRPr="00B553B6">
        <w:t xml:space="preserve"> will fully and completely assume as a condition to receipt of this </w:t>
      </w:r>
      <w:r w:rsidR="00F715CE">
        <w:t>SAFT</w:t>
      </w:r>
      <w:r w:rsidRPr="00B553B6">
        <w:t xml:space="preserve"> and any future Tokens, including, but not limited to, the risk that (a) the technology associated with any Platform will not function as intended; (b) the Platform may not be completed; (c) the </w:t>
      </w:r>
      <w:r w:rsidRPr="00B553B6">
        <w:lastRenderedPageBreak/>
        <w:t>Platform will fail to attract sufficient interest from key stakeholders, and (d) Company may be subject to investigation and punitive actions from governmental authorities.</w:t>
      </w:r>
    </w:p>
    <w:p w14:paraId="575F2737" w14:textId="5E06636C" w:rsidR="00B553B6" w:rsidRDefault="00B553B6" w:rsidP="00B553B6">
      <w:pPr>
        <w:pStyle w:val="Heading2"/>
      </w:pPr>
      <w:r w:rsidRPr="00B553B6">
        <w:rPr>
          <w:b/>
          <w:bCs/>
        </w:rPr>
        <w:t>Taxes</w:t>
      </w:r>
      <w:r w:rsidRPr="00B553B6">
        <w:t xml:space="preserve">. </w:t>
      </w:r>
      <w:r>
        <w:t>Purchaser</w:t>
      </w:r>
      <w:r w:rsidRPr="007F6216">
        <w:t xml:space="preserve"> is responsible for determining what, if any, taxes apply in connection with this </w:t>
      </w:r>
      <w:r w:rsidR="009D2C07">
        <w:t xml:space="preserve">SAFT </w:t>
      </w:r>
      <w:r w:rsidRPr="007F6216">
        <w:t>and</w:t>
      </w:r>
      <w:r w:rsidR="00742990">
        <w:t xml:space="preserve"> the</w:t>
      </w:r>
      <w:r w:rsidRPr="007F6216">
        <w:t xml:space="preserve"> </w:t>
      </w:r>
      <w:r>
        <w:t>Purchaser</w:t>
      </w:r>
      <w:r w:rsidRPr="007F6216">
        <w:t xml:space="preserve">’s Tokens, including sales, use, and value-added taxes. It is also </w:t>
      </w:r>
      <w:r w:rsidRPr="00B82D38">
        <w:t xml:space="preserve">the responsibility of Purchaser to withhold, collect, report, and remit its own taxes to the appropriate tax authorities. Company is not responsible for withholding, collecting, reporting, or remitting any sales, use, value-added, or similar tax in connection with this </w:t>
      </w:r>
      <w:r w:rsidR="009D2C07">
        <w:t xml:space="preserve">SAFT </w:t>
      </w:r>
      <w:r w:rsidRPr="00B82D38">
        <w:t xml:space="preserve">or </w:t>
      </w:r>
      <w:r w:rsidR="00742990">
        <w:t xml:space="preserve">the </w:t>
      </w:r>
      <w:r w:rsidRPr="00B82D38">
        <w:t>Purchaser’s Tokens</w:t>
      </w:r>
      <w:r>
        <w:t>.</w:t>
      </w:r>
    </w:p>
    <w:p w14:paraId="251D212D" w14:textId="17D42453" w:rsidR="00B553B6" w:rsidRPr="00B82D38" w:rsidRDefault="00B553B6" w:rsidP="00B553B6">
      <w:pPr>
        <w:pStyle w:val="Heading2"/>
      </w:pPr>
      <w:r>
        <w:rPr>
          <w:b/>
          <w:bCs/>
        </w:rPr>
        <w:t>Additional Rights</w:t>
      </w:r>
      <w:r w:rsidRPr="00B553B6">
        <w:t>.</w:t>
      </w:r>
      <w:r>
        <w:t xml:space="preserve"> </w:t>
      </w:r>
      <w:r w:rsidRPr="00B82D38">
        <w:t xml:space="preserve">Purchaser acknowledges that </w:t>
      </w:r>
      <w:r w:rsidR="00742990">
        <w:t xml:space="preserve">the </w:t>
      </w:r>
      <w:r w:rsidRPr="00B82D38">
        <w:t xml:space="preserve">Purchaser’s Tokens carry no rights, express or implied, other than the right to use </w:t>
      </w:r>
      <w:r w:rsidR="00742990">
        <w:t xml:space="preserve">the </w:t>
      </w:r>
      <w:r w:rsidRPr="00B82D38">
        <w:t>Purchaser’s Tokens for interaction with the Platform if it is successfully completed and deployed.</w:t>
      </w:r>
    </w:p>
    <w:p w14:paraId="566E916A" w14:textId="34AFB4DD" w:rsidR="00B553B6" w:rsidRPr="00B82D38" w:rsidRDefault="00B553B6" w:rsidP="00B553B6">
      <w:pPr>
        <w:pStyle w:val="Heading2"/>
      </w:pPr>
      <w:r w:rsidRPr="00B553B6">
        <w:rPr>
          <w:b/>
          <w:bCs/>
        </w:rPr>
        <w:t>Risks</w:t>
      </w:r>
      <w:r>
        <w:t xml:space="preserve">. </w:t>
      </w:r>
      <w:r w:rsidRPr="00B82D38">
        <w:t xml:space="preserve">Purchaser is aware of the risks associated with its payment of the Purchase Amount and that it may lose some or all of that amount, and, by purchasing </w:t>
      </w:r>
      <w:r w:rsidR="00742990">
        <w:t xml:space="preserve">the </w:t>
      </w:r>
      <w:r w:rsidRPr="00B82D38">
        <w:t>Purchaser’s Tokens, Purchaser expressly acknowledges, accepts, and assumes these risks.</w:t>
      </w:r>
      <w:r>
        <w:t xml:space="preserve"> </w:t>
      </w:r>
      <w:r w:rsidRPr="00B82D38">
        <w:t>Purchaser has such knowledge and experience in financial and business matters that Purchaser is capable of evaluating the merits and risks of entering into this Agreement, is able to incur a complete loss of the Purchase Amount without impairing Purchaser’s financial condition, and is able to bear the economic risk inherent in the project that is the subject of this Agreement for an indefinite period.</w:t>
      </w:r>
    </w:p>
    <w:p w14:paraId="65F60580" w14:textId="1CFFE8FB" w:rsidR="00B553B6" w:rsidRPr="00B82D38" w:rsidRDefault="00B553B6" w:rsidP="00B553B6">
      <w:pPr>
        <w:pStyle w:val="Heading2"/>
      </w:pPr>
      <w:r w:rsidRPr="00B553B6">
        <w:rPr>
          <w:b/>
          <w:bCs/>
        </w:rPr>
        <w:t>No Ownership</w:t>
      </w:r>
      <w:r>
        <w:t xml:space="preserve">. </w:t>
      </w:r>
      <w:r w:rsidRPr="00B82D38">
        <w:t xml:space="preserve">Purchaser acknowledges that </w:t>
      </w:r>
      <w:r w:rsidR="00742990">
        <w:t xml:space="preserve">the </w:t>
      </w:r>
      <w:r w:rsidRPr="00B82D38">
        <w:t xml:space="preserve">Purchaser’s Tokens do not give Purchaser any ownership rights to Company, including any stake, share, security, or equivalent rights, any right to receive a share of future revenue, or any intellectual property rights. </w:t>
      </w:r>
    </w:p>
    <w:p w14:paraId="2A3DF66A" w14:textId="08F46835" w:rsidR="00B553B6" w:rsidRPr="00B82D38" w:rsidRDefault="00B553B6" w:rsidP="00B553B6">
      <w:pPr>
        <w:pStyle w:val="Heading2"/>
      </w:pPr>
      <w:r>
        <w:rPr>
          <w:b/>
          <w:bCs/>
        </w:rPr>
        <w:t>Independent Advice</w:t>
      </w:r>
      <w:r>
        <w:t>.</w:t>
      </w:r>
      <w:r>
        <w:rPr>
          <w:b/>
          <w:bCs/>
        </w:rPr>
        <w:t xml:space="preserve"> </w:t>
      </w:r>
      <w:r w:rsidRPr="00B82D38">
        <w:t xml:space="preserve">Purchaser has obtained or has had the opportunity to obtain its own independent advice on the risks and merits of entering into this </w:t>
      </w:r>
      <w:r w:rsidR="00F23A5F">
        <w:t>SAFT</w:t>
      </w:r>
      <w:r w:rsidRPr="00B82D38">
        <w:t>.</w:t>
      </w:r>
    </w:p>
    <w:p w14:paraId="4849ACF8" w14:textId="77777777" w:rsidR="00B82D38" w:rsidRPr="007F6216" w:rsidRDefault="00B82D38" w:rsidP="00B82D38">
      <w:pPr>
        <w:pStyle w:val="Heading1"/>
      </w:pPr>
      <w:bookmarkStart w:id="7" w:name="_Ref95418454"/>
      <w:bookmarkStart w:id="8" w:name="_Toc501115152"/>
      <w:bookmarkStart w:id="9" w:name="_Toc501115155"/>
      <w:r w:rsidRPr="007F6216">
        <w:t>ASSUMPTION OF RISKS</w:t>
      </w:r>
      <w:bookmarkEnd w:id="7"/>
    </w:p>
    <w:p w14:paraId="4D7D9151" w14:textId="53CBA39B" w:rsidR="00B82D38" w:rsidRPr="00B82D38" w:rsidRDefault="00B774CF" w:rsidP="00B82D38">
      <w:pPr>
        <w:pStyle w:val="Heading2"/>
      </w:pPr>
      <w:r w:rsidRPr="00B774CF">
        <w:rPr>
          <w:b/>
          <w:bCs/>
        </w:rPr>
        <w:t>General</w:t>
      </w:r>
      <w:r>
        <w:t xml:space="preserve">. </w:t>
      </w:r>
      <w:r w:rsidR="00B82D38">
        <w:t>Purchaser</w:t>
      </w:r>
      <w:r w:rsidR="00B82D38" w:rsidRPr="007F6216">
        <w:t xml:space="preserve"> agrees that, to the maximum extent permitted by </w:t>
      </w:r>
      <w:r>
        <w:t xml:space="preserve">the </w:t>
      </w:r>
      <w:r w:rsidR="00B82D38" w:rsidRPr="007F6216">
        <w:t xml:space="preserve">applicable law, it will assume sole responsibility for all risks involved in its purchase of </w:t>
      </w:r>
      <w:r w:rsidR="00742990">
        <w:t xml:space="preserve">the </w:t>
      </w:r>
      <w:r w:rsidR="00B82D38">
        <w:t>Purchaser</w:t>
      </w:r>
      <w:r w:rsidR="00B82D38" w:rsidRPr="007F6216">
        <w:t xml:space="preserve">’s Tokens, including those set out </w:t>
      </w:r>
      <w:r w:rsidR="00B82D38" w:rsidRPr="00B82D38">
        <w:t xml:space="preserve">in this Section </w:t>
      </w:r>
      <w:r w:rsidR="00B82D38" w:rsidRPr="00B82D38">
        <w:fldChar w:fldCharType="begin"/>
      </w:r>
      <w:r w:rsidR="00B82D38" w:rsidRPr="00B82D38">
        <w:instrText xml:space="preserve"> REF _Ref95418454 \w \h </w:instrText>
      </w:r>
      <w:r w:rsidR="00B82D38">
        <w:instrText xml:space="preserve"> \* MERGEFORMAT </w:instrText>
      </w:r>
      <w:r w:rsidR="00B82D38" w:rsidRPr="00B82D38">
        <w:fldChar w:fldCharType="separate"/>
      </w:r>
      <w:r w:rsidR="00B553B6">
        <w:t>9</w:t>
      </w:r>
      <w:r w:rsidR="00B82D38" w:rsidRPr="00B82D38">
        <w:fldChar w:fldCharType="end"/>
      </w:r>
      <w:r w:rsidR="00B82D38" w:rsidRPr="00B82D38">
        <w:t xml:space="preserve">. Purchaser further acknowledges that this Section </w:t>
      </w:r>
      <w:r w:rsidR="00B82D38" w:rsidRPr="00B82D38">
        <w:fldChar w:fldCharType="begin"/>
      </w:r>
      <w:r w:rsidR="00B82D38" w:rsidRPr="00B82D38">
        <w:instrText xml:space="preserve"> REF _Ref95418454 \w \h </w:instrText>
      </w:r>
      <w:r w:rsidR="00B82D38">
        <w:instrText xml:space="preserve"> \* MERGEFORMAT </w:instrText>
      </w:r>
      <w:r w:rsidR="00B82D38" w:rsidRPr="00B82D38">
        <w:fldChar w:fldCharType="separate"/>
      </w:r>
      <w:r w:rsidR="00B553B6">
        <w:t>9</w:t>
      </w:r>
      <w:r w:rsidR="00B82D38" w:rsidRPr="00B82D38">
        <w:fldChar w:fldCharType="end"/>
      </w:r>
      <w:r w:rsidR="00B82D38" w:rsidRPr="00B82D38">
        <w:t xml:space="preserve"> does not set out an exhaustive list of the risks involved and agrees that it is its sole responsibility to identify and understand any additional risks that may be relevant in its circumstances and seek appropriate legal, tax, and financial advice in connection with these risks.</w:t>
      </w:r>
    </w:p>
    <w:p w14:paraId="653CA77E" w14:textId="77777777" w:rsidR="00B82D38" w:rsidRPr="00B82D38" w:rsidRDefault="00B82D38" w:rsidP="00B82D38">
      <w:pPr>
        <w:pStyle w:val="Heading2"/>
      </w:pPr>
      <w:r w:rsidRPr="00B82D38">
        <w:rPr>
          <w:b/>
          <w:bCs/>
        </w:rPr>
        <w:t>Value</w:t>
      </w:r>
      <w:r w:rsidRPr="00B82D38">
        <w:t>. The Tokens may not have any value or may decrease in value over time or lose all of their value. Company provides no assurance or guarantee about the value of the Tokens in the future or whether any price determined on any secondary market that develops will be equal to or higher than the Token Price.</w:t>
      </w:r>
    </w:p>
    <w:p w14:paraId="62F26929" w14:textId="77777777" w:rsidR="00B82D38" w:rsidRPr="00B82D38" w:rsidRDefault="00B82D38" w:rsidP="00B82D38">
      <w:pPr>
        <w:pStyle w:val="Heading2"/>
      </w:pPr>
      <w:r w:rsidRPr="00B82D38">
        <w:rPr>
          <w:b/>
          <w:bCs/>
        </w:rPr>
        <w:t>Liquidity and Volatility</w:t>
      </w:r>
      <w:r w:rsidRPr="00B82D38">
        <w:t>. An active or liquid market for the Tokens may never develop, and their price may be highly volatile. Company provides no assurance or guarantee that the Tokens will be easily transferable to third parties in the future.</w:t>
      </w:r>
    </w:p>
    <w:p w14:paraId="08B92250" w14:textId="77777777" w:rsidR="00B82D38" w:rsidRPr="00B82D38" w:rsidRDefault="00B82D38" w:rsidP="00B82D38">
      <w:pPr>
        <w:pStyle w:val="Heading2"/>
      </w:pPr>
      <w:r w:rsidRPr="00B82D38">
        <w:rPr>
          <w:b/>
          <w:bCs/>
        </w:rPr>
        <w:lastRenderedPageBreak/>
        <w:t>Platform Completion</w:t>
      </w:r>
      <w:r w:rsidRPr="00B82D38">
        <w:t>. The Platform may never be completed, and the Tokens may never have any utility. This may arise due to a lack of funding, fluctuations in the value of funding received, the departure of key team members, inability to recruit additional personnel required, lack of public support, competition, or the failure of third-party service providers and partners to properly perform their obligations.</w:t>
      </w:r>
    </w:p>
    <w:p w14:paraId="4166176D" w14:textId="3134AC65" w:rsidR="00B82D38" w:rsidRPr="00B82D38" w:rsidRDefault="00B82D38" w:rsidP="00B82D38">
      <w:pPr>
        <w:pStyle w:val="Heading2"/>
      </w:pPr>
      <w:r w:rsidRPr="00B82D38">
        <w:rPr>
          <w:b/>
          <w:bCs/>
        </w:rPr>
        <w:t>Platform Development</w:t>
      </w:r>
      <w:r w:rsidRPr="00B82D38">
        <w:t xml:space="preserve">. The Platform is currently under development. While Company intends to </w:t>
      </w:r>
      <w:r w:rsidR="009411A3">
        <w:t>develop</w:t>
      </w:r>
      <w:r w:rsidRPr="00B82D38">
        <w:t xml:space="preserve"> the Platform </w:t>
      </w:r>
      <w:r w:rsidR="009411A3">
        <w:t xml:space="preserve">with </w:t>
      </w:r>
      <w:r w:rsidRPr="00B82D38">
        <w:t xml:space="preserve">features described in the Token Documentation, the </w:t>
      </w:r>
      <w:r w:rsidR="009411A3">
        <w:t xml:space="preserve">ultimate version of the </w:t>
      </w:r>
      <w:r w:rsidRPr="00B82D38">
        <w:t>Platform</w:t>
      </w:r>
      <w:r w:rsidR="009411A3">
        <w:t xml:space="preserve"> may </w:t>
      </w:r>
      <w:r w:rsidRPr="00B82D38">
        <w:t xml:space="preserve">be materially different </w:t>
      </w:r>
      <w:r w:rsidR="009411A3">
        <w:t xml:space="preserve">what is </w:t>
      </w:r>
      <w:r w:rsidRPr="00B82D38">
        <w:t>described</w:t>
      </w:r>
      <w:r w:rsidR="009411A3">
        <w:t xml:space="preserve"> in the Token Documentation </w:t>
      </w:r>
      <w:r w:rsidR="009411A3" w:rsidRPr="00B82D38">
        <w:t>for a variety of reasons</w:t>
      </w:r>
      <w:r w:rsidRPr="00B82D38">
        <w:t xml:space="preserve">. This may result in the Platform not meeting Purchaser’s expectations or the Token not functioning as originally intended. </w:t>
      </w:r>
    </w:p>
    <w:p w14:paraId="049D8B91" w14:textId="6D3AAD1E" w:rsidR="00B82D38" w:rsidRPr="00B82D38" w:rsidRDefault="00B82D38" w:rsidP="00B82D38">
      <w:pPr>
        <w:pStyle w:val="Heading2"/>
      </w:pPr>
      <w:r w:rsidRPr="00B82D38">
        <w:rPr>
          <w:b/>
          <w:bCs/>
        </w:rPr>
        <w:t>Wallet Access</w:t>
      </w:r>
      <w:r w:rsidRPr="00B82D38">
        <w:t xml:space="preserve">. If Purchaser loses access to Purchaser’s Wallet, Purchaser </w:t>
      </w:r>
      <w:r w:rsidR="00471741">
        <w:t xml:space="preserve">will be </w:t>
      </w:r>
      <w:r w:rsidRPr="00B82D38">
        <w:t xml:space="preserve">unable to retrieve </w:t>
      </w:r>
      <w:r w:rsidR="00742990">
        <w:t xml:space="preserve">the </w:t>
      </w:r>
      <w:r w:rsidRPr="00B82D38">
        <w:t xml:space="preserve">Purchaser’s Tokens. If a third party gains access to </w:t>
      </w:r>
      <w:r w:rsidR="00471741">
        <w:t xml:space="preserve">the </w:t>
      </w:r>
      <w:r w:rsidRPr="00B82D38">
        <w:t xml:space="preserve">Purchaser’s Wallet, it may result in the theft of </w:t>
      </w:r>
      <w:r w:rsidR="00742990">
        <w:t xml:space="preserve">the </w:t>
      </w:r>
      <w:r w:rsidRPr="00B82D38">
        <w:t>Purchaser’s Tokens.</w:t>
      </w:r>
    </w:p>
    <w:p w14:paraId="2AFFDA6C" w14:textId="71FB1970" w:rsidR="00B82D38" w:rsidRPr="00B82D38" w:rsidRDefault="00B82D38" w:rsidP="00B82D38">
      <w:pPr>
        <w:pStyle w:val="Heading2"/>
      </w:pPr>
      <w:r w:rsidRPr="00B82D38">
        <w:rPr>
          <w:b/>
          <w:bCs/>
        </w:rPr>
        <w:t>Security Risks</w:t>
      </w:r>
      <w:r w:rsidRPr="00B82D38">
        <w:t>. While Company will use reasonable efforts to provide a high level of security for its issuance of the Tokens and the future operation of the Platform, Company cannot guarantee that such security will be successful in preventing hackers or malicious groups from stealing or interfering with the use of</w:t>
      </w:r>
      <w:r w:rsidR="00742990">
        <w:t xml:space="preserve"> the</w:t>
      </w:r>
      <w:r w:rsidRPr="00B82D38">
        <w:t xml:space="preserve"> Purchaser’s Tokens.</w:t>
      </w:r>
    </w:p>
    <w:p w14:paraId="346B232C" w14:textId="4090C421" w:rsidR="00B82D38" w:rsidRPr="00B82D38" w:rsidRDefault="00B82D38" w:rsidP="00B82D38">
      <w:pPr>
        <w:pStyle w:val="Heading2"/>
      </w:pPr>
      <w:r w:rsidRPr="00B82D38">
        <w:rPr>
          <w:b/>
          <w:bCs/>
        </w:rPr>
        <w:t>Technology Flaws</w:t>
      </w:r>
      <w:r w:rsidRPr="00B82D38">
        <w:t>. The Token</w:t>
      </w:r>
      <w:r w:rsidR="00425220">
        <w:t>s</w:t>
      </w:r>
      <w:r w:rsidRPr="00B82D38">
        <w:t xml:space="preserve">, the Platform, and all software underpinning them remains untested. Company provides no assurances or guarantees that the process for creating the Tokens will be uninterrupted or error-free, or that the software or related smart contracts will not contain bugs or vulnerabilities that may lead to total loss of </w:t>
      </w:r>
      <w:r w:rsidR="00742990">
        <w:t xml:space="preserve">the </w:t>
      </w:r>
      <w:r w:rsidRPr="00B82D38">
        <w:t>Purchaser’s Tokens.</w:t>
      </w:r>
    </w:p>
    <w:p w14:paraId="0D3122D5" w14:textId="77777777" w:rsidR="00B82D38" w:rsidRPr="00B82D38" w:rsidRDefault="00B82D38" w:rsidP="00B82D38">
      <w:pPr>
        <w:pStyle w:val="Heading2"/>
      </w:pPr>
      <w:r w:rsidRPr="00B82D38">
        <w:rPr>
          <w:b/>
          <w:bCs/>
        </w:rPr>
        <w:t>Commercial Success</w:t>
      </w:r>
      <w:r w:rsidRPr="00B82D38">
        <w:t>. The utility and value of the Tokens will to a great extent depend on the commercial success of the Platform, which, in turn, will depend on a broad range of factors beyond Company’s control. Company makes no assurances or guarantees about the future success of the Platform.</w:t>
      </w:r>
    </w:p>
    <w:p w14:paraId="311202AC" w14:textId="77777777" w:rsidR="00B82D38" w:rsidRPr="00B82D38" w:rsidRDefault="00B82D38" w:rsidP="00B82D38">
      <w:pPr>
        <w:pStyle w:val="Heading2"/>
      </w:pPr>
      <w:r w:rsidRPr="00B82D38">
        <w:rPr>
          <w:b/>
          <w:bCs/>
        </w:rPr>
        <w:t>Authorizations</w:t>
      </w:r>
      <w:r w:rsidRPr="00B82D38">
        <w:t xml:space="preserve">. Company may require various authorizations in order to operate the Platform. Company makes no assurances or guarantees that it will be able to obtain all such authorizations required to provide the Platform either to users in Purchaser’s jurisdiction or at all. </w:t>
      </w:r>
    </w:p>
    <w:p w14:paraId="1AFD4A4B" w14:textId="339821D2" w:rsidR="00B82D38" w:rsidRPr="00B82D38" w:rsidRDefault="00B82D38" w:rsidP="00B82D38">
      <w:pPr>
        <w:pStyle w:val="Heading2"/>
      </w:pPr>
      <w:r w:rsidRPr="00B82D38">
        <w:rPr>
          <w:b/>
          <w:bCs/>
        </w:rPr>
        <w:t>Regulatory Uncertainty</w:t>
      </w:r>
      <w:r w:rsidRPr="00B82D38">
        <w:t xml:space="preserve">. The regulatory landscape governing cryptocurrencies, virtual assets, digital tokens, blockchain technology, decentralized exchanges, and exchange aggregators is continuously evolving and remains unsettled in many jurisdictions. Changes in applicable law or in the manner in which it is interpreted may prevent Purchaser from acquiring or using </w:t>
      </w:r>
      <w:r w:rsidR="00742990">
        <w:t xml:space="preserve">the </w:t>
      </w:r>
      <w:r w:rsidRPr="00B82D38">
        <w:t>Purchaser’s Tokens or accessing the Platform, or Company from issuing the Tokens or operating the Platform.</w:t>
      </w:r>
    </w:p>
    <w:p w14:paraId="0217CF81" w14:textId="777B6B6B" w:rsidR="00B82D38" w:rsidRPr="00B82D38" w:rsidRDefault="00B82D38" w:rsidP="00B82D38">
      <w:pPr>
        <w:pStyle w:val="Heading2"/>
      </w:pPr>
      <w:r w:rsidRPr="00B82D38">
        <w:rPr>
          <w:b/>
          <w:bCs/>
        </w:rPr>
        <w:t>Tax</w:t>
      </w:r>
      <w:r w:rsidRPr="00B82D38">
        <w:t xml:space="preserve">. The tax treatment of the acquisition of digital tokens such as the Token is uncertain in many jurisdictions, and Purchaser may face adverse tax consequences of entering into this </w:t>
      </w:r>
      <w:r w:rsidR="00696DBB">
        <w:t>SAFT</w:t>
      </w:r>
      <w:r w:rsidRPr="00B82D38">
        <w:t>. Purchaser should seek professional tax advice with respect to its acquisition of Purchaser’s Tokens.</w:t>
      </w:r>
    </w:p>
    <w:p w14:paraId="66803A70" w14:textId="7EC0135F" w:rsidR="00B82D38" w:rsidRPr="00B82D38" w:rsidRDefault="00B82D38" w:rsidP="00B82D38">
      <w:pPr>
        <w:pStyle w:val="Heading2"/>
      </w:pPr>
      <w:r w:rsidRPr="00B82D38">
        <w:rPr>
          <w:b/>
          <w:bCs/>
        </w:rPr>
        <w:lastRenderedPageBreak/>
        <w:t>Hedging Costs</w:t>
      </w:r>
      <w:r w:rsidRPr="00B82D38">
        <w:t xml:space="preserve">. On receipt of any funds in stablecoins from Purchaser, Company may elect to convert such funds into BTC, ETH, or other cryptocurrency for the purpose of further usage </w:t>
      </w:r>
      <w:r w:rsidR="0015518F">
        <w:t xml:space="preserve">of the funds </w:t>
      </w:r>
      <w:r w:rsidRPr="00B82D38">
        <w:t>in the cryptocurrency ecosystem, such as liquidity incentives. In such circumstances, depending on market fluctuations, the amount of BTC, ETH, or other cryptocurrency may be significantly lower than the original value that Company received.</w:t>
      </w:r>
    </w:p>
    <w:p w14:paraId="6981D3EB" w14:textId="77777777" w:rsidR="00B82D38" w:rsidRPr="007F6216" w:rsidRDefault="00B82D38" w:rsidP="00B82D38">
      <w:pPr>
        <w:pStyle w:val="Heading1"/>
      </w:pPr>
      <w:r w:rsidRPr="007F6216">
        <w:t xml:space="preserve">KNOW YOUR CUSTOMER AND </w:t>
      </w:r>
      <w:r w:rsidRPr="00B82D38">
        <w:t>ANTI</w:t>
      </w:r>
      <w:r w:rsidRPr="007F6216">
        <w:t>-MONEY LAUNDERING</w:t>
      </w:r>
    </w:p>
    <w:p w14:paraId="34ABC82C" w14:textId="39371413" w:rsidR="00B82D38" w:rsidRPr="00B82D38" w:rsidRDefault="00B82D38" w:rsidP="00B82D38">
      <w:pPr>
        <w:pStyle w:val="Heading2"/>
      </w:pPr>
      <w:r w:rsidRPr="007F6216">
        <w:t xml:space="preserve">Company reserves the right to conduct </w:t>
      </w:r>
      <w:r w:rsidR="00A534CF" w:rsidRPr="00B82D38">
        <w:rPr>
          <w:rFonts w:eastAsia="Arial"/>
          <w:color w:val="000000"/>
        </w:rPr>
        <w:t xml:space="preserve">know-your-customer, anti-money laundering, and counter-terrorist financing checks </w:t>
      </w:r>
      <w:r w:rsidRPr="00B82D38">
        <w:t>on Purchaser if Company deems it necessary or such checks become required under applicable laws in any jurisdiction.</w:t>
      </w:r>
    </w:p>
    <w:p w14:paraId="3D2B05BE" w14:textId="1F8B2C81" w:rsidR="00B82D38" w:rsidRPr="00B82D38" w:rsidRDefault="00B82D38" w:rsidP="00B82D38">
      <w:pPr>
        <w:pStyle w:val="Heading2"/>
      </w:pPr>
      <w:r w:rsidRPr="00B82D38">
        <w:t xml:space="preserve">Upon Company’s request, Purchaser will immediately provide Company with information and documents that Company, in its sole discretion, deems necessary or appropriate to conduct </w:t>
      </w:r>
      <w:r w:rsidR="00A534CF" w:rsidRPr="00B82D38">
        <w:rPr>
          <w:rFonts w:eastAsia="Arial"/>
          <w:color w:val="000000"/>
        </w:rPr>
        <w:t>know-your-customer, anti-money laundering, and counter-terrorist financing checks</w:t>
      </w:r>
      <w:r w:rsidRPr="00B82D38">
        <w:t>. Such documents may include passports, driver’s licenses, utility bills, photographs of associated individuals, government identification cards, or sworn statements before notaries or other equivalent professionals.</w:t>
      </w:r>
    </w:p>
    <w:p w14:paraId="368827FC" w14:textId="07C2B830" w:rsidR="00B82D38" w:rsidRPr="00B82D38" w:rsidRDefault="00B82D38" w:rsidP="00B82D38">
      <w:pPr>
        <w:pStyle w:val="Heading2"/>
      </w:pPr>
      <w:r w:rsidRPr="00B82D38">
        <w:t xml:space="preserve">Company may refuse to distribute </w:t>
      </w:r>
      <w:r w:rsidR="006A0D23">
        <w:t xml:space="preserve">the </w:t>
      </w:r>
      <w:r w:rsidRPr="00B82D38">
        <w:t xml:space="preserve">Purchaser’s Tokens to Purchaser until Purchaser provides the requested information. Company may refuse </w:t>
      </w:r>
      <w:r w:rsidR="006A26BC">
        <w:t xml:space="preserve">to accept or cancel the </w:t>
      </w:r>
      <w:r w:rsidRPr="00B82D38">
        <w:t xml:space="preserve">purchase </w:t>
      </w:r>
      <w:r w:rsidR="006A26BC">
        <w:t xml:space="preserve">of the Purchaser’s </w:t>
      </w:r>
      <w:r w:rsidRPr="00B82D38">
        <w:t xml:space="preserve">Tokens if, based on information available to Company, Purchaser is suspected of receiving funds that Purchaser intends to use to purchase </w:t>
      </w:r>
      <w:r w:rsidR="004F76AC">
        <w:t xml:space="preserve">the </w:t>
      </w:r>
      <w:r w:rsidRPr="00B82D38">
        <w:t>Tokens from money laundering, terrorism financing, or any other illegal activity. Company may take any measures to prevent money laundering, terrorism financing, or any other illegal activity, including blocking Purchaser’s Wallet or providing information about Purchaser to any regulatory authority.</w:t>
      </w:r>
    </w:p>
    <w:p w14:paraId="2072BFD9" w14:textId="77777777" w:rsidR="00B82D38" w:rsidRPr="00B82D38" w:rsidRDefault="00B82D38" w:rsidP="00B82D38">
      <w:pPr>
        <w:pStyle w:val="Heading2"/>
      </w:pPr>
      <w:r w:rsidRPr="00B82D38">
        <w:t>All payments by Purchaser under this Agreement will be made only in Purchaser’s name from a digital wallet or bank account not located in a country or territory that has been designated as a “non-cooperative country or territory” by the Financial Action Task Force and is not a “foreign shell bank” within the meaning of the U.S. Bank Secrecy Act, 31 U.S.C.§ 5311 et seq., as amended, and the regulations promulgated under it by the Financial Crimes Enforcement Network, as such regulations may be amended from time to time.</w:t>
      </w:r>
    </w:p>
    <w:p w14:paraId="6D369E61" w14:textId="77777777" w:rsidR="00B82D38" w:rsidRPr="007F6216" w:rsidRDefault="00B82D38" w:rsidP="00B82D38">
      <w:pPr>
        <w:pStyle w:val="Heading1"/>
      </w:pPr>
      <w:r w:rsidRPr="007F6216">
        <w:t>CONFIDENTIALITY</w:t>
      </w:r>
      <w:r w:rsidRPr="007F6216">
        <w:rPr>
          <w:b w:val="0"/>
          <w:highlight w:val="yellow"/>
        </w:rPr>
        <w:t xml:space="preserve"> </w:t>
      </w:r>
    </w:p>
    <w:p w14:paraId="6366D211" w14:textId="77777777" w:rsidR="00B82D38" w:rsidRPr="00B82D38" w:rsidRDefault="00B82D38" w:rsidP="00B82D38">
      <w:pPr>
        <w:pStyle w:val="Heading2"/>
      </w:pPr>
      <w:r>
        <w:t>Each party</w:t>
      </w:r>
      <w:r w:rsidRPr="007F6216">
        <w:t xml:space="preserve"> agree</w:t>
      </w:r>
      <w:r>
        <w:t>s</w:t>
      </w:r>
      <w:r w:rsidRPr="007F6216">
        <w:t xml:space="preserve"> to take reasonable measures to prevent disclosure of any</w:t>
      </w:r>
      <w:r>
        <w:t xml:space="preserve"> </w:t>
      </w:r>
      <w:r w:rsidRPr="004E79FF">
        <w:t>Confidential Information</w:t>
      </w:r>
      <w:r w:rsidRPr="007F6216">
        <w:t xml:space="preserve"> received from </w:t>
      </w:r>
      <w:r>
        <w:t>the other</w:t>
      </w:r>
      <w:r w:rsidRPr="007F6216">
        <w:t xml:space="preserve"> party</w:t>
      </w:r>
      <w:r>
        <w:t xml:space="preserve">. </w:t>
      </w:r>
      <w:r w:rsidRPr="007F6216">
        <w:t xml:space="preserve">The parties are prohibited from using Confidential Information for any purposes other than those set forth in this Agreement. </w:t>
      </w:r>
    </w:p>
    <w:p w14:paraId="02178406" w14:textId="38795546" w:rsidR="00F47E76" w:rsidRPr="00F47E76" w:rsidRDefault="00B82D38" w:rsidP="00F47E76">
      <w:pPr>
        <w:pStyle w:val="Heading2"/>
      </w:pPr>
      <w:r w:rsidRPr="00B82D38">
        <w:t xml:space="preserve">The parties may provide access to Confidential Information if required to do so by law, rule, or regulation, provided that the receiving party gives as much notice as is reasonably practical and provides reasonable assistance to the disclosing party in challenging the disclosure required by law, rule, or regulation. </w:t>
      </w:r>
    </w:p>
    <w:p w14:paraId="5EECB453" w14:textId="77777777" w:rsidR="00B82D38" w:rsidRPr="00B82D38" w:rsidRDefault="00B82D38" w:rsidP="00B82D38">
      <w:pPr>
        <w:pStyle w:val="Heading2"/>
      </w:pPr>
      <w:r w:rsidRPr="00B82D38">
        <w:t xml:space="preserve">The obligations with respect to Confidential Information will survive until the Confidential Information is destroyed. </w:t>
      </w:r>
    </w:p>
    <w:p w14:paraId="39CECB5D" w14:textId="77777777" w:rsidR="00B82D38" w:rsidRPr="00B82D38" w:rsidRDefault="00B82D38" w:rsidP="00B82D38">
      <w:pPr>
        <w:pStyle w:val="Heading2"/>
      </w:pPr>
      <w:r w:rsidRPr="00B82D38">
        <w:lastRenderedPageBreak/>
        <w:t>If a party breaches any of its obligations with respect to confidentiality or unauthorized use of Confidential Information, the non-breaching party will be entitled to equitable relief to protect its interest in its Confidential Information, which includes injunctive relief and monetary damages.</w:t>
      </w:r>
      <w:bookmarkEnd w:id="8"/>
    </w:p>
    <w:p w14:paraId="4D5C8840" w14:textId="3DBAED19" w:rsidR="00B82D38" w:rsidRPr="007F6216" w:rsidRDefault="00B82D38" w:rsidP="00B82D38">
      <w:pPr>
        <w:pStyle w:val="Heading2"/>
      </w:pPr>
      <w:r w:rsidRPr="00B82D38">
        <w:t xml:space="preserve">No public announcement or press release in connection with the subject matter of the </w:t>
      </w:r>
      <w:r w:rsidR="00F47E76">
        <w:t>SAFT</w:t>
      </w:r>
      <w:r w:rsidRPr="00B82D38">
        <w:t xml:space="preserve"> will be made or issued</w:t>
      </w:r>
      <w:r w:rsidRPr="007F6216">
        <w:t xml:space="preserve"> by or on behalf of </w:t>
      </w:r>
      <w:r>
        <w:t>Purchaser</w:t>
      </w:r>
      <w:r w:rsidRPr="007F6216">
        <w:t xml:space="preserve"> without the prior written approval of Company</w:t>
      </w:r>
      <w:r>
        <w:t>, unless</w:t>
      </w:r>
      <w:r w:rsidRPr="007F6216">
        <w:t xml:space="preserve"> the announcement or press release is required by law or by any governmental authority.</w:t>
      </w:r>
    </w:p>
    <w:p w14:paraId="71E3D471" w14:textId="77777777" w:rsidR="00B82D38" w:rsidRDefault="00B82D38" w:rsidP="00B82D38">
      <w:pPr>
        <w:pStyle w:val="Heading1"/>
      </w:pPr>
      <w:r>
        <w:t>TERMINATION</w:t>
      </w:r>
    </w:p>
    <w:p w14:paraId="4C59E10C" w14:textId="77777777" w:rsidR="00B82D38" w:rsidRPr="00443D54" w:rsidRDefault="00B82D38" w:rsidP="00B82D38">
      <w:pPr>
        <w:pStyle w:val="Heading2"/>
      </w:pPr>
      <w:r w:rsidRPr="00443D54">
        <w:t xml:space="preserve">This Agreement will terminate upon </w:t>
      </w:r>
      <w:r w:rsidRPr="00B82D38">
        <w:t>the</w:t>
      </w:r>
      <w:r w:rsidRPr="00443D54">
        <w:t xml:space="preserve"> first of the following events to occur:</w:t>
      </w:r>
    </w:p>
    <w:p w14:paraId="2F1B55B6" w14:textId="368BCFB3" w:rsidR="00B82D38" w:rsidRPr="00B82D38" w:rsidRDefault="00B82D38" w:rsidP="00B82D38">
      <w:pPr>
        <w:pStyle w:val="Heading3"/>
      </w:pPr>
      <w:r w:rsidRPr="00B82D38">
        <w:t xml:space="preserve">delivery of </w:t>
      </w:r>
      <w:r w:rsidR="00CF5000">
        <w:t xml:space="preserve">the </w:t>
      </w:r>
      <w:r w:rsidRPr="00B82D38">
        <w:t>Purchaser’s Tokens to Purchaser;</w:t>
      </w:r>
    </w:p>
    <w:p w14:paraId="46B4047A" w14:textId="77777777" w:rsidR="00B82D38" w:rsidRPr="00B82D38" w:rsidRDefault="00B82D38" w:rsidP="00B82D38">
      <w:pPr>
        <w:pStyle w:val="Heading3"/>
      </w:pPr>
      <w:r w:rsidRPr="00B82D38">
        <w:t>mutual agreement of the parties; or</w:t>
      </w:r>
    </w:p>
    <w:p w14:paraId="031CA29A" w14:textId="270F0592" w:rsidR="00B82D38" w:rsidRPr="00B82D38" w:rsidRDefault="00B82D38" w:rsidP="00B82D38">
      <w:pPr>
        <w:pStyle w:val="Heading3"/>
      </w:pPr>
      <w:r w:rsidRPr="00B82D38">
        <w:t>Company’s</w:t>
      </w:r>
      <w:r w:rsidR="00EE2C99">
        <w:t xml:space="preserve"> or Purchaser’s</w:t>
      </w:r>
      <w:r w:rsidRPr="00B82D38">
        <w:t xml:space="preserve"> action under Section</w:t>
      </w:r>
      <w:r w:rsidR="00EE2C99">
        <w:t xml:space="preserve"> </w:t>
      </w:r>
      <w:r w:rsidR="00EE2C99">
        <w:fldChar w:fldCharType="begin"/>
      </w:r>
      <w:r w:rsidR="00EE2C99">
        <w:instrText xml:space="preserve"> REF _Ref137476805 \r \h </w:instrText>
      </w:r>
      <w:r w:rsidR="00EE2C99">
        <w:fldChar w:fldCharType="separate"/>
      </w:r>
      <w:r w:rsidR="00EE2C99">
        <w:t>4</w:t>
      </w:r>
      <w:r w:rsidR="00EE2C99">
        <w:fldChar w:fldCharType="end"/>
      </w:r>
      <w:r w:rsidRPr="00B82D38">
        <w:t>.</w:t>
      </w:r>
    </w:p>
    <w:p w14:paraId="7C969F18" w14:textId="77777777" w:rsidR="00B82D38" w:rsidRPr="007F6216" w:rsidRDefault="00B82D38" w:rsidP="00B82D38">
      <w:pPr>
        <w:pStyle w:val="Heading1"/>
      </w:pPr>
      <w:r w:rsidRPr="007F6216">
        <w:t>MISCELLANEOUS PROVISIONS</w:t>
      </w:r>
      <w:bookmarkEnd w:id="9"/>
    </w:p>
    <w:p w14:paraId="396261EB" w14:textId="58E0B028" w:rsidR="00B82D38" w:rsidRPr="00B82D38" w:rsidRDefault="00B82D38" w:rsidP="00B82D38">
      <w:pPr>
        <w:pStyle w:val="Heading2"/>
      </w:pPr>
      <w:r w:rsidRPr="007F6216">
        <w:rPr>
          <w:b/>
        </w:rPr>
        <w:t>Successors and Assigns.</w:t>
      </w:r>
      <w:r w:rsidRPr="007F6216">
        <w:t xml:space="preserve"> </w:t>
      </w:r>
      <w:r w:rsidRPr="00603688">
        <w:t xml:space="preserve">This </w:t>
      </w:r>
      <w:r w:rsidR="00F723F5">
        <w:t>SAFT</w:t>
      </w:r>
      <w:r w:rsidRPr="00603688">
        <w:t xml:space="preserve"> will be binding on </w:t>
      </w:r>
      <w:r>
        <w:t>parties’</w:t>
      </w:r>
      <w:r w:rsidRPr="00603688">
        <w:t xml:space="preserve"> successors, assigns, heirs, executors, </w:t>
      </w:r>
      <w:r w:rsidRPr="00B82D38">
        <w:t xml:space="preserve">administrators, and other legal representatives. </w:t>
      </w:r>
    </w:p>
    <w:p w14:paraId="0E534B11" w14:textId="73AB42E6" w:rsidR="00B82D38" w:rsidRPr="00B82D38" w:rsidRDefault="00B82D38" w:rsidP="00B82D38">
      <w:pPr>
        <w:pStyle w:val="Heading2"/>
      </w:pPr>
      <w:r w:rsidRPr="00B82D38">
        <w:rPr>
          <w:b/>
          <w:bCs/>
        </w:rPr>
        <w:t>Independent Contractors</w:t>
      </w:r>
      <w:r w:rsidRPr="00B82D38">
        <w:t xml:space="preserve">. In the performance of their obligations under this </w:t>
      </w:r>
      <w:r w:rsidR="00F723F5">
        <w:t>SAFT</w:t>
      </w:r>
      <w:r w:rsidRPr="00B82D38">
        <w:t xml:space="preserve">, both parties will act only as independent contractors. It is not the intent of the parties to create under this </w:t>
      </w:r>
      <w:r w:rsidR="0042686C">
        <w:t xml:space="preserve">SAFT </w:t>
      </w:r>
      <w:r w:rsidRPr="00B82D38">
        <w:t>a joint venture, partnership, business association, or other form of business entity.</w:t>
      </w:r>
    </w:p>
    <w:p w14:paraId="2C7384B9" w14:textId="5B182827" w:rsidR="00B82D38" w:rsidRPr="00B82D38" w:rsidRDefault="00B82D38" w:rsidP="00B82D38">
      <w:pPr>
        <w:pStyle w:val="Heading2"/>
      </w:pPr>
      <w:r w:rsidRPr="00B82D38">
        <w:rPr>
          <w:b/>
          <w:bCs/>
        </w:rPr>
        <w:t>Modification; Waiver</w:t>
      </w:r>
      <w:r w:rsidRPr="00B82D38">
        <w:t xml:space="preserve">. This </w:t>
      </w:r>
      <w:r w:rsidR="002003CF">
        <w:t>SAFT</w:t>
      </w:r>
      <w:r w:rsidRPr="00B82D38">
        <w:t xml:space="preserve"> may only be modified or amended by a written instrument signed by both parties. No waiver will be implied from Company’s conduct or failure to enforce rights, and no waiver will be effective unless in writing signed on behalf of Company. Company’s exercise of any right or remedy provided in this </w:t>
      </w:r>
      <w:r w:rsidR="002003CF">
        <w:t xml:space="preserve">SAFT </w:t>
      </w:r>
      <w:r w:rsidRPr="00B82D38">
        <w:t>will be without prejudice to Company’s right to exercise any other right or remedy provided by law or equity, except as expressly limited in this Agreement.</w:t>
      </w:r>
    </w:p>
    <w:p w14:paraId="66B773DD" w14:textId="2B82019C" w:rsidR="00B82D38" w:rsidRPr="00B82D38" w:rsidRDefault="00B82D38" w:rsidP="00B82D38">
      <w:pPr>
        <w:pStyle w:val="Heading2"/>
      </w:pPr>
      <w:r w:rsidRPr="00B82D38">
        <w:rPr>
          <w:b/>
          <w:bCs/>
        </w:rPr>
        <w:t>Notices</w:t>
      </w:r>
      <w:r w:rsidRPr="00B82D38">
        <w:t xml:space="preserve">. If notices required by this Agreement to be in writing are provided using the parties’ contact information on the signature page of this Agreement or such other contact information as either party may from time to time designate by notice to the other party, such notices will be effective (a) immediately upon personal delivery or e-mail transmission, (b) </w:t>
      </w:r>
      <w:r w:rsidR="00D85B25">
        <w:t>one</w:t>
      </w:r>
      <w:r w:rsidRPr="00B82D38">
        <w:t xml:space="preserve"> day after being deposited with a nationally recognized carrier assuring overnight delivery, or (c) </w:t>
      </w:r>
      <w:r w:rsidR="00D85B25">
        <w:t xml:space="preserve">two </w:t>
      </w:r>
      <w:r w:rsidRPr="00B82D38">
        <w:t>days after being sent by registered or certified mail, return receipt requested, postage prepaid.</w:t>
      </w:r>
    </w:p>
    <w:p w14:paraId="30E753D4" w14:textId="7C8C7307" w:rsidR="00B553B6" w:rsidRPr="00B553B6" w:rsidRDefault="00B553B6" w:rsidP="00B553B6">
      <w:pPr>
        <w:pStyle w:val="Heading2"/>
      </w:pPr>
      <w:bookmarkStart w:id="10" w:name="_Ref121136715"/>
      <w:r w:rsidRPr="00194EEE">
        <w:rPr>
          <w:b/>
          <w:lang w:val="en-GB"/>
        </w:rPr>
        <w:t>Governing Law</w:t>
      </w:r>
      <w:r w:rsidRPr="00194EEE">
        <w:rPr>
          <w:lang w:val="en-GB"/>
        </w:rPr>
        <w:t xml:space="preserve">. This </w:t>
      </w:r>
      <w:r w:rsidR="00E268F1">
        <w:rPr>
          <w:lang w:val="en-GB"/>
        </w:rPr>
        <w:t>SAFT</w:t>
      </w:r>
      <w:r w:rsidRPr="00194EEE">
        <w:rPr>
          <w:lang w:val="en-GB"/>
        </w:rPr>
        <w:t xml:space="preserve"> shall be governed by and construed under the laws of </w:t>
      </w:r>
      <w:r w:rsidRPr="00B553B6">
        <w:t xml:space="preserve">the </w:t>
      </w:r>
      <w:r w:rsidR="007D246A">
        <w:t>jurisdiction set forth in the Key Terms</w:t>
      </w:r>
      <w:r w:rsidRPr="00B553B6">
        <w:t>, without regard to the conflicts of law provisions of such jurisdiction.</w:t>
      </w:r>
      <w:bookmarkEnd w:id="10"/>
    </w:p>
    <w:p w14:paraId="3587BBBE" w14:textId="646BD866" w:rsidR="00B553B6" w:rsidRPr="00B553B6" w:rsidRDefault="00B553B6" w:rsidP="00B553B6">
      <w:pPr>
        <w:pStyle w:val="Heading2"/>
      </w:pPr>
      <w:bookmarkStart w:id="11" w:name="_Ref121137068"/>
      <w:r w:rsidRPr="00B553B6">
        <w:rPr>
          <w:b/>
          <w:bCs/>
        </w:rPr>
        <w:t>Dispute Resolution</w:t>
      </w:r>
      <w:r w:rsidRPr="00B553B6">
        <w:t xml:space="preserve">. Any dispute, claim or controversy arising out of or relating to this </w:t>
      </w:r>
      <w:r w:rsidR="00F46505">
        <w:t>SAFT</w:t>
      </w:r>
      <w:r w:rsidRPr="00B553B6">
        <w:t xml:space="preserve">, including but not limited to a claim or controversy regarding the breach, </w:t>
      </w:r>
      <w:r w:rsidRPr="00B553B6">
        <w:lastRenderedPageBreak/>
        <w:t>termination, enforcement, interpretation or validity thereof, including the determination of the scope or applicability of this agreement to arbitrate, shall be determined and resolved by arbitration in New York, New York before an arbitrator chosen by mutual consent of the parties. The arbitration shall be administered by American Arbitration Association under its rules and procedures. This Section shall not preclude parties from seeking provisional remedies in aid of arbitration from a court of appropriate jurisdiction. In any arbitration arising out of or related to this Warrant, the arbitrator shall award to the prevailing party, if any, the costs and attorneys’ fees reasonably incurred by the prevailing party in connection with the arbitration. If the arbitrator determines a party to be the prevailing party under circumstances where the prevailing party won on some but not all of the claims and counterclaims, the arbitrator may award the prevailing party an appropriate percentage of the costs and attorneys’ fees reasonably incurred by the prevailing party in connection with the arbitration.</w:t>
      </w:r>
      <w:bookmarkEnd w:id="11"/>
    </w:p>
    <w:p w14:paraId="322B8D49" w14:textId="3E9D9AB8" w:rsidR="00B82D38" w:rsidRPr="00B82D38" w:rsidRDefault="00B82D38" w:rsidP="00B82D38">
      <w:pPr>
        <w:pStyle w:val="Heading2"/>
      </w:pPr>
      <w:r w:rsidRPr="00B82D38">
        <w:rPr>
          <w:b/>
          <w:bCs/>
        </w:rPr>
        <w:t>Equitable Relief</w:t>
      </w:r>
      <w:r w:rsidRPr="00B82D38">
        <w:t xml:space="preserve">. Company will have the right to seek injunctive or other equitable relief from a court of competent jurisdiction in case of a breach of any of Purchaser’s duties under this </w:t>
      </w:r>
      <w:r w:rsidR="0065330A">
        <w:t>SAFT</w:t>
      </w:r>
      <w:r w:rsidRPr="00B82D38">
        <w:t xml:space="preserve"> or in the context of a bona fide emergency or prospective irreparable harm to Company.</w:t>
      </w:r>
    </w:p>
    <w:p w14:paraId="4BD80AED" w14:textId="61D98E5A" w:rsidR="00B82D38" w:rsidRPr="00B82D38" w:rsidRDefault="00B82D38" w:rsidP="00B82D38">
      <w:pPr>
        <w:pStyle w:val="Heading2"/>
      </w:pPr>
      <w:r w:rsidRPr="00B82D38">
        <w:rPr>
          <w:b/>
          <w:bCs/>
        </w:rPr>
        <w:t>Third-Party Rights</w:t>
      </w:r>
      <w:r w:rsidRPr="00B82D38">
        <w:t xml:space="preserve">. Except as otherwise provided in this </w:t>
      </w:r>
      <w:r w:rsidR="005934F1">
        <w:t>SAFT</w:t>
      </w:r>
      <w:r w:rsidRPr="00B82D38">
        <w:t xml:space="preserve">, this </w:t>
      </w:r>
      <w:r w:rsidR="005934F1">
        <w:t xml:space="preserve">SAFT </w:t>
      </w:r>
      <w:r w:rsidRPr="00B82D38">
        <w:t>is intended solely for the benefit of Purchaser and Company and is not intended to confer third-party beneficiary rights upon any other person or entity.</w:t>
      </w:r>
    </w:p>
    <w:p w14:paraId="3A280508" w14:textId="6D620043" w:rsidR="00B82D38" w:rsidRPr="00B82D38" w:rsidRDefault="00B82D38" w:rsidP="00B82D38">
      <w:pPr>
        <w:pStyle w:val="Heading2"/>
      </w:pPr>
      <w:r w:rsidRPr="00B82D38">
        <w:rPr>
          <w:b/>
          <w:bCs/>
        </w:rPr>
        <w:t>Assignment</w:t>
      </w:r>
      <w:r w:rsidRPr="00B82D38">
        <w:t xml:space="preserve">. Purchaser may not assign this </w:t>
      </w:r>
      <w:r w:rsidR="00662A5D">
        <w:t>SAFT</w:t>
      </w:r>
      <w:r w:rsidR="00662A5D" w:rsidRPr="00B82D38">
        <w:t xml:space="preserve"> </w:t>
      </w:r>
      <w:r w:rsidRPr="00B82D38">
        <w:t xml:space="preserve">or any interest in it or delegate any of its duties under it to any third party without Company’s prior written consent. Any attempted assignment or delegation without that consent will be void. Company may assign this Agreement to its Affiliates, </w:t>
      </w:r>
      <w:r w:rsidR="008A3BBD">
        <w:t xml:space="preserve">and </w:t>
      </w:r>
      <w:r w:rsidRPr="00B82D38">
        <w:t>successors, in which case Purchaser’s obligations under this Agreement will continue in full force.</w:t>
      </w:r>
    </w:p>
    <w:p w14:paraId="4BFE0913" w14:textId="4E71A7B1" w:rsidR="00B82D38" w:rsidRPr="00B82D38" w:rsidRDefault="00B82D38" w:rsidP="00B82D38">
      <w:pPr>
        <w:pStyle w:val="Heading2"/>
      </w:pPr>
      <w:r w:rsidRPr="00B82D38">
        <w:rPr>
          <w:b/>
          <w:bCs/>
        </w:rPr>
        <w:t>Survival</w:t>
      </w:r>
      <w:r w:rsidRPr="00B82D38">
        <w:t>. Termination of this</w:t>
      </w:r>
      <w:r w:rsidR="001C726B">
        <w:t xml:space="preserve"> SAFT</w:t>
      </w:r>
      <w:r w:rsidRPr="00B82D38">
        <w:t xml:space="preserve"> does not release any party from liabilities or obligations set forth in the </w:t>
      </w:r>
      <w:r w:rsidR="001C726B">
        <w:t>SAFT</w:t>
      </w:r>
      <w:r w:rsidRPr="00B82D38">
        <w:t xml:space="preserve"> that (a) the parties have expressly agreed would survive termination or (b) remain to be performed.</w:t>
      </w:r>
    </w:p>
    <w:p w14:paraId="6BAF06BA" w14:textId="1EA2D7F4" w:rsidR="00B82D38" w:rsidRPr="00B82D38" w:rsidRDefault="00B82D38" w:rsidP="00B82D38">
      <w:pPr>
        <w:pStyle w:val="Heading2"/>
      </w:pPr>
      <w:r w:rsidRPr="00B82D38">
        <w:rPr>
          <w:b/>
          <w:bCs/>
        </w:rPr>
        <w:t>Severability</w:t>
      </w:r>
      <w:r w:rsidRPr="00B82D38">
        <w:t xml:space="preserve">. If any of the provisions of this </w:t>
      </w:r>
      <w:r w:rsidR="001C726B">
        <w:t xml:space="preserve">SAFT </w:t>
      </w:r>
      <w:r w:rsidRPr="00B82D38">
        <w:t xml:space="preserve">are or become illegal, unenforceable, or invalid, the remainder of this </w:t>
      </w:r>
      <w:r w:rsidR="001C726B">
        <w:t>SAFT</w:t>
      </w:r>
      <w:r w:rsidR="001C726B" w:rsidRPr="00B82D38">
        <w:t xml:space="preserve"> </w:t>
      </w:r>
      <w:r w:rsidRPr="00B82D38">
        <w:t>will remain in full force and effect without being impaired or invalidated.</w:t>
      </w:r>
    </w:p>
    <w:p w14:paraId="7858740A" w14:textId="409A990F" w:rsidR="00970A4E" w:rsidRPr="00B82D38" w:rsidRDefault="00970A4E" w:rsidP="00970A4E">
      <w:pPr>
        <w:pStyle w:val="Heading2"/>
      </w:pPr>
      <w:r w:rsidRPr="00B82D38">
        <w:rPr>
          <w:b/>
          <w:bCs/>
        </w:rPr>
        <w:t>Entire Agreement</w:t>
      </w:r>
      <w:r w:rsidRPr="00B82D38">
        <w:t xml:space="preserve">. This </w:t>
      </w:r>
      <w:r>
        <w:t>SAFT</w:t>
      </w:r>
      <w:r w:rsidRPr="00B82D38">
        <w:t xml:space="preserve"> contains the entire understanding of the parties with respect to the matters contained in it and supersedes all previous agreements and undertakings of the parties relating to the same subject matter. </w:t>
      </w:r>
    </w:p>
    <w:p w14:paraId="34A1EBD5" w14:textId="4CC58319" w:rsidR="00B82D38" w:rsidRPr="00B82D38" w:rsidRDefault="00B82D38" w:rsidP="00B82D38">
      <w:pPr>
        <w:pStyle w:val="Heading2"/>
      </w:pPr>
      <w:r w:rsidRPr="00B82D38">
        <w:rPr>
          <w:b/>
          <w:bCs/>
        </w:rPr>
        <w:t>Counterparts</w:t>
      </w:r>
      <w:r w:rsidRPr="00B82D38">
        <w:t xml:space="preserve">. This </w:t>
      </w:r>
      <w:r w:rsidR="001C726B">
        <w:t xml:space="preserve">SAFT </w:t>
      </w:r>
      <w:r w:rsidRPr="00B82D38">
        <w:t>may be executed in any number of counterparts, each of which will be deemed an original for the purposes of this Agreement.</w:t>
      </w:r>
    </w:p>
    <w:p w14:paraId="72EE8161" w14:textId="77777777" w:rsidR="0078648F" w:rsidRPr="00B82D38" w:rsidRDefault="0078648F" w:rsidP="0078648F">
      <w:pPr>
        <w:spacing w:after="160"/>
        <w:jc w:val="center"/>
        <w:rPr>
          <w:lang w:val="en-US"/>
        </w:rPr>
      </w:pPr>
    </w:p>
    <w:p w14:paraId="7C0AB333" w14:textId="212223B9" w:rsidR="00DB775D" w:rsidRPr="00BF25D4" w:rsidRDefault="0078648F" w:rsidP="00BF25D4">
      <w:pPr>
        <w:spacing w:after="160"/>
        <w:jc w:val="center"/>
      </w:pPr>
      <w:r>
        <w:t>*</w:t>
      </w:r>
      <w:r>
        <w:tab/>
      </w:r>
      <w:r>
        <w:tab/>
        <w:t>*</w:t>
      </w:r>
      <w:r>
        <w:tab/>
      </w:r>
      <w:r>
        <w:tab/>
        <w:t>*</w:t>
      </w:r>
    </w:p>
    <w:sectPr w:rsidR="00DB775D" w:rsidRPr="00BF25D4" w:rsidSect="00CB4B41">
      <w:footerReference w:type="default" r:id="rId9"/>
      <w:headerReference w:type="first" r:id="rId10"/>
      <w:footerReference w:type="firs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094ED" w14:textId="77777777" w:rsidR="00CB4B41" w:rsidRDefault="00CB4B41" w:rsidP="00361BB1">
      <w:pPr>
        <w:spacing w:after="0"/>
      </w:pPr>
      <w:r>
        <w:separator/>
      </w:r>
    </w:p>
  </w:endnote>
  <w:endnote w:type="continuationSeparator" w:id="0">
    <w:p w14:paraId="379DD34F" w14:textId="77777777" w:rsidR="00CB4B41" w:rsidRDefault="00CB4B41" w:rsidP="0036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5"/>
      <w:gridCol w:w="2997"/>
      <w:gridCol w:w="2994"/>
    </w:tblGrid>
    <w:tr w:rsidR="00DB097D" w14:paraId="3A1A9155" w14:textId="77777777" w:rsidTr="00DB775D">
      <w:tc>
        <w:tcPr>
          <w:tcW w:w="3080" w:type="dxa"/>
          <w:vAlign w:val="center"/>
        </w:tcPr>
        <w:p w14:paraId="652CC6B0" w14:textId="0CCA2E8E" w:rsidR="00361BB1" w:rsidRPr="00DB775D" w:rsidRDefault="00000000" w:rsidP="00DB775D">
          <w:pPr>
            <w:pStyle w:val="Footer"/>
            <w:rPr>
              <w:rFonts w:ascii="Arial" w:hAnsi="Arial" w:cs="Arial"/>
              <w:b/>
              <w:bCs/>
              <w:sz w:val="20"/>
              <w:szCs w:val="20"/>
              <w:lang w:val="en-US"/>
            </w:rPr>
          </w:pPr>
          <w:hyperlink r:id="rId1" w:history="1">
            <w:r w:rsidR="008635C6" w:rsidRPr="008635C6">
              <w:rPr>
                <w:rStyle w:val="Hyperlink"/>
                <w:rFonts w:ascii="Arial" w:hAnsi="Arial" w:cs="Arial"/>
                <w:color w:val="0000FF"/>
                <w:sz w:val="20"/>
                <w:szCs w:val="20"/>
                <w:u w:val="none"/>
                <w:lang w:val="en-US"/>
              </w:rPr>
              <w:t>degoverned.com</w:t>
            </w:r>
          </w:hyperlink>
        </w:p>
      </w:tc>
      <w:tc>
        <w:tcPr>
          <w:tcW w:w="3081" w:type="dxa"/>
          <w:vAlign w:val="center"/>
        </w:tcPr>
        <w:sdt>
          <w:sdtPr>
            <w:id w:val="-588234692"/>
            <w:docPartObj>
              <w:docPartGallery w:val="Page Numbers (Bottom of Page)"/>
              <w:docPartUnique/>
            </w:docPartObj>
          </w:sdtPr>
          <w:sdtEndPr>
            <w:rPr>
              <w:noProof/>
            </w:rPr>
          </w:sdtEndPr>
          <w:sdtContent>
            <w:p w14:paraId="01CF3558" w14:textId="1C59F8CA" w:rsidR="00361BB1" w:rsidRDefault="00361BB1" w:rsidP="002228B6">
              <w:pPr>
                <w:pStyle w:val="Footer"/>
                <w:jc w:val="center"/>
              </w:pPr>
              <w:r>
                <w:fldChar w:fldCharType="begin"/>
              </w:r>
              <w:r>
                <w:instrText xml:space="preserve"> PAGE   \* MERGEFORMAT </w:instrText>
              </w:r>
              <w:r>
                <w:fldChar w:fldCharType="separate"/>
              </w:r>
              <w:r>
                <w:t>1</w:t>
              </w:r>
              <w:r>
                <w:rPr>
                  <w:noProof/>
                </w:rPr>
                <w:fldChar w:fldCharType="end"/>
              </w:r>
            </w:p>
          </w:sdtContent>
        </w:sdt>
      </w:tc>
      <w:tc>
        <w:tcPr>
          <w:tcW w:w="3081" w:type="dxa"/>
          <w:vAlign w:val="center"/>
        </w:tcPr>
        <w:p w14:paraId="053E1790" w14:textId="2E1E264F" w:rsidR="00361BB1" w:rsidRPr="008E7F61" w:rsidRDefault="00361BB1" w:rsidP="002228B6">
          <w:pPr>
            <w:pStyle w:val="Footer"/>
            <w:jc w:val="center"/>
            <w:rPr>
              <w:lang w:val="en-US"/>
            </w:rPr>
          </w:pPr>
        </w:p>
      </w:tc>
    </w:tr>
  </w:tbl>
  <w:p w14:paraId="3F8FBFFA" w14:textId="77777777" w:rsidR="00361BB1" w:rsidRDefault="00361BB1" w:rsidP="00DF22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0"/>
      <w:gridCol w:w="2998"/>
      <w:gridCol w:w="2998"/>
    </w:tblGrid>
    <w:tr w:rsidR="00DF22AD" w14:paraId="6BE4B39A" w14:textId="77777777" w:rsidTr="00DB775D">
      <w:tc>
        <w:tcPr>
          <w:tcW w:w="3030" w:type="dxa"/>
          <w:vAlign w:val="center"/>
        </w:tcPr>
        <w:p w14:paraId="4E8FBBF4" w14:textId="2E85B751" w:rsidR="00E77949" w:rsidRPr="008635C6" w:rsidRDefault="00000000" w:rsidP="00DB775D">
          <w:pPr>
            <w:pStyle w:val="Footer"/>
            <w:rPr>
              <w:rFonts w:ascii="Arial" w:hAnsi="Arial" w:cs="Arial"/>
              <w:color w:val="0000FF"/>
              <w:sz w:val="20"/>
              <w:szCs w:val="20"/>
            </w:rPr>
          </w:pPr>
          <w:hyperlink r:id="rId1" w:history="1">
            <w:r w:rsidR="00DB097D" w:rsidRPr="008635C6">
              <w:rPr>
                <w:rStyle w:val="Hyperlink"/>
                <w:rFonts w:ascii="Arial" w:hAnsi="Arial" w:cs="Arial"/>
                <w:color w:val="0000FF"/>
                <w:sz w:val="20"/>
                <w:szCs w:val="20"/>
                <w:u w:val="none"/>
                <w:lang w:val="en-US"/>
              </w:rPr>
              <w:t>d</w:t>
            </w:r>
            <w:r w:rsidR="00E77949" w:rsidRPr="008635C6">
              <w:rPr>
                <w:rStyle w:val="Hyperlink"/>
                <w:rFonts w:ascii="Arial" w:hAnsi="Arial" w:cs="Arial"/>
                <w:color w:val="0000FF"/>
                <w:sz w:val="20"/>
                <w:szCs w:val="20"/>
                <w:u w:val="none"/>
                <w:lang w:val="en-US"/>
              </w:rPr>
              <w:t>egoverned</w:t>
            </w:r>
            <w:r w:rsidR="00DB097D" w:rsidRPr="008635C6">
              <w:rPr>
                <w:rStyle w:val="Hyperlink"/>
                <w:rFonts w:ascii="Arial" w:hAnsi="Arial" w:cs="Arial"/>
                <w:color w:val="0000FF"/>
                <w:sz w:val="20"/>
                <w:szCs w:val="20"/>
                <w:u w:val="none"/>
                <w:lang w:val="en-US"/>
              </w:rPr>
              <w:t>.</w:t>
            </w:r>
            <w:r w:rsidR="008635C6" w:rsidRPr="008635C6">
              <w:rPr>
                <w:rStyle w:val="Hyperlink"/>
                <w:rFonts w:ascii="Arial" w:hAnsi="Arial" w:cs="Arial"/>
                <w:color w:val="0000FF"/>
                <w:sz w:val="20"/>
                <w:szCs w:val="20"/>
                <w:u w:val="none"/>
                <w:lang w:val="en-US"/>
              </w:rPr>
              <w:t>com</w:t>
            </w:r>
          </w:hyperlink>
        </w:p>
      </w:tc>
      <w:tc>
        <w:tcPr>
          <w:tcW w:w="2998" w:type="dxa"/>
          <w:vAlign w:val="center"/>
        </w:tcPr>
        <w:p w14:paraId="7B2A61A5" w14:textId="0BD5F97D" w:rsidR="00DF22AD" w:rsidRDefault="00DF22AD" w:rsidP="00DF22AD">
          <w:pPr>
            <w:pStyle w:val="Footer"/>
            <w:jc w:val="center"/>
          </w:pPr>
        </w:p>
      </w:tc>
      <w:tc>
        <w:tcPr>
          <w:tcW w:w="2998" w:type="dxa"/>
          <w:vAlign w:val="center"/>
        </w:tcPr>
        <w:p w14:paraId="23F0E743" w14:textId="77777777" w:rsidR="00DF22AD" w:rsidRDefault="00DF22AD" w:rsidP="00DF22AD">
          <w:pPr>
            <w:pStyle w:val="Footer"/>
            <w:jc w:val="center"/>
          </w:pPr>
        </w:p>
      </w:tc>
    </w:tr>
  </w:tbl>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8D172" w14:textId="77777777" w:rsidR="00CB4B41" w:rsidRDefault="00CB4B41" w:rsidP="00361BB1">
      <w:pPr>
        <w:spacing w:after="0"/>
      </w:pPr>
      <w:r>
        <w:separator/>
      </w:r>
    </w:p>
  </w:footnote>
  <w:footnote w:type="continuationSeparator" w:id="0">
    <w:p w14:paraId="0BE2F8B4" w14:textId="77777777" w:rsidR="00CB4B41" w:rsidRDefault="00CB4B41" w:rsidP="00361B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A228" w14:textId="05D84FA7" w:rsidR="009A2B63" w:rsidRPr="000643DD" w:rsidRDefault="009A2B63" w:rsidP="009A2B63">
    <w:pPr>
      <w:spacing w:line="22" w:lineRule="atLeast"/>
      <w:jc w:val="both"/>
      <w:rPr>
        <w:lang w:val="en-US"/>
      </w:rPr>
    </w:pPr>
    <w:r w:rsidRPr="004D6B6C">
      <w:rPr>
        <w:lang w:val="en-US"/>
      </w:rPr>
      <w:t xml:space="preserve">NEITHER THIS </w:t>
    </w:r>
    <w:r>
      <w:rPr>
        <w:lang w:val="en-US"/>
      </w:rPr>
      <w:t>AGREEMENT</w:t>
    </w:r>
    <w:r w:rsidRPr="004D6B6C">
      <w:rPr>
        <w:lang w:val="en-US"/>
      </w:rPr>
      <w:t xml:space="preserve"> </w:t>
    </w:r>
    <w:r w:rsidRPr="009A2B63">
      <w:rPr>
        <w:lang w:val="en-US"/>
      </w:rPr>
      <w:t>NOR ANY SECURITIES FOR WHICH THIS AGREEMENT MAY BE ISSUED HAVE</w:t>
    </w:r>
    <w:r w:rsidRPr="004D6B6C">
      <w:rPr>
        <w:lang w:val="en-US"/>
      </w:rPr>
      <w:t xml:space="preserve"> BEEN REGISTERED WITH THE SECURITIES AND EXCHANGE COMMISSION OR THE SECURITIES COMMISSION OF ANY STATE IN RELIANCE UPON AN EXEMPTION FROM REGISTRATION UNDER THE SECURITIES ACT OF 1933, AS AMENDED (“</w:t>
    </w:r>
    <w:r w:rsidRPr="004D6B6C">
      <w:rPr>
        <w:b/>
        <w:bCs/>
        <w:lang w:val="en-US"/>
      </w:rPr>
      <w:t>SECURITIES ACT</w:t>
    </w:r>
    <w:r w:rsidRPr="004D6B6C">
      <w:rPr>
        <w:lang w:val="en-US"/>
      </w:rPr>
      <w:t>”), AND STATE SECURITIES LAWS AND, ACCORDINGLY, MAY NOT BE OFFERED OR SOLD WITHIN THE UNITED STATES EXCEPT PURSUANT TO AN EFFECTIVE REGISTRATION STATEMENT OR PURSUANT TO A QUALIFIED OFFERING STATEMENT PURSUANT TO REGULATION A OF THE SECURITIES ACT UNDER THE SECURITIES ACT OR PURSUANT TO AN AVAILABLE EXEMPTION FROM, OR IN A TRANSACTION NOT SUBJECT TO, THE REGISTRATION REQUIREMENTS OF THE SECURITIES ACT AND IN ACCORDANCE WITH APPLICABLE STATE SECURITIES LAWS.</w:t>
    </w:r>
  </w:p>
  <w:p w14:paraId="57E80B2E" w14:textId="6212C9E5" w:rsidR="009A2B63" w:rsidRPr="009A2B63" w:rsidRDefault="009A2B63" w:rsidP="009A2B63">
    <w:pPr>
      <w:pStyle w:val="Header"/>
      <w:tabs>
        <w:tab w:val="clear" w:pos="4677"/>
        <w:tab w:val="clear" w:pos="9355"/>
        <w:tab w:val="left" w:pos="2666"/>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9DD"/>
    <w:multiLevelType w:val="multilevel"/>
    <w:tmpl w:val="35DEDB1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4A03E4"/>
    <w:multiLevelType w:val="multilevel"/>
    <w:tmpl w:val="C4C68EBA"/>
    <w:lvl w:ilvl="0">
      <w:start w:val="1"/>
      <w:numFmt w:val="decimal"/>
      <w:lvlText w:val="%1."/>
      <w:lvlJc w:val="left"/>
      <w:pPr>
        <w:ind w:left="720" w:hanging="720"/>
      </w:pPr>
      <w:rPr>
        <w:rFonts w:ascii="Verdana" w:eastAsia="Verdana" w:hAnsi="Verdana" w:cs="Verdana"/>
        <w:b w:val="0"/>
        <w:i w:val="0"/>
        <w:smallCaps/>
        <w:strike w:val="0"/>
        <w:color w:val="000000"/>
        <w:sz w:val="18"/>
        <w:szCs w:val="18"/>
        <w:vertAlign w:val="baseline"/>
      </w:rPr>
    </w:lvl>
    <w:lvl w:ilvl="1">
      <w:start w:val="1"/>
      <w:numFmt w:val="decimal"/>
      <w:lvlText w:val="%1.%2"/>
      <w:lvlJc w:val="left"/>
      <w:pPr>
        <w:ind w:left="720" w:hanging="720"/>
      </w:pPr>
      <w:rPr>
        <w:rFonts w:ascii="Arial" w:eastAsia="Arial" w:hAnsi="Arial" w:cs="Arial"/>
        <w:b w:val="0"/>
        <w:i w:val="0"/>
        <w:sz w:val="20"/>
        <w:szCs w:val="20"/>
      </w:rPr>
    </w:lvl>
    <w:lvl w:ilvl="2">
      <w:start w:val="1"/>
      <w:numFmt w:val="lowerLetter"/>
      <w:lvlText w:val="(%3)"/>
      <w:lvlJc w:val="left"/>
      <w:pPr>
        <w:ind w:left="1400" w:hanging="680"/>
      </w:pPr>
      <w:rPr>
        <w:rFonts w:ascii="Times New Roman" w:eastAsia="Arial" w:hAnsi="Times New Roman" w:cs="Times New Roman" w:hint="default"/>
        <w:b w:val="0"/>
        <w:i w:val="0"/>
        <w:smallCaps w:val="0"/>
        <w:strike w:val="0"/>
        <w:color w:val="000000"/>
        <w:sz w:val="24"/>
        <w:szCs w:val="24"/>
        <w:u w:val="none"/>
        <w:vertAlign w:val="baseline"/>
      </w:rPr>
    </w:lvl>
    <w:lvl w:ilvl="3">
      <w:start w:val="1"/>
      <w:numFmt w:val="lowerRoman"/>
      <w:lvlText w:val="(%4)"/>
      <w:lvlJc w:val="left"/>
      <w:pPr>
        <w:ind w:left="2081" w:hanging="681"/>
      </w:pPr>
      <w:rPr>
        <w:rFonts w:ascii="Arial" w:eastAsia="Arial" w:hAnsi="Arial" w:cs="Arial"/>
        <w:b w:val="0"/>
        <w:sz w:val="20"/>
        <w:szCs w:val="20"/>
      </w:rPr>
    </w:lvl>
    <w:lvl w:ilvl="4">
      <w:start w:val="1"/>
      <w:numFmt w:val="upperLetter"/>
      <w:lvlText w:val="(%5)"/>
      <w:lvlJc w:val="left"/>
      <w:pPr>
        <w:ind w:left="2761" w:hanging="680"/>
      </w:pPr>
      <w:rPr>
        <w:rFonts w:ascii="Verdana" w:eastAsia="Verdana" w:hAnsi="Verdana" w:cs="Verdana"/>
        <w:b w:val="0"/>
        <w:sz w:val="18"/>
        <w:szCs w:val="18"/>
      </w:rPr>
    </w:lvl>
    <w:lvl w:ilvl="5">
      <w:start w:val="1"/>
      <w:numFmt w:val="upperRoman"/>
      <w:lvlText w:val="(%6)"/>
      <w:lvlJc w:val="left"/>
      <w:pPr>
        <w:ind w:left="3442" w:hanging="681"/>
      </w:pPr>
      <w:rPr>
        <w:rFonts w:ascii="Verdana" w:eastAsia="Verdana" w:hAnsi="Verdana" w:cs="Verdana"/>
        <w:b w:val="0"/>
        <w:sz w:val="18"/>
        <w:szCs w:val="18"/>
      </w:rPr>
    </w:lvl>
    <w:lvl w:ilvl="6">
      <w:start w:val="1"/>
      <w:numFmt w:val="lowerLetter"/>
      <w:lvlText w:val="%7."/>
      <w:lvlJc w:val="left"/>
      <w:pPr>
        <w:ind w:left="4122" w:hanging="680"/>
      </w:pPr>
      <w:rPr>
        <w:rFonts w:ascii="Verdana" w:eastAsia="Verdana" w:hAnsi="Verdana" w:cs="Verdana"/>
        <w:b w:val="0"/>
        <w:i w:val="0"/>
        <w:sz w:val="18"/>
        <w:szCs w:val="18"/>
      </w:rPr>
    </w:lvl>
    <w:lvl w:ilvl="7">
      <w:start w:val="1"/>
      <w:numFmt w:val="lowerRoman"/>
      <w:lvlText w:val="%8."/>
      <w:lvlJc w:val="left"/>
      <w:pPr>
        <w:ind w:left="4802" w:hanging="680"/>
      </w:pPr>
      <w:rPr>
        <w:rFonts w:ascii="Verdana" w:eastAsia="Verdana" w:hAnsi="Verdana" w:cs="Verdana"/>
        <w:b w:val="0"/>
        <w:i w:val="0"/>
        <w:sz w:val="18"/>
        <w:szCs w:val="18"/>
      </w:rPr>
    </w:lvl>
    <w:lvl w:ilvl="8">
      <w:start w:val="1"/>
      <w:numFmt w:val="upperLetter"/>
      <w:lvlText w:val="%9."/>
      <w:lvlJc w:val="left"/>
      <w:pPr>
        <w:ind w:left="4802" w:hanging="680"/>
      </w:pPr>
      <w:rPr>
        <w:rFonts w:ascii="Verdana" w:eastAsia="Verdana" w:hAnsi="Verdana" w:cs="Verdana"/>
        <w:b w:val="0"/>
        <w:i w:val="0"/>
        <w:sz w:val="18"/>
        <w:szCs w:val="18"/>
      </w:rPr>
    </w:lvl>
  </w:abstractNum>
  <w:abstractNum w:abstractNumId="2" w15:restartNumberingAfterBreak="0">
    <w:nsid w:val="37E92491"/>
    <w:multiLevelType w:val="multilevel"/>
    <w:tmpl w:val="92B22C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D438D1"/>
    <w:multiLevelType w:val="hybridMultilevel"/>
    <w:tmpl w:val="D97C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125E9"/>
    <w:multiLevelType w:val="multilevel"/>
    <w:tmpl w:val="EA4E40E4"/>
    <w:lvl w:ilvl="0">
      <w:start w:val="1"/>
      <w:numFmt w:val="decimal"/>
      <w:pStyle w:val="wcstandardah1"/>
      <w:lvlText w:val="%1."/>
      <w:lvlJc w:val="left"/>
      <w:pPr>
        <w:ind w:left="720" w:hanging="720"/>
      </w:pPr>
      <w:rPr>
        <w:rFonts w:ascii="Times New Roman" w:hAnsi="Times New Roman" w:cs="Times New Roman"/>
        <w:b/>
        <w:i w:val="0"/>
        <w:caps w:val="0"/>
        <w:strike w:val="0"/>
        <w:dstrike w:val="0"/>
        <w:vanish w:val="0"/>
        <w:color w:val="000000"/>
        <w:sz w:val="24"/>
        <w:u w:val="none"/>
        <w:effect w:val="none"/>
        <w:vertAlign w:val="baseline"/>
      </w:rPr>
    </w:lvl>
    <w:lvl w:ilvl="1">
      <w:start w:val="1"/>
      <w:numFmt w:val="decimal"/>
      <w:pStyle w:val="wcstandardah2"/>
      <w:isLgl/>
      <w:lvlText w:val="%1.%2"/>
      <w:lvlJc w:val="left"/>
      <w:pPr>
        <w:ind w:left="720" w:hanging="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lowerLetter"/>
      <w:pStyle w:val="wcstandardah3"/>
      <w:lvlText w:val="(%3)"/>
      <w:lvlJc w:val="left"/>
      <w:pPr>
        <w:ind w:left="1440" w:hanging="72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Roman"/>
      <w:pStyle w:val="wcstandardah4"/>
      <w:lvlText w:val="(%4)"/>
      <w:lvlJc w:val="left"/>
      <w:pPr>
        <w:ind w:left="2160" w:hanging="720"/>
      </w:pPr>
      <w:rPr>
        <w:rFonts w:ascii="Times New Roman" w:hAnsi="Times New Roman" w:cs="Times New Roman"/>
        <w:b w:val="0"/>
        <w:i w:val="0"/>
        <w:caps w:val="0"/>
        <w:strike w:val="0"/>
        <w:dstrike w:val="0"/>
        <w:vanish w:val="0"/>
        <w:color w:val="000000"/>
        <w:sz w:val="24"/>
        <w:szCs w:val="24"/>
        <w:u w:val="none"/>
        <w:effect w:val="none"/>
        <w:vertAlign w:val="baseline"/>
      </w:rPr>
    </w:lvl>
    <w:lvl w:ilvl="4">
      <w:start w:val="1"/>
      <w:numFmt w:val="upperLetter"/>
      <w:pStyle w:val="wcstandardah5"/>
      <w:lvlText w:val="(%5)"/>
      <w:lvlJc w:val="left"/>
      <w:pPr>
        <w:ind w:left="2880" w:hanging="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wcstandardah3"/>
      <w:lvlText w:val="(%6)"/>
      <w:lvlJc w:val="left"/>
      <w:pPr>
        <w:ind w:left="3600" w:hanging="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upperRoman"/>
      <w:pStyle w:val="wcstandardah4"/>
      <w:lvlText w:val="(%7)"/>
      <w:lvlJc w:val="left"/>
      <w:pPr>
        <w:ind w:left="4320" w:hanging="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pStyle w:val="wcstandardah5"/>
      <w:suff w:val="nothing"/>
      <w:lvlText w:val=""/>
      <w:lvlJc w:val="left"/>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5" w15:restartNumberingAfterBreak="0">
    <w:nsid w:val="5E1B0D34"/>
    <w:multiLevelType w:val="multilevel"/>
    <w:tmpl w:val="42DA3090"/>
    <w:name w:val="(Unnamed Numbering Scheme)"/>
    <w:lvl w:ilvl="0">
      <w:start w:val="1"/>
      <w:numFmt w:val="decimal"/>
      <w:lvlText w:val="%1."/>
      <w:lvlJc w:val="left"/>
      <w:pPr>
        <w:tabs>
          <w:tab w:val="num" w:pos="720"/>
        </w:tabs>
        <w:ind w:left="720" w:hanging="720"/>
      </w:pPr>
      <w:rPr>
        <w:rFonts w:ascii="Times New Roman" w:eastAsia="Times New Roman" w:hAnsi="Times New Roman" w:cs="Times New Roman"/>
        <w:b/>
        <w:i w:val="0"/>
        <w:caps w:val="0"/>
        <w:smallCaps w:val="0"/>
        <w:color w:val="auto"/>
        <w:sz w:val="24"/>
        <w:szCs w:val="22"/>
        <w:u w:val="none"/>
        <w:lang w:val="en-US"/>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mallCaps w:val="0"/>
        <w:color w:val="auto"/>
        <w:sz w:val="24"/>
        <w:szCs w:val="24"/>
        <w:u w:val="none"/>
      </w:rPr>
    </w:lvl>
    <w:lvl w:ilvl="2">
      <w:start w:val="1"/>
      <w:numFmt w:val="lowerLetter"/>
      <w:lvlText w:val="(%3)"/>
      <w:lvlJc w:val="left"/>
      <w:pPr>
        <w:tabs>
          <w:tab w:val="num" w:pos="1440"/>
        </w:tabs>
        <w:ind w:left="1440" w:hanging="720"/>
      </w:pPr>
      <w:rPr>
        <w:rFonts w:ascii="Times New Roman" w:hAnsi="Times New Roman" w:cs="Times New Roman" w:hint="default"/>
        <w:b w:val="0"/>
        <w:i w:val="0"/>
        <w:caps w:val="0"/>
        <w:smallCaps w:val="0"/>
        <w:color w:val="auto"/>
        <w:u w:val="none"/>
      </w:rPr>
    </w:lvl>
    <w:lvl w:ilvl="3">
      <w:start w:val="1"/>
      <w:numFmt w:val="lowerRoman"/>
      <w:lvlText w:val="(%4)"/>
      <w:lvlJc w:val="left"/>
      <w:pPr>
        <w:tabs>
          <w:tab w:val="num" w:pos="2160"/>
        </w:tabs>
        <w:ind w:left="2160" w:hanging="720"/>
      </w:pPr>
    </w:lvl>
    <w:lvl w:ilvl="4">
      <w:start w:val="1"/>
      <w:numFmt w:val="decimal"/>
      <w:lvlText w:val="(%5)"/>
      <w:lvlJc w:val="left"/>
      <w:pPr>
        <w:tabs>
          <w:tab w:val="num" w:pos="2880"/>
        </w:tabs>
        <w:ind w:left="2880" w:hanging="720"/>
      </w:pPr>
      <w:rPr>
        <w:rFonts w:ascii="Times New Roman" w:hAnsi="Times New Roman" w:cs="Times New Roman" w:hint="default"/>
        <w:b w:val="0"/>
        <w:i w:val="0"/>
        <w:caps w:val="0"/>
        <w:smallCaps w:val="0"/>
        <w:color w:val="auto"/>
        <w:sz w:val="24"/>
        <w:u w:val="none"/>
      </w:rPr>
    </w:lvl>
    <w:lvl w:ilvl="5">
      <w:start w:val="1"/>
      <w:numFmt w:val="decimal"/>
      <w:isLgl/>
      <w:lvlText w:val="%6."/>
      <w:lvlJc w:val="left"/>
      <w:pPr>
        <w:tabs>
          <w:tab w:val="num" w:pos="720"/>
        </w:tabs>
        <w:ind w:left="720" w:hanging="720"/>
      </w:pPr>
      <w:rPr>
        <w:rFonts w:hint="default"/>
        <w:b w:val="0"/>
        <w:bCs/>
        <w:i w:val="0"/>
        <w:caps w:val="0"/>
        <w:smallCaps w:val="0"/>
        <w:color w:val="auto"/>
        <w:sz w:val="24"/>
        <w:u w:val="none"/>
      </w:rPr>
    </w:lvl>
    <w:lvl w:ilvl="6">
      <w:start w:val="1"/>
      <w:numFmt w:val="decimal"/>
      <w:isLgl/>
      <w:lvlText w:val="%6.%7"/>
      <w:lvlJc w:val="left"/>
      <w:pPr>
        <w:tabs>
          <w:tab w:val="num" w:pos="720"/>
        </w:tabs>
        <w:ind w:left="720" w:hanging="720"/>
      </w:pPr>
    </w:lvl>
    <w:lvl w:ilvl="7">
      <w:start w:val="1"/>
      <w:numFmt w:val="lowerLetter"/>
      <w:lvlText w:val="(%8)"/>
      <w:lvlJc w:val="left"/>
      <w:pPr>
        <w:tabs>
          <w:tab w:val="num" w:pos="1440"/>
        </w:tabs>
        <w:ind w:left="1440" w:hanging="720"/>
      </w:pPr>
      <w:rPr>
        <w:b w:val="0"/>
        <w:i w:val="0"/>
        <w:caps w:val="0"/>
        <w:smallCaps w:val="0"/>
        <w:color w:val="auto"/>
      </w:rPr>
    </w:lvl>
    <w:lvl w:ilvl="8">
      <w:start w:val="1"/>
      <w:numFmt w:val="lowerRoman"/>
      <w:lvlText w:val="(%9)"/>
      <w:lvlJc w:val="left"/>
      <w:pPr>
        <w:tabs>
          <w:tab w:val="num" w:pos="2160"/>
        </w:tabs>
        <w:ind w:left="2160" w:hanging="720"/>
      </w:pPr>
      <w:rPr>
        <w:b w:val="0"/>
        <w:i w:val="0"/>
        <w:caps w:val="0"/>
        <w:smallCaps w:val="0"/>
        <w:color w:val="auto"/>
        <w:u w:val="none"/>
      </w:rPr>
    </w:lvl>
  </w:abstractNum>
  <w:abstractNum w:abstractNumId="6" w15:restartNumberingAfterBreak="0">
    <w:nsid w:val="5E2D2749"/>
    <w:multiLevelType w:val="hybridMultilevel"/>
    <w:tmpl w:val="A0EE5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E9442FB"/>
    <w:multiLevelType w:val="hybridMultilevel"/>
    <w:tmpl w:val="AE6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974673">
    <w:abstractNumId w:val="0"/>
  </w:num>
  <w:num w:numId="2" w16cid:durableId="139542964">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lowerLetter"/>
        <w:pStyle w:val="Heading3"/>
        <w:lvlText w:val="(%3)"/>
        <w:lvlJc w:val="left"/>
        <w:pPr>
          <w:ind w:left="1224" w:hanging="504"/>
        </w:pPr>
        <w:rPr>
          <w:rFonts w:hint="default"/>
          <w:b w:val="0"/>
          <w:bCs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482240138">
    <w:abstractNumId w:val="7"/>
  </w:num>
  <w:num w:numId="4" w16cid:durableId="212430870">
    <w:abstractNumId w:val="3"/>
  </w:num>
  <w:num w:numId="5" w16cid:durableId="2039817456">
    <w:abstractNumId w:val="5"/>
  </w:num>
  <w:num w:numId="6" w16cid:durableId="1117219606">
    <w:abstractNumId w:val="4"/>
  </w:num>
  <w:num w:numId="7" w16cid:durableId="603028661">
    <w:abstractNumId w:val="1"/>
  </w:num>
  <w:num w:numId="8" w16cid:durableId="1035890093">
    <w:abstractNumId w:val="2"/>
  </w:num>
  <w:num w:numId="9" w16cid:durableId="233006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2"/>
    <w:rsid w:val="000002B2"/>
    <w:rsid w:val="00044AA4"/>
    <w:rsid w:val="00053F32"/>
    <w:rsid w:val="00062B84"/>
    <w:rsid w:val="000643DD"/>
    <w:rsid w:val="00076FA4"/>
    <w:rsid w:val="000E047F"/>
    <w:rsid w:val="000F6986"/>
    <w:rsid w:val="000F7EE2"/>
    <w:rsid w:val="00105F23"/>
    <w:rsid w:val="00124A4C"/>
    <w:rsid w:val="00135EC7"/>
    <w:rsid w:val="001445B9"/>
    <w:rsid w:val="0015518F"/>
    <w:rsid w:val="001558D8"/>
    <w:rsid w:val="00167122"/>
    <w:rsid w:val="001717A2"/>
    <w:rsid w:val="001B70D1"/>
    <w:rsid w:val="001C1801"/>
    <w:rsid w:val="001C726B"/>
    <w:rsid w:val="001D66AB"/>
    <w:rsid w:val="001E26D8"/>
    <w:rsid w:val="002003CF"/>
    <w:rsid w:val="002045C7"/>
    <w:rsid w:val="002228B6"/>
    <w:rsid w:val="00231A7A"/>
    <w:rsid w:val="00243C3C"/>
    <w:rsid w:val="00245502"/>
    <w:rsid w:val="00275F58"/>
    <w:rsid w:val="002A44E5"/>
    <w:rsid w:val="002A5C5C"/>
    <w:rsid w:val="002B02A1"/>
    <w:rsid w:val="002B2BED"/>
    <w:rsid w:val="002B615A"/>
    <w:rsid w:val="002C564D"/>
    <w:rsid w:val="002C769E"/>
    <w:rsid w:val="002F4E0C"/>
    <w:rsid w:val="002F5E36"/>
    <w:rsid w:val="00301F78"/>
    <w:rsid w:val="00302411"/>
    <w:rsid w:val="0030524D"/>
    <w:rsid w:val="00311F8F"/>
    <w:rsid w:val="003176AD"/>
    <w:rsid w:val="00330204"/>
    <w:rsid w:val="0033399B"/>
    <w:rsid w:val="00352BE9"/>
    <w:rsid w:val="00361BB1"/>
    <w:rsid w:val="00365739"/>
    <w:rsid w:val="003A1E89"/>
    <w:rsid w:val="003A5D2A"/>
    <w:rsid w:val="003B06B7"/>
    <w:rsid w:val="003C5FBB"/>
    <w:rsid w:val="003D62BA"/>
    <w:rsid w:val="003D7F32"/>
    <w:rsid w:val="003E1DA2"/>
    <w:rsid w:val="003E41D3"/>
    <w:rsid w:val="00402AFB"/>
    <w:rsid w:val="00425220"/>
    <w:rsid w:val="0042686C"/>
    <w:rsid w:val="004475EC"/>
    <w:rsid w:val="0045416F"/>
    <w:rsid w:val="00457B30"/>
    <w:rsid w:val="00471741"/>
    <w:rsid w:val="004819D7"/>
    <w:rsid w:val="0049101A"/>
    <w:rsid w:val="004C5127"/>
    <w:rsid w:val="004D6B6C"/>
    <w:rsid w:val="004F76AC"/>
    <w:rsid w:val="00505293"/>
    <w:rsid w:val="00533C96"/>
    <w:rsid w:val="00537257"/>
    <w:rsid w:val="00550A12"/>
    <w:rsid w:val="00561DBC"/>
    <w:rsid w:val="005770CC"/>
    <w:rsid w:val="0058494C"/>
    <w:rsid w:val="00591C99"/>
    <w:rsid w:val="005934F1"/>
    <w:rsid w:val="005A3020"/>
    <w:rsid w:val="005C2F8B"/>
    <w:rsid w:val="005C32BF"/>
    <w:rsid w:val="005D13C4"/>
    <w:rsid w:val="005D38ED"/>
    <w:rsid w:val="005E132A"/>
    <w:rsid w:val="00610486"/>
    <w:rsid w:val="00615F13"/>
    <w:rsid w:val="00646285"/>
    <w:rsid w:val="00647735"/>
    <w:rsid w:val="0065330A"/>
    <w:rsid w:val="00655775"/>
    <w:rsid w:val="00662A5D"/>
    <w:rsid w:val="00670C33"/>
    <w:rsid w:val="00696DBB"/>
    <w:rsid w:val="006A0D23"/>
    <w:rsid w:val="006A26BC"/>
    <w:rsid w:val="006D57BE"/>
    <w:rsid w:val="006E18AE"/>
    <w:rsid w:val="0070375A"/>
    <w:rsid w:val="00742990"/>
    <w:rsid w:val="0075053D"/>
    <w:rsid w:val="007658BC"/>
    <w:rsid w:val="00770113"/>
    <w:rsid w:val="0077671C"/>
    <w:rsid w:val="0078648F"/>
    <w:rsid w:val="007900E0"/>
    <w:rsid w:val="007B45BA"/>
    <w:rsid w:val="007C66BF"/>
    <w:rsid w:val="007D246A"/>
    <w:rsid w:val="007E5BA1"/>
    <w:rsid w:val="007F5749"/>
    <w:rsid w:val="008215CD"/>
    <w:rsid w:val="0083167A"/>
    <w:rsid w:val="00832717"/>
    <w:rsid w:val="0083558A"/>
    <w:rsid w:val="00841AAD"/>
    <w:rsid w:val="008502EC"/>
    <w:rsid w:val="008538B1"/>
    <w:rsid w:val="008635C6"/>
    <w:rsid w:val="008767D9"/>
    <w:rsid w:val="008A3BBD"/>
    <w:rsid w:val="008A62E7"/>
    <w:rsid w:val="008E660D"/>
    <w:rsid w:val="008E7F61"/>
    <w:rsid w:val="0091568D"/>
    <w:rsid w:val="00923F82"/>
    <w:rsid w:val="009411A3"/>
    <w:rsid w:val="00963790"/>
    <w:rsid w:val="00970A4E"/>
    <w:rsid w:val="0099484A"/>
    <w:rsid w:val="009A28A0"/>
    <w:rsid w:val="009A2B63"/>
    <w:rsid w:val="009B1A5E"/>
    <w:rsid w:val="009B5ADF"/>
    <w:rsid w:val="009B79D1"/>
    <w:rsid w:val="009D2C07"/>
    <w:rsid w:val="009E3353"/>
    <w:rsid w:val="009E4BDA"/>
    <w:rsid w:val="00A534CF"/>
    <w:rsid w:val="00A649F5"/>
    <w:rsid w:val="00A67B98"/>
    <w:rsid w:val="00A77AB0"/>
    <w:rsid w:val="00AA1D3D"/>
    <w:rsid w:val="00AA2181"/>
    <w:rsid w:val="00AA7754"/>
    <w:rsid w:val="00AB2A41"/>
    <w:rsid w:val="00AB60B4"/>
    <w:rsid w:val="00AE1ABE"/>
    <w:rsid w:val="00AF56D6"/>
    <w:rsid w:val="00AF70D3"/>
    <w:rsid w:val="00B13830"/>
    <w:rsid w:val="00B13CCA"/>
    <w:rsid w:val="00B328BC"/>
    <w:rsid w:val="00B36E10"/>
    <w:rsid w:val="00B3741C"/>
    <w:rsid w:val="00B37E6F"/>
    <w:rsid w:val="00B4712A"/>
    <w:rsid w:val="00B52799"/>
    <w:rsid w:val="00B553B6"/>
    <w:rsid w:val="00B60CDD"/>
    <w:rsid w:val="00B722FA"/>
    <w:rsid w:val="00B774CF"/>
    <w:rsid w:val="00B82D38"/>
    <w:rsid w:val="00B93D28"/>
    <w:rsid w:val="00B94110"/>
    <w:rsid w:val="00BA6735"/>
    <w:rsid w:val="00BC6FB2"/>
    <w:rsid w:val="00BD1CB0"/>
    <w:rsid w:val="00BD6A95"/>
    <w:rsid w:val="00BF25D4"/>
    <w:rsid w:val="00C03A26"/>
    <w:rsid w:val="00C060A2"/>
    <w:rsid w:val="00C252CB"/>
    <w:rsid w:val="00C537FF"/>
    <w:rsid w:val="00C54F30"/>
    <w:rsid w:val="00C6736E"/>
    <w:rsid w:val="00C73FAA"/>
    <w:rsid w:val="00CB4B41"/>
    <w:rsid w:val="00CB6C3D"/>
    <w:rsid w:val="00CB76FF"/>
    <w:rsid w:val="00CF5000"/>
    <w:rsid w:val="00D02959"/>
    <w:rsid w:val="00D05765"/>
    <w:rsid w:val="00D3291C"/>
    <w:rsid w:val="00D74FF7"/>
    <w:rsid w:val="00D85B25"/>
    <w:rsid w:val="00DB097D"/>
    <w:rsid w:val="00DB1FCF"/>
    <w:rsid w:val="00DB775D"/>
    <w:rsid w:val="00DB7FDE"/>
    <w:rsid w:val="00DD6F40"/>
    <w:rsid w:val="00DF1AA4"/>
    <w:rsid w:val="00DF22AD"/>
    <w:rsid w:val="00E04043"/>
    <w:rsid w:val="00E04495"/>
    <w:rsid w:val="00E15261"/>
    <w:rsid w:val="00E22635"/>
    <w:rsid w:val="00E268F1"/>
    <w:rsid w:val="00E37C93"/>
    <w:rsid w:val="00E61B26"/>
    <w:rsid w:val="00E7304F"/>
    <w:rsid w:val="00E77949"/>
    <w:rsid w:val="00EC261D"/>
    <w:rsid w:val="00EE07DA"/>
    <w:rsid w:val="00EE2C99"/>
    <w:rsid w:val="00EF7E43"/>
    <w:rsid w:val="00F001B4"/>
    <w:rsid w:val="00F13D47"/>
    <w:rsid w:val="00F23A5F"/>
    <w:rsid w:val="00F2580C"/>
    <w:rsid w:val="00F3266A"/>
    <w:rsid w:val="00F33B29"/>
    <w:rsid w:val="00F40BA3"/>
    <w:rsid w:val="00F44712"/>
    <w:rsid w:val="00F46505"/>
    <w:rsid w:val="00F47E76"/>
    <w:rsid w:val="00F60A2B"/>
    <w:rsid w:val="00F715CE"/>
    <w:rsid w:val="00F723F5"/>
    <w:rsid w:val="00F85E4E"/>
    <w:rsid w:val="00FC0C8C"/>
    <w:rsid w:val="00FC6050"/>
    <w:rsid w:val="00FD3ACE"/>
    <w:rsid w:val="00FE11CB"/>
    <w:rsid w:val="00FE1CE1"/>
    <w:rsid w:val="00FF0C5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8F"/>
    <w:pPr>
      <w:spacing w:after="240" w:line="240" w:lineRule="auto"/>
    </w:pPr>
    <w:rPr>
      <w:rFonts w:ascii="Times New Roman" w:hAnsi="Times New Roman"/>
      <w:sz w:val="24"/>
    </w:rPr>
  </w:style>
  <w:style w:type="paragraph" w:styleId="Heading1">
    <w:name w:val="heading 1"/>
    <w:basedOn w:val="ListParagraph"/>
    <w:next w:val="Normal"/>
    <w:link w:val="Heading1Char"/>
    <w:uiPriority w:val="9"/>
    <w:qFormat/>
    <w:rsid w:val="0078648F"/>
    <w:pPr>
      <w:numPr>
        <w:numId w:val="1"/>
      </w:numPr>
      <w:ind w:left="720" w:hanging="720"/>
      <w:contextualSpacing w:val="0"/>
      <w:jc w:val="both"/>
      <w:outlineLvl w:val="0"/>
    </w:pPr>
    <w:rPr>
      <w:rFonts w:cs="Times New Roman (Body CS)"/>
      <w:b/>
      <w:bCs/>
      <w:caps/>
      <w:lang w:val="en-US"/>
    </w:rPr>
  </w:style>
  <w:style w:type="paragraph" w:styleId="Heading2">
    <w:name w:val="heading 2"/>
    <w:aliases w:val="Lev 2,Reset numbering,Major,H2,Clause,Niveau 1 1,Paragraafkop,Jhed2,2,sub-sect,h2,section header,no section,21,sub-sect1,22,sub-sect2,23,sub-sect3,24,sub-sect4,25,sub-sect5,(1.1,1.2,1.3 etc),PARA2,level 2,Subsection,Sub-clause,level2,h,Insid"/>
    <w:basedOn w:val="ListParagraph"/>
    <w:next w:val="Normal"/>
    <w:link w:val="Heading2Char"/>
    <w:unhideWhenUsed/>
    <w:qFormat/>
    <w:rsid w:val="00F85E4E"/>
    <w:pPr>
      <w:numPr>
        <w:ilvl w:val="1"/>
        <w:numId w:val="1"/>
      </w:numPr>
      <w:ind w:left="720" w:hanging="720"/>
      <w:contextualSpacing w:val="0"/>
      <w:jc w:val="both"/>
      <w:outlineLvl w:val="1"/>
    </w:pPr>
    <w:rPr>
      <w:lang w:val="en-US"/>
    </w:rPr>
  </w:style>
  <w:style w:type="paragraph" w:styleId="Heading3">
    <w:name w:val="heading 3"/>
    <w:aliases w:val="Lev 3,Level 1 - 1,Minor,H3,(a),Niveau 1 1 1,Subparagraafkop,Heading 3(left),h3,3,h31,31,h32,32,h33,33,h34,34,h35,35,sub-sub,sub-sub1,sub-sub2,sub-sub3,sub-sub4,sub section header,level 3,title,.,level3,3 bullet,Numbered - 3,MI"/>
    <w:basedOn w:val="ListParagraph"/>
    <w:next w:val="Normal"/>
    <w:link w:val="Heading3Char"/>
    <w:unhideWhenUsed/>
    <w:qFormat/>
    <w:rsid w:val="00F85E4E"/>
    <w:pPr>
      <w:numPr>
        <w:ilvl w:val="2"/>
        <w:numId w:val="2"/>
      </w:numPr>
      <w:ind w:left="1440" w:hanging="720"/>
      <w:contextualSpacing w:val="0"/>
      <w:jc w:val="both"/>
      <w:outlineLvl w:val="2"/>
    </w:pPr>
    <w:rPr>
      <w:lang w:val="en-US"/>
    </w:rPr>
  </w:style>
  <w:style w:type="paragraph" w:styleId="Heading4">
    <w:name w:val="heading 4"/>
    <w:aliases w:val="Lev 4,Level 2 - a,Sub-Minor,H,H4,(i),level 4,h4,Sub-paragraph,level4,4 dash,d,Heading 4 Char1,Heading 4 Char Char,Heading 4 Char1 Char Char,Heading 4 Char Char Char Char,Heading 4 Char1 Char1,Heading 4 Char Char Char1"/>
    <w:basedOn w:val="Normal"/>
    <w:link w:val="Heading4Char"/>
    <w:qFormat/>
    <w:rsid w:val="004D6B6C"/>
    <w:pPr>
      <w:tabs>
        <w:tab w:val="num" w:pos="2160"/>
      </w:tabs>
      <w:ind w:left="2160" w:hanging="720"/>
      <w:jc w:val="both"/>
      <w:outlineLvl w:val="3"/>
    </w:pPr>
    <w:rPr>
      <w:rFonts w:eastAsia="Times New Roman" w:cs="Times New Roman"/>
      <w:bCs/>
      <w:szCs w:val="28"/>
      <w:lang w:val="en-US"/>
    </w:rPr>
  </w:style>
  <w:style w:type="paragraph" w:styleId="Heading5">
    <w:name w:val="heading 5"/>
    <w:aliases w:val="Lev 5,Level 3 - i,H5,(1),level 5,h5,level5"/>
    <w:basedOn w:val="Normal"/>
    <w:link w:val="Heading5Char"/>
    <w:qFormat/>
    <w:rsid w:val="004D6B6C"/>
    <w:pPr>
      <w:tabs>
        <w:tab w:val="num" w:pos="2880"/>
      </w:tabs>
      <w:ind w:left="2880" w:hanging="720"/>
      <w:jc w:val="both"/>
      <w:outlineLvl w:val="4"/>
    </w:pPr>
    <w:rPr>
      <w:rFonts w:eastAsia="Times New Roman" w:cs="Times New Roman"/>
      <w:bCs/>
      <w:iCs/>
      <w:szCs w:val="26"/>
      <w:lang w:val="en-US"/>
    </w:rPr>
  </w:style>
  <w:style w:type="paragraph" w:styleId="Heading6">
    <w:name w:val="heading 6"/>
    <w:aliases w:val="Lev 6,Legal Level 1.,H6,(A),Marginal,level 6,h6,level6"/>
    <w:basedOn w:val="Normal"/>
    <w:link w:val="Heading6Char"/>
    <w:qFormat/>
    <w:rsid w:val="004D6B6C"/>
    <w:pPr>
      <w:tabs>
        <w:tab w:val="num" w:pos="720"/>
      </w:tabs>
      <w:ind w:left="720" w:hanging="720"/>
      <w:jc w:val="both"/>
      <w:outlineLvl w:val="5"/>
    </w:pPr>
    <w:rPr>
      <w:rFonts w:eastAsia="Times New Roman" w:cs="Times New Roman"/>
      <w:b/>
      <w:bCs/>
      <w:lang w:val="en-US"/>
    </w:rPr>
  </w:style>
  <w:style w:type="paragraph" w:styleId="Heading7">
    <w:name w:val="heading 7"/>
    <w:basedOn w:val="Normal"/>
    <w:link w:val="Heading7Char"/>
    <w:qFormat/>
    <w:rsid w:val="004D6B6C"/>
    <w:pPr>
      <w:tabs>
        <w:tab w:val="num" w:pos="720"/>
      </w:tabs>
      <w:ind w:left="720" w:hanging="720"/>
      <w:jc w:val="both"/>
      <w:outlineLvl w:val="6"/>
    </w:pPr>
    <w:rPr>
      <w:rFonts w:eastAsia="Times New Roman" w:cs="Times New Roman"/>
      <w:szCs w:val="24"/>
      <w:lang w:val="en-US"/>
    </w:rPr>
  </w:style>
  <w:style w:type="paragraph" w:styleId="Heading8">
    <w:name w:val="heading 8"/>
    <w:basedOn w:val="Normal"/>
    <w:link w:val="Heading8Char"/>
    <w:qFormat/>
    <w:rsid w:val="004D6B6C"/>
    <w:pPr>
      <w:tabs>
        <w:tab w:val="num" w:pos="1440"/>
      </w:tabs>
      <w:ind w:left="1440" w:hanging="720"/>
      <w:jc w:val="both"/>
      <w:outlineLvl w:val="7"/>
    </w:pPr>
    <w:rPr>
      <w:rFonts w:eastAsia="Times New Roman" w:cs="Times New Roman"/>
      <w:iCs/>
      <w:szCs w:val="24"/>
      <w:lang w:val="en-US"/>
    </w:rPr>
  </w:style>
  <w:style w:type="paragraph" w:styleId="Heading9">
    <w:name w:val="heading 9"/>
    <w:aliases w:val="Lev 9,Legal Level 1.1.1.1.,H9,E3 Marginal,h9,AppendixBodyHead,level3(i)"/>
    <w:basedOn w:val="Normal"/>
    <w:next w:val="BodyText"/>
    <w:link w:val="Heading9Char"/>
    <w:qFormat/>
    <w:rsid w:val="004D6B6C"/>
    <w:pPr>
      <w:tabs>
        <w:tab w:val="num" w:pos="2160"/>
      </w:tabs>
      <w:ind w:left="2160" w:hanging="720"/>
      <w:jc w:val="both"/>
      <w:outlineLvl w:val="8"/>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C252CB"/>
    <w:pPr>
      <w:ind w:left="720"/>
      <w:contextualSpacing/>
    </w:pPr>
  </w:style>
  <w:style w:type="character" w:customStyle="1" w:styleId="Heading1Char">
    <w:name w:val="Heading 1 Char"/>
    <w:basedOn w:val="DefaultParagraphFont"/>
    <w:link w:val="Heading1"/>
    <w:uiPriority w:val="9"/>
    <w:rsid w:val="0078648F"/>
    <w:rPr>
      <w:rFonts w:ascii="Times New Roman" w:hAnsi="Times New Roman" w:cs="Times New Roman (Body CS)"/>
      <w:b/>
      <w:bCs/>
      <w:caps/>
      <w:sz w:val="24"/>
      <w:lang w:val="en-US"/>
    </w:rPr>
  </w:style>
  <w:style w:type="character" w:customStyle="1" w:styleId="Heading2Char">
    <w:name w:val="Heading 2 Char"/>
    <w:aliases w:val="Lev 2 Char,Reset numbering Char,Major Char,H2 Char,Clause Char,Niveau 1 1 Char,Paragraafkop Char,Jhed2 Char,2 Char,sub-sect Char,h2 Char,section header Char,no section Char,21 Char,sub-sect1 Char,22 Char,sub-sect2 Char,23 Char,24 Char"/>
    <w:basedOn w:val="DefaultParagraphFont"/>
    <w:link w:val="Heading2"/>
    <w:uiPriority w:val="9"/>
    <w:rsid w:val="00F85E4E"/>
    <w:rPr>
      <w:rFonts w:ascii="Times New Roman" w:hAnsi="Times New Roman"/>
      <w:sz w:val="24"/>
      <w:lang w:val="en-US"/>
    </w:rPr>
  </w:style>
  <w:style w:type="character" w:customStyle="1" w:styleId="Heading3Char">
    <w:name w:val="Heading 3 Char"/>
    <w:aliases w:val="Lev 3 Char,Level 1 - 1 Char,Minor Char,H3 Char,(a) Char,Niveau 1 1 1 Char,Subparagraafkop Char,Heading 3(left) Char,h3 Char,3 Char,h31 Char,31 Char,h32 Char,32 Char,h33 Char,33 Char,h34 Char,34 Char,h35 Char,35 Char,sub-sub Char,. Char"/>
    <w:basedOn w:val="DefaultParagraphFont"/>
    <w:link w:val="Heading3"/>
    <w:uiPriority w:val="9"/>
    <w:rsid w:val="00F85E4E"/>
    <w:rPr>
      <w:rFonts w:ascii="Times New Roman" w:hAnsi="Times New Roman"/>
      <w:sz w:val="24"/>
      <w:lang w:val="en-US"/>
    </w:rPr>
  </w:style>
  <w:style w:type="paragraph" w:styleId="BodyTextIndent">
    <w:name w:val="Body Text Indent"/>
    <w:basedOn w:val="Normal"/>
    <w:link w:val="BodyTextIndentChar"/>
    <w:uiPriority w:val="99"/>
    <w:semiHidden/>
    <w:unhideWhenUsed/>
    <w:rsid w:val="0078648F"/>
    <w:pPr>
      <w:spacing w:after="120"/>
      <w:ind w:left="360"/>
    </w:pPr>
    <w:rPr>
      <w:lang w:val="en-US"/>
    </w:rPr>
  </w:style>
  <w:style w:type="character" w:customStyle="1" w:styleId="BodyTextIndentChar">
    <w:name w:val="Body Text Indent Char"/>
    <w:basedOn w:val="DefaultParagraphFont"/>
    <w:link w:val="BodyTextIndent"/>
    <w:uiPriority w:val="99"/>
    <w:semiHidden/>
    <w:rsid w:val="0078648F"/>
    <w:rPr>
      <w:rFonts w:ascii="Times New Roman" w:hAnsi="Times New Roman"/>
      <w:sz w:val="24"/>
      <w:lang w:val="en-US"/>
    </w:rPr>
  </w:style>
  <w:style w:type="paragraph" w:styleId="BodyText">
    <w:name w:val="Body Text"/>
    <w:basedOn w:val="Normal"/>
    <w:link w:val="BodyTextChar"/>
    <w:uiPriority w:val="99"/>
    <w:semiHidden/>
    <w:unhideWhenUsed/>
    <w:rsid w:val="004D6B6C"/>
    <w:pPr>
      <w:spacing w:after="120"/>
    </w:pPr>
  </w:style>
  <w:style w:type="character" w:customStyle="1" w:styleId="BodyTextChar">
    <w:name w:val="Body Text Char"/>
    <w:basedOn w:val="DefaultParagraphFont"/>
    <w:link w:val="BodyText"/>
    <w:uiPriority w:val="99"/>
    <w:semiHidden/>
    <w:rsid w:val="004D6B6C"/>
    <w:rPr>
      <w:rFonts w:ascii="Times New Roman" w:hAnsi="Times New Roman"/>
      <w:sz w:val="24"/>
    </w:rPr>
  </w:style>
  <w:style w:type="character" w:styleId="CommentReference">
    <w:name w:val="annotation reference"/>
    <w:uiPriority w:val="99"/>
    <w:rsid w:val="004D6B6C"/>
    <w:rPr>
      <w:sz w:val="16"/>
      <w:szCs w:val="16"/>
    </w:rPr>
  </w:style>
  <w:style w:type="character" w:customStyle="1" w:styleId="Heading4Char">
    <w:name w:val="Heading 4 Char"/>
    <w:aliases w:val="Lev 4 Char,Level 2 - a Char,Sub-Minor Char,H Char,H4 Char,(i) Char,level 4 Char,h4 Char,Sub-paragraph Char,level4 Char,4 dash Char,d Char,Heading 4 Char1 Char,Heading 4 Char Char Char,Heading 4 Char1 Char Char Char"/>
    <w:basedOn w:val="DefaultParagraphFont"/>
    <w:link w:val="Heading4"/>
    <w:rsid w:val="004D6B6C"/>
    <w:rPr>
      <w:rFonts w:ascii="Times New Roman" w:eastAsia="Times New Roman" w:hAnsi="Times New Roman" w:cs="Times New Roman"/>
      <w:bCs/>
      <w:sz w:val="24"/>
      <w:szCs w:val="28"/>
      <w:lang w:val="en-US"/>
    </w:rPr>
  </w:style>
  <w:style w:type="character" w:customStyle="1" w:styleId="Heading5Char">
    <w:name w:val="Heading 5 Char"/>
    <w:aliases w:val="Lev 5 Char,Level 3 - i Char,H5 Char,(1) Char,level 5 Char,h5 Char,level5 Char"/>
    <w:basedOn w:val="DefaultParagraphFont"/>
    <w:link w:val="Heading5"/>
    <w:rsid w:val="004D6B6C"/>
    <w:rPr>
      <w:rFonts w:ascii="Times New Roman" w:eastAsia="Times New Roman" w:hAnsi="Times New Roman" w:cs="Times New Roman"/>
      <w:bCs/>
      <w:iCs/>
      <w:sz w:val="24"/>
      <w:szCs w:val="26"/>
      <w:lang w:val="en-US"/>
    </w:rPr>
  </w:style>
  <w:style w:type="character" w:customStyle="1" w:styleId="Heading6Char">
    <w:name w:val="Heading 6 Char"/>
    <w:aliases w:val="Lev 6 Char,Legal Level 1. Char,H6 Char,(A) Char,Marginal Char,level 6 Char,h6 Char,level6 Char"/>
    <w:basedOn w:val="DefaultParagraphFont"/>
    <w:link w:val="Heading6"/>
    <w:rsid w:val="004D6B6C"/>
    <w:rPr>
      <w:rFonts w:ascii="Times New Roman" w:eastAsia="Times New Roman" w:hAnsi="Times New Roman" w:cs="Times New Roman"/>
      <w:b/>
      <w:bCs/>
      <w:sz w:val="24"/>
      <w:lang w:val="en-US"/>
    </w:rPr>
  </w:style>
  <w:style w:type="character" w:customStyle="1" w:styleId="Heading7Char">
    <w:name w:val="Heading 7 Char"/>
    <w:basedOn w:val="DefaultParagraphFont"/>
    <w:link w:val="Heading7"/>
    <w:rsid w:val="004D6B6C"/>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D6B6C"/>
    <w:rPr>
      <w:rFonts w:ascii="Times New Roman" w:eastAsia="Times New Roman" w:hAnsi="Times New Roman" w:cs="Times New Roman"/>
      <w:iCs/>
      <w:sz w:val="24"/>
      <w:szCs w:val="24"/>
      <w:lang w:val="en-US"/>
    </w:rPr>
  </w:style>
  <w:style w:type="character" w:customStyle="1" w:styleId="Heading9Char">
    <w:name w:val="Heading 9 Char"/>
    <w:aliases w:val="Lev 9 Char,Legal Level 1.1.1.1. Char,H9 Char,E3 Marginal Char,h9 Char,AppendixBodyHead Char,level3(i) Char"/>
    <w:basedOn w:val="DefaultParagraphFont"/>
    <w:link w:val="Heading9"/>
    <w:rsid w:val="004D6B6C"/>
    <w:rPr>
      <w:rFonts w:ascii="Times New Roman" w:eastAsia="Times New Roman" w:hAnsi="Times New Roman" w:cs="Times New Roman"/>
      <w:sz w:val="24"/>
      <w:lang w:val="en-US"/>
    </w:rPr>
  </w:style>
  <w:style w:type="paragraph" w:customStyle="1" w:styleId="wcstandardah1">
    <w:name w:val="wc_standarda h 1"/>
    <w:basedOn w:val="Normal"/>
    <w:next w:val="wcstandardah2"/>
    <w:rsid w:val="004D6B6C"/>
    <w:pPr>
      <w:keepNext/>
      <w:numPr>
        <w:numId w:val="6"/>
      </w:numPr>
      <w:jc w:val="both"/>
      <w:outlineLvl w:val="0"/>
    </w:pPr>
    <w:rPr>
      <w:rFonts w:eastAsia="Times New Roman" w:cs="Times New Roman"/>
      <w:b/>
      <w:caps/>
      <w:szCs w:val="24"/>
      <w:lang w:val="en-GB"/>
    </w:rPr>
  </w:style>
  <w:style w:type="paragraph" w:customStyle="1" w:styleId="wcstandardah2">
    <w:name w:val="wc_standarda h 2"/>
    <w:basedOn w:val="Normal"/>
    <w:next w:val="Normal"/>
    <w:rsid w:val="004D6B6C"/>
    <w:pPr>
      <w:numPr>
        <w:ilvl w:val="1"/>
        <w:numId w:val="6"/>
      </w:numPr>
      <w:jc w:val="both"/>
      <w:outlineLvl w:val="1"/>
    </w:pPr>
    <w:rPr>
      <w:rFonts w:eastAsia="Times New Roman" w:cs="Times New Roman"/>
      <w:szCs w:val="24"/>
      <w:lang w:val="en-GB"/>
    </w:rPr>
  </w:style>
  <w:style w:type="paragraph" w:customStyle="1" w:styleId="wcstandardah3">
    <w:name w:val="wc_standarda h 3"/>
    <w:basedOn w:val="Normal"/>
    <w:rsid w:val="004D6B6C"/>
    <w:pPr>
      <w:numPr>
        <w:ilvl w:val="5"/>
        <w:numId w:val="6"/>
      </w:numPr>
      <w:ind w:left="1440"/>
      <w:jc w:val="both"/>
      <w:outlineLvl w:val="2"/>
    </w:pPr>
    <w:rPr>
      <w:rFonts w:eastAsia="Times New Roman" w:cs="Times New Roman"/>
      <w:szCs w:val="24"/>
      <w:lang w:val="en-GB"/>
    </w:rPr>
  </w:style>
  <w:style w:type="paragraph" w:customStyle="1" w:styleId="wcstandardah4">
    <w:name w:val="wc_standarda h 4"/>
    <w:basedOn w:val="Normal"/>
    <w:rsid w:val="004D6B6C"/>
    <w:pPr>
      <w:numPr>
        <w:ilvl w:val="6"/>
        <w:numId w:val="6"/>
      </w:numPr>
      <w:ind w:left="2160"/>
      <w:jc w:val="both"/>
      <w:outlineLvl w:val="3"/>
    </w:pPr>
    <w:rPr>
      <w:rFonts w:eastAsia="Times New Roman" w:cs="Times New Roman"/>
      <w:szCs w:val="24"/>
      <w:lang w:val="en-GB"/>
    </w:rPr>
  </w:style>
  <w:style w:type="paragraph" w:customStyle="1" w:styleId="wcstandardah5">
    <w:name w:val="wc_standarda h 5"/>
    <w:basedOn w:val="Normal"/>
    <w:rsid w:val="004D6B6C"/>
    <w:pPr>
      <w:numPr>
        <w:ilvl w:val="7"/>
        <w:numId w:val="6"/>
      </w:numPr>
      <w:ind w:left="2880" w:hanging="720"/>
      <w:jc w:val="both"/>
      <w:outlineLvl w:val="4"/>
    </w:pPr>
    <w:rPr>
      <w:rFonts w:eastAsia="Times New Roman" w:cs="Times New Roman"/>
      <w:szCs w:val="24"/>
      <w:lang w:val="en-GB"/>
    </w:rPr>
  </w:style>
  <w:style w:type="paragraph" w:styleId="CommentText">
    <w:name w:val="annotation text"/>
    <w:basedOn w:val="Normal"/>
    <w:link w:val="CommentTextChar"/>
    <w:uiPriority w:val="99"/>
    <w:unhideWhenUsed/>
    <w:rsid w:val="00E15261"/>
    <w:rPr>
      <w:sz w:val="20"/>
      <w:szCs w:val="20"/>
    </w:rPr>
  </w:style>
  <w:style w:type="character" w:customStyle="1" w:styleId="CommentTextChar">
    <w:name w:val="Comment Text Char"/>
    <w:basedOn w:val="DefaultParagraphFont"/>
    <w:link w:val="CommentText"/>
    <w:uiPriority w:val="99"/>
    <w:rsid w:val="00E152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5261"/>
    <w:rPr>
      <w:b/>
      <w:bCs/>
    </w:rPr>
  </w:style>
  <w:style w:type="character" w:customStyle="1" w:styleId="CommentSubjectChar">
    <w:name w:val="Comment Subject Char"/>
    <w:basedOn w:val="CommentTextChar"/>
    <w:link w:val="CommentSubject"/>
    <w:uiPriority w:val="99"/>
    <w:semiHidden/>
    <w:rsid w:val="00E15261"/>
    <w:rPr>
      <w:rFonts w:ascii="Times New Roman" w:hAnsi="Times New Roman"/>
      <w:b/>
      <w:bCs/>
      <w:sz w:val="20"/>
      <w:szCs w:val="20"/>
    </w:rPr>
  </w:style>
  <w:style w:type="paragraph" w:styleId="Revision">
    <w:name w:val="Revision"/>
    <w:hidden/>
    <w:uiPriority w:val="99"/>
    <w:semiHidden/>
    <w:rsid w:val="00E0449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overned.com/ter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4794</Words>
  <Characters>25842</Characters>
  <Application>Microsoft Office Word</Application>
  <DocSecurity>0</DocSecurity>
  <Lines>538</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Roman Buzko</cp:lastModifiedBy>
  <cp:revision>11</cp:revision>
  <dcterms:created xsi:type="dcterms:W3CDTF">2023-08-16T14:25:00Z</dcterms:created>
  <dcterms:modified xsi:type="dcterms:W3CDTF">2024-03-27T15:07:00Z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