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Title</w:t>
      </w:r>
      <w:r>
        <w:rPr>
          <w:bCs/>
          <w:b/>
        </w:rPr>
        <w:t xml:space="preserve"> </w:t>
      </w:r>
      <w:r>
        <w:rPr>
          <w:bCs/>
          <w:b/>
        </w:rPr>
        <w:t xml:space="preserve">of</w:t>
      </w:r>
      <w:r>
        <w:rPr>
          <w:bCs/>
          <w:b/>
        </w:rPr>
        <w:t xml:space="preserve"> </w:t>
      </w:r>
      <w:r>
        <w:rPr>
          <w:bCs/>
          <w:b/>
        </w:rPr>
        <w:t xml:space="preserve">the</w:t>
      </w:r>
      <w:r>
        <w:rPr>
          <w:bCs/>
          <w:b/>
        </w:rPr>
        <w:t xml:space="preserve"> </w:t>
      </w:r>
      <w:r>
        <w:rPr>
          <w:bCs/>
          <w:b/>
        </w:rPr>
        <w:t xml:space="preserve">report</w:t>
      </w:r>
    </w:p>
    <w:p>
      <w:pPr>
        <w:pStyle w:val="Subtitle"/>
      </w:pPr>
      <w:r>
        <w:rPr>
          <w:iCs/>
          <w:i/>
        </w:rPr>
        <w:t xml:space="preserve">Subtitle</w:t>
      </w:r>
    </w:p>
    <w:p>
      <w:pPr>
        <w:pStyle w:val="Author"/>
      </w:pPr>
      <w:r>
        <w:t xml:space="preserve">Julien</w:t>
      </w:r>
      <w:r>
        <w:t xml:space="preserve"> </w:t>
      </w:r>
      <w:r>
        <w:t xml:space="preserve">Vitay</w:t>
      </w:r>
    </w:p>
    <w:p>
      <w:pPr>
        <w:pStyle w:val="Author"/>
      </w:pPr>
      <w:r>
        <w:t xml:space="preserve">Fred</w:t>
      </w:r>
      <w:r>
        <w:t xml:space="preserve"> </w:t>
      </w:r>
      <w:r>
        <w:t xml:space="preserve">Hamker</w:t>
      </w:r>
    </w:p>
    <w:p>
      <w:pPr>
        <w:pStyle w:val="Date"/>
      </w:pPr>
      <w:r>
        <w:t xml:space="preserve">2024-02-28</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of</w:t>
      </w:r>
      <w:r>
        <w:t xml:space="preserve"> </w:t>
      </w:r>
      <w:r>
        <w:t xml:space="preserve">the</w:t>
      </w:r>
      <w:r>
        <w:t xml:space="preserve"> </w:t>
      </w:r>
      <w:r>
        <w:t xml:space="preserve">report.</w:t>
      </w:r>
      <w:r>
        <w:t xml:space="preserve"> </w:t>
      </w:r>
      <w:r>
        <w:t xml:space="preserve">It</w:t>
      </w:r>
      <w:r>
        <w:t xml:space="preserve"> </w:t>
      </w:r>
      <w:r>
        <w:t xml:space="preserve">can</w:t>
      </w:r>
      <w:r>
        <w:t xml:space="preserve"> </w:t>
      </w:r>
      <w:r>
        <w:t xml:space="preserve">span</w:t>
      </w:r>
      <w:r>
        <w:t xml:space="preserve"> </w:t>
      </w:r>
      <w:r>
        <w:t xml:space="preserve">multiple</w:t>
      </w:r>
      <w:r>
        <w:t xml:space="preserve"> </w:t>
      </w:r>
      <w:r>
        <w:t xml:space="preserve">lines.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0" w:name="introduction"/>
    <w:p>
      <w:pPr>
        <w:pStyle w:val="Heading1"/>
      </w:pPr>
      <w:r>
        <w:t xml:space="preserve">Introduction</w:t>
      </w:r>
    </w:p>
    <w:bookmarkStart w:id="27" w:name="first-subsection"/>
    <w:p>
      <w:pPr>
        <w:pStyle w:val="Heading2"/>
      </w:pPr>
      <w:r>
        <w:t xml:space="preserve">First subsection</w:t>
      </w:r>
    </w:p>
    <w:p>
      <w:pPr>
        <w:pStyle w:val="FirstParagraph"/>
      </w:pPr>
      <w:r>
        <w:t xml:space="preserve">The Basal Ganglia (BG) are a set of nuclei located in the basal forebrain, receiving inputs mostly from the cerebral cortex and projecting to various motor centers, as well as back to the cortex through the thalamus, forming a closed-loop. It is involved in major functions such as reinforcement learning, habit formation, planning and motor control, but also in diseases such as Parkinson’s disease or Tourette syndrome.</w:t>
      </w:r>
    </w:p>
    <w:p>
      <w:pPr>
        <w:pStyle w:val="BodyText"/>
      </w:pPr>
      <w:r>
        <w:t xml:space="preserve">References:</w:t>
      </w:r>
      <w:r>
        <w:t xml:space="preserve"> </w:t>
      </w:r>
      <w:r>
        <w:t xml:space="preserve">Scholl et al. (2022)</w:t>
      </w:r>
      <w:r>
        <w:t xml:space="preserve"> </w:t>
      </w:r>
      <w:r>
        <w:t xml:space="preserve">showed that XXX</w:t>
      </w:r>
      <w:r>
        <w:t xml:space="preserve"> </w:t>
      </w:r>
      <w:r>
        <w:t xml:space="preserve">(Vitay, 2017)</w:t>
      </w:r>
      <w:r>
        <w:t xml:space="preserve">.</w:t>
      </w:r>
    </w:p>
    <w:p>
      <w:pPr>
        <w:pStyle w:val="BodyText"/>
      </w:pPr>
      <w:r>
        <w:t xml:space="preserve">See</w:t>
      </w:r>
      <w:r>
        <w:t xml:space="preserve"> </w:t>
      </w:r>
      <w:hyperlink w:anchor="fig-matrix">
        <w:r>
          <w:rPr>
            <w:rStyle w:val="Hyperlink"/>
          </w:rPr>
          <w:t xml:space="preserve">Figure 1</w:t>
        </w:r>
      </w:hyperlink>
      <w:r>
        <w:t xml:space="preserve"> </w:t>
      </w:r>
      <w:r>
        <w:t xml:space="preserve">and</w:t>
      </w:r>
      <w:r>
        <w:t xml:space="preserve"> </w:t>
      </w:r>
      <w:hyperlink w:anchor="sec-results">
        <w:r>
          <w:rPr>
            <w:rStyle w:val="Hyperlink"/>
          </w:rPr>
          <w:t xml:space="preserve">Section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matrix"/>
          <w:p>
            <w:pPr>
              <w:pStyle w:val="Compact"/>
              <w:jc w:val="center"/>
            </w:pPr>
            <w:r>
              <w:drawing>
                <wp:inline>
                  <wp:extent cx="2667000" cy="2504691"/>
                  <wp:effectExtent b="0" l="0" r="0" t="0"/>
                  <wp:docPr descr="" title="" id="21" name="Picture"/>
                  <a:graphic>
                    <a:graphicData uri="http://schemas.openxmlformats.org/drawingml/2006/picture">
                      <pic:pic>
                        <pic:nvPicPr>
                          <pic:cNvPr descr="img/dopamine.jpg" id="22" name="Picture"/>
                          <pic:cNvPicPr>
                            <a:picLocks noChangeArrowheads="1" noChangeAspect="1"/>
                          </pic:cNvPicPr>
                        </pic:nvPicPr>
                        <pic:blipFill>
                          <a:blip r:embed="rId20"/>
                          <a:stretch>
                            <a:fillRect/>
                          </a:stretch>
                        </pic:blipFill>
                        <pic:spPr bwMode="auto">
                          <a:xfrm>
                            <a:off x="0" y="0"/>
                            <a:ext cx="2667000" cy="25046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Afferent system to VTA.</w:t>
            </w:r>
            <w:r>
              <w:t xml:space="preserve"> </w:t>
            </w:r>
            <w:r>
              <w:t xml:space="preserve">(Vitay, 2017)</w:t>
            </w:r>
          </w:p>
          <w:bookmarkEnd w:id="23"/>
        </w:tc>
      </w:tr>
    </w:tbl>
    <w:p>
      <w:pPr>
        <w:pStyle w:val="BodyText"/>
      </w:pPr>
      <w:r>
        <w:t xml:space="preserve">Equations:</w:t>
      </w:r>
    </w:p>
    <w:p>
      <w:pPr>
        <w:pStyle w:val="BodyText"/>
      </w:pPr>
      <m:oMathPara>
        <m:oMathParaPr>
          <m:jc m:val="center"/>
        </m:oMathParaPr>
        <m:oMath>
          <m:r>
            <m:t>τ</m:t>
          </m:r>
          <m:r>
            <m:t> </m:t>
          </m:r>
          <m:f>
            <m:fPr>
              <m:type m:val="bar"/>
            </m:fPr>
            <m:num>
              <m:r>
                <m:t>d</m:t>
              </m:r>
              <m:sSub>
                <m:e>
                  <m:r>
                    <m:t>x</m:t>
                  </m:r>
                </m:e>
                <m:sub>
                  <m:r>
                    <m:t>j</m:t>
                  </m:r>
                </m:sub>
              </m:sSub>
              <m:d>
                <m:dPr>
                  <m:begChr m:val="("/>
                  <m:endChr m:val=")"/>
                  <m:sepChr m:val=""/>
                  <m:grow/>
                </m:dPr>
                <m:e>
                  <m:r>
                    <m:t>t</m:t>
                  </m:r>
                </m:e>
              </m:d>
            </m:num>
            <m:den>
              <m:r>
                <m:t>d</m:t>
              </m:r>
              <m:r>
                <m:t>t</m:t>
              </m:r>
            </m:den>
          </m:f>
          <m:r>
            <m:rPr>
              <m:sty m:val="p"/>
            </m:rPr>
            <m:t>+</m:t>
          </m:r>
          <m:sSub>
            <m:e>
              <m:r>
                <m:t>x</m:t>
              </m:r>
            </m:e>
            <m:sub>
              <m:r>
                <m:t>j</m:t>
              </m:r>
            </m:sub>
          </m:sSub>
          <m:d>
            <m:dPr>
              <m:begChr m:val="("/>
              <m:endChr m:val=")"/>
              <m:sepChr m:val=""/>
              <m:grow/>
            </m:dPr>
            <m:e>
              <m:r>
                <m:t>t</m:t>
              </m:r>
            </m:e>
          </m:d>
          <m:r>
            <m:rPr>
              <m:sty m:val="p"/>
            </m:rPr>
            <m:t>=</m:t>
          </m:r>
          <m:nary>
            <m:naryPr>
              <m:chr m:val="∑"/>
              <m:limLoc m:val="undOvr"/>
              <m:subHide m:val="off"/>
              <m:supHide m:val="on"/>
            </m:naryPr>
            <m:sub>
              <m:r>
                <m:t>i</m:t>
              </m:r>
            </m:sub>
            <m:sup>
              <m:r>
                <m:t>​</m:t>
              </m:r>
            </m:sup>
            <m:e>
              <m:sSubSup>
                <m:e>
                  <m:r>
                    <m:t>w</m:t>
                  </m:r>
                </m:e>
                <m:sub>
                  <m:r>
                    <m:t>i</m:t>
                  </m:r>
                  <m:r>
                    <m:t>j</m:t>
                  </m:r>
                </m:sub>
                <m:sup>
                  <m:r>
                    <m:t>i</m:t>
                  </m:r>
                  <m:r>
                    <m:t>n</m:t>
                  </m:r>
                </m:sup>
              </m:sSubSup>
            </m:e>
          </m:nary>
          <m:r>
            <m:t> </m:t>
          </m:r>
          <m:sSubSup>
            <m:e>
              <m:r>
                <m:t>r</m:t>
              </m:r>
            </m:e>
            <m:sub>
              <m:r>
                <m:t>i</m:t>
              </m:r>
            </m:sub>
            <m:sup>
              <m:r>
                <m:t>i</m:t>
              </m:r>
              <m:r>
                <m:t>n</m:t>
              </m:r>
            </m:sup>
          </m:sSubSup>
          <m:d>
            <m:dPr>
              <m:begChr m:val="("/>
              <m:endChr m:val=")"/>
              <m:sepChr m:val=""/>
              <m:grow/>
            </m:dPr>
            <m:e>
              <m:r>
                <m:t>t</m:t>
              </m:r>
            </m:e>
          </m:d>
          <m:r>
            <m:rPr>
              <m:sty m:val="p"/>
            </m:rPr>
            <m:t>+</m:t>
          </m:r>
          <m:r>
            <m:t>g</m:t>
          </m:r>
          <m:r>
            <m:t> </m:t>
          </m:r>
          <m:nary>
            <m:naryPr>
              <m:chr m:val="∑"/>
              <m:limLoc m:val="undOvr"/>
              <m:subHide m:val="off"/>
              <m:supHide m:val="on"/>
            </m:naryPr>
            <m:sub>
              <m:r>
                <m:t>i</m:t>
              </m:r>
              <m:r>
                <m:rPr>
                  <m:sty m:val="p"/>
                </m:rPr>
                <m:t>≠</m:t>
              </m:r>
              <m:r>
                <m:t>j</m:t>
              </m:r>
            </m:sub>
            <m:sup>
              <m:r>
                <m:t>​</m:t>
              </m:r>
            </m:sup>
            <m:e>
              <m:sSubSup>
                <m:e>
                  <m:r>
                    <m:t>w</m:t>
                  </m:r>
                </m:e>
                <m:sub>
                  <m:r>
                    <m:t>i</m:t>
                  </m:r>
                  <m:r>
                    <m:t>j</m:t>
                  </m:r>
                </m:sub>
                <m:sup>
                  <m:r>
                    <m:t>r</m:t>
                  </m:r>
                  <m:r>
                    <m:t>e</m:t>
                  </m:r>
                  <m:r>
                    <m:t>c</m:t>
                  </m:r>
                </m:sup>
              </m:sSubSup>
            </m:e>
          </m:nary>
          <m:r>
            <m:t> </m:t>
          </m:r>
          <m:sSub>
            <m:e>
              <m:r>
                <m:t>r</m:t>
              </m:r>
            </m:e>
            <m:sub>
              <m:r>
                <m:t>i</m:t>
              </m:r>
            </m:sub>
          </m:sSub>
          <m:d>
            <m:dPr>
              <m:begChr m:val="("/>
              <m:endChr m:val=")"/>
              <m:sepChr m:val=""/>
              <m:grow/>
            </m:dPr>
            <m:e>
              <m:r>
                <m:t>t</m:t>
              </m:r>
            </m:e>
          </m:d>
        </m:oMath>
      </m:oMathPara>
    </w:p>
    <w:p>
      <w:pPr>
        <w:pStyle w:val="FirstParagraph"/>
      </w:pPr>
      <w:r>
        <w:t xml:space="preserve">Ad monitions: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 Bene</w:t>
            </w:r>
          </w:p>
        </w:tc>
      </w:tr>
      <w:tr>
        <w:trPr>
          <w:cantSplit/>
        </w:trPr>
        <w:tc>
          <w:tcPr>
            <w:tcMar>
              <w:top w:w="108" w:type="dxa"/>
              <w:bottom w:w="108" w:type="dxa"/>
            </w:tcMar>
          </w:tcPr>
          <w:p>
            <w:pPr>
              <w:pStyle w:val="BodyText"/>
            </w:pPr>
            <w:pPr>
              <w:spacing w:before="16" w:after="16"/>
            </w:pPr>
            <w:r>
              <w:t xml:space="preserve">Important information.</w:t>
            </w:r>
          </w:p>
        </w:tc>
      </w:tr>
    </w:tbl>
    <w:p>
      <w:pPr>
        <w:pStyle w:val="BodyText"/>
      </w:pPr>
      <w:r>
        <w:t xml:space="preserve">Code snippets:</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p>
    <w:bookmarkEnd w:id="27"/>
    <w:bookmarkStart w:id="29" w:name="second-subsection"/>
    <w:p>
      <w:pPr>
        <w:pStyle w:val="Heading2"/>
      </w:pPr>
      <w:r>
        <w:t xml:space="preserve">Second subsection</w:t>
      </w:r>
    </w:p>
    <w:p>
      <w:pPr>
        <w:pStyle w:val="FirstParagraph"/>
      </w:pPr>
      <w:hyperlink r:id="rId28">
        <w:r>
          <w:rPr>
            <w:rStyle w:val="Hyperlink"/>
          </w:rPr>
          <w:t xml:space="preserve">https://www.youtube.com/embed/tPgf_btTFlc</w:t>
        </w:r>
      </w:hyperlink>
    </w:p>
    <w:bookmarkEnd w:id="29"/>
    <w:bookmarkEnd w:id="30"/>
    <w:bookmarkStart w:id="31" w:name="material-and-methods"/>
    <w:p>
      <w:pPr>
        <w:pStyle w:val="Heading1"/>
      </w:pPr>
      <w:r>
        <w:t xml:space="preserve">Material and methods</w:t>
      </w:r>
    </w:p>
    <w:bookmarkEnd w:id="31"/>
    <w:bookmarkStart w:id="32" w:name="sec-results"/>
    <w:p>
      <w:pPr>
        <w:pStyle w:val="Heading1"/>
      </w:pPr>
      <w:r>
        <w:t xml:space="preserve">Results</w:t>
      </w:r>
    </w:p>
    <w:bookmarkEnd w:id="32"/>
    <w:bookmarkStart w:id="33" w:name="discussion"/>
    <w:p>
      <w:pPr>
        <w:pStyle w:val="Heading1"/>
      </w:pPr>
      <w:r>
        <w:t xml:space="preserve">Discussion</w:t>
      </w:r>
    </w:p>
    <w:bookmarkEnd w:id="33"/>
    <w:bookmarkStart w:id="39" w:name="references"/>
    <w:p>
      <w:pPr>
        <w:pStyle w:val="Heading1"/>
      </w:pPr>
      <w:r>
        <w:t xml:space="preserve">References</w:t>
      </w:r>
    </w:p>
    <w:bookmarkStart w:id="38" w:name="refs"/>
    <w:bookmarkStart w:id="35" w:name="ref-Scholl2022"/>
    <w:p>
      <w:pPr>
        <w:pStyle w:val="Bibliography"/>
      </w:pPr>
      <w:r>
        <w:t xml:space="preserve">Scholl, C., Baladron, J., Vitay, J., and Hamker, F. H. (2022). Enhanced habit formation in</w:t>
      </w:r>
      <w:r>
        <w:t xml:space="preserve"> </w:t>
      </w:r>
      <w:r>
        <w:t xml:space="preserve">Tourette</w:t>
      </w:r>
      <w:r>
        <w:t xml:space="preserve"> </w:t>
      </w:r>
      <w:r>
        <w:t xml:space="preserve">patients explained by shortcut modulation in a hierarchical cortico-basal ganglia model.</w:t>
      </w:r>
      <w:r>
        <w:t xml:space="preserve"> </w:t>
      </w:r>
      <w:r>
        <w:rPr>
          <w:iCs/>
          <w:i/>
        </w:rPr>
        <w:t xml:space="preserve">Brain Structure and Function</w:t>
      </w:r>
      <w:r>
        <w:t xml:space="preserve">. doi:</w:t>
      </w:r>
      <w:hyperlink r:id="rId34">
        <w:r>
          <w:rPr>
            <w:rStyle w:val="Hyperlink"/>
          </w:rPr>
          <w:t xml:space="preserve">10.1007/s00429-021-02446-x</w:t>
        </w:r>
      </w:hyperlink>
      <w:r>
        <w:t xml:space="preserve">.</w:t>
      </w:r>
    </w:p>
    <w:bookmarkEnd w:id="35"/>
    <w:bookmarkStart w:id="37" w:name="ref-Vitay2017"/>
    <w:p>
      <w:pPr>
        <w:pStyle w:val="Bibliography"/>
      </w:pPr>
      <w:r>
        <w:t xml:space="preserve">Vitay, J. (2017). On the role of dopamine in motivated behavior: A neuro-computational approach. Available at:</w:t>
      </w:r>
      <w:r>
        <w:t xml:space="preserve"> </w:t>
      </w:r>
      <w:hyperlink r:id="rId36">
        <w:r>
          <w:rPr>
            <w:rStyle w:val="Hyperlink"/>
          </w:rPr>
          <w:t xml:space="preserve">https://julien-vitay.net/publication/vitay2017/</w:t>
        </w:r>
      </w:hyperlink>
      <w:r>
        <w:t xml:space="preserve">.</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jpg" /><Relationship Type="http://schemas.openxmlformats.org/officeDocument/2006/relationships/hyperlink" Id="rId34" Target="https://doi.org/10.1007/s00429-021-02446-x" TargetMode="External" /><Relationship Type="http://schemas.openxmlformats.org/officeDocument/2006/relationships/hyperlink" Id="rId36" Target="https://julien-vitay.net/publication/vitay2017/" TargetMode="External" /><Relationship Type="http://schemas.openxmlformats.org/officeDocument/2006/relationships/hyperlink" Id="rId28" Target="https://www.youtube.com/embed/tPgf_btTFlc"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07/s00429-021-02446-x" TargetMode="External" /><Relationship Type="http://schemas.openxmlformats.org/officeDocument/2006/relationships/hyperlink" Id="rId36" Target="https://julien-vitay.net/publication/vitay2017/" TargetMode="External" /><Relationship Type="http://schemas.openxmlformats.org/officeDocument/2006/relationships/hyperlink" Id="rId28" Target="https://www.youtube.com/embed/tPgf_btTFl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report</dc:title>
  <dc:creator>Julien Vitay; Fred Hamker</dc:creator>
  <cp:keywords/>
  <dcterms:created xsi:type="dcterms:W3CDTF">2024-02-28T14:14:56Z</dcterms:created>
  <dcterms:modified xsi:type="dcterms:W3CDTF">2024-02-28T14:14:56Z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of the report. It can span multiple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frontiers.csl</vt:lpwstr>
  </property>
  <property fmtid="{D5CDD505-2E9C-101B-9397-08002B2CF9AE}" pid="11" name="date">
    <vt:lpwstr>2024-02-28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Subtitle</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