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Title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bCs/>
          <w:b/>
        </w:rPr>
        <w:t xml:space="preserve">the</w:t>
      </w:r>
      <w:r>
        <w:rPr>
          <w:bCs/>
          <w:b/>
        </w:rPr>
        <w:t xml:space="preserve"> </w:t>
      </w:r>
      <w:r>
        <w:rPr>
          <w:bCs/>
          <w:b/>
        </w:rPr>
        <w:t xml:space="preserve">report</w:t>
      </w:r>
    </w:p>
    <w:p>
      <w:pPr>
        <w:pStyle w:val="Subtitle"/>
      </w:pPr>
      <w:r>
        <w:rPr>
          <w:iCs/>
          <w:i/>
        </w:rPr>
        <w:t xml:space="preserve">Subtitle</w:t>
      </w:r>
    </w:p>
    <w:p>
      <w:pPr>
        <w:pStyle w:val="Author"/>
      </w:pPr>
      <w:r>
        <w:t xml:space="preserve">Julien</w:t>
      </w:r>
      <w:r>
        <w:t xml:space="preserve"> </w:t>
      </w:r>
      <w:r>
        <w:t xml:space="preserve">Vitay</w:t>
      </w:r>
    </w:p>
    <w:p>
      <w:pPr>
        <w:pStyle w:val="Author"/>
      </w:pPr>
      <w:r>
        <w:t xml:space="preserve">Fred</w:t>
      </w:r>
      <w:r>
        <w:t xml:space="preserve"> </w:t>
      </w:r>
      <w:r>
        <w:t xml:space="preserve">Hamker</w:t>
      </w:r>
    </w:p>
    <w:p>
      <w:pPr>
        <w:pStyle w:val="Date"/>
      </w:pPr>
      <w:r>
        <w:t xml:space="preserve">2024-05-02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report.</w:t>
      </w:r>
      <w:r>
        <w:t xml:space="preserve"> </w:t>
      </w:r>
      <w:r>
        <w:t xml:space="preserve">It</w:t>
      </w:r>
      <w:r>
        <w:t xml:space="preserve"> </w:t>
      </w:r>
      <w:r>
        <w:t xml:space="preserve">can</w:t>
      </w:r>
      <w:r>
        <w:t xml:space="preserve"> </w:t>
      </w:r>
      <w:r>
        <w:t xml:space="preserve">span</w:t>
      </w:r>
      <w:r>
        <w:t xml:space="preserve"> </w:t>
      </w:r>
      <w:r>
        <w:t xml:space="preserve">multiple</w:t>
      </w:r>
      <w:r>
        <w:t xml:space="preserve"> </w:t>
      </w:r>
      <w:r>
        <w:t xml:space="preserve">lines.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introduction"/>
    <w:p>
      <w:pPr>
        <w:pStyle w:val="Heading1"/>
      </w:pPr>
      <w:r>
        <w:t xml:space="preserve">1. Introduction</w:t>
      </w:r>
    </w:p>
    <w:bookmarkStart w:id="27" w:name="first-subsection"/>
    <w:p>
      <w:pPr>
        <w:pStyle w:val="Heading2"/>
      </w:pPr>
      <w:r>
        <w:t xml:space="preserve">1.1 First subsection</w:t>
      </w:r>
    </w:p>
    <w:p>
      <w:pPr>
        <w:pStyle w:val="FirstParagraph"/>
      </w:pPr>
      <w:r>
        <w:t xml:space="preserve">References:</w:t>
      </w:r>
      <w:r>
        <w:t xml:space="preserve"> </w:t>
      </w:r>
      <w:r>
        <w:t xml:space="preserve">Scholl et al. (2022)</w:t>
      </w:r>
      <w:r>
        <w:t xml:space="preserve"> </w:t>
      </w:r>
      <w:r>
        <w:t xml:space="preserve">showed that XXX</w:t>
      </w:r>
      <w:r>
        <w:t xml:space="preserve"> </w:t>
      </w:r>
      <w:r>
        <w:t xml:space="preserve">(Vitay, 2017)</w:t>
      </w:r>
      <w:r>
        <w:t xml:space="preserve">.</w:t>
      </w:r>
    </w:p>
    <w:p>
      <w:pPr>
        <w:pStyle w:val="BodyText"/>
      </w:pPr>
      <w:r>
        <w:t xml:space="preserve">See</w:t>
      </w:r>
      <w:r>
        <w:t xml:space="preserve"> </w:t>
      </w:r>
      <w:hyperlink w:anchor="fig-matrix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and</w:t>
      </w:r>
      <w:r>
        <w:t xml:space="preserve"> </w:t>
      </w:r>
      <w:hyperlink w:anchor="sec-results">
        <w:r>
          <w:rPr>
            <w:rStyle w:val="Hyperlink"/>
          </w:rPr>
          <w:t xml:space="preserve">Section 3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fig-matrix"/>
          <w:p>
            <w:pPr>
              <w:pStyle w:val="Compact"/>
              <w:jc w:val="center"/>
            </w:pPr>
            <w:r>
              <w:drawing>
                <wp:inline>
                  <wp:extent cx="2667000" cy="250469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dopamine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504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Afferent system to VTA.</w:t>
            </w:r>
            <w:r>
              <w:t xml:space="preserve"> </w:t>
            </w:r>
            <w:r>
              <w:t xml:space="preserve">(Vitay, 2017)</w:t>
            </w:r>
          </w:p>
          <w:bookmarkEnd w:id="23"/>
        </w:tc>
      </w:tr>
    </w:tbl>
    <w:p>
      <w:pPr>
        <w:pStyle w:val="BodyText"/>
      </w:pPr>
      <w:r>
        <w:t xml:space="preserve">Equations: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  <m:r>
            <m:t> 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x</m:t>
                  </m:r>
                </m:e>
                <m:sub>
                  <m:r>
                    <m:t>j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j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bSup>
                <m:e>
                  <m:r>
                    <m:t>w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  <m:sup>
                  <m:r>
                    <m:t>i</m:t>
                  </m:r>
                  <m:r>
                    <m:t>n</m:t>
                  </m:r>
                </m:sup>
              </m:sSubSup>
            </m:e>
          </m:nary>
          <m:r>
            <m:t> </m:t>
          </m:r>
          <m:sSubSup>
            <m:e>
              <m:r>
                <m:t>r</m:t>
              </m:r>
            </m:e>
            <m:sub>
              <m:r>
                <m:t>i</m:t>
              </m:r>
            </m:sub>
            <m:sup>
              <m:r>
                <m:t>i</m:t>
              </m:r>
              <m:r>
                <m:t>n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g</m:t>
          </m:r>
          <m:r>
            <m:t> 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≠</m:t>
              </m:r>
              <m:r>
                <m:t>j</m:t>
              </m:r>
            </m:sub>
            <m:sup>
              <m:r>
                <m:t>​</m:t>
              </m:r>
            </m:sup>
            <m:e>
              <m:sSubSup>
                <m:e>
                  <m:r>
                    <m:t>w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  <m:sup>
                  <m:r>
                    <m:t>r</m:t>
                  </m:r>
                  <m:r>
                    <m:t>e</m:t>
                  </m:r>
                  <m:r>
                    <m:t>c</m:t>
                  </m:r>
                </m:sup>
              </m:sSubSup>
            </m:e>
          </m:nary>
          <m:r>
            <m:t> 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Admonitions: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Nota Bene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Important information.</w:t>
            </w:r>
          </w:p>
        </w:tc>
      </w:tr>
    </w:tbl>
    <w:p>
      <w:pPr>
        <w:pStyle w:val="BodyText"/>
      </w:pPr>
      <w:r>
        <w:t xml:space="preserve">Code snippets: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bookmarkEnd w:id="27"/>
    <w:bookmarkStart w:id="29" w:name="second-subsection"/>
    <w:p>
      <w:pPr>
        <w:pStyle w:val="Heading2"/>
      </w:pPr>
      <w:r>
        <w:t xml:space="preserve">1.2 Second subsection</w:t>
      </w:r>
    </w:p>
    <w:p>
      <w:pPr>
        <w:pStyle w:val="FirstParagraph"/>
      </w:pPr>
      <w:hyperlink r:id="rId28">
        <w:r>
          <w:rPr>
            <w:rStyle w:val="Hyperlink"/>
          </w:rPr>
          <w:t xml:space="preserve">https://www.youtube.com/embed/tPgf_btTFlc</w:t>
        </w:r>
      </w:hyperlink>
    </w:p>
    <w:bookmarkEnd w:id="29"/>
    <w:bookmarkEnd w:id="30"/>
    <w:bookmarkStart w:id="31" w:name="material-and-methods"/>
    <w:p>
      <w:pPr>
        <w:pStyle w:val="Heading1"/>
      </w:pPr>
      <w:r>
        <w:t xml:space="preserve">2. Material and methods</w:t>
      </w:r>
    </w:p>
    <w:bookmarkEnd w:id="31"/>
    <w:bookmarkStart w:id="32" w:name="sec-results"/>
    <w:p>
      <w:pPr>
        <w:pStyle w:val="Heading1"/>
      </w:pPr>
      <w:r>
        <w:t xml:space="preserve">3. Results</w:t>
      </w:r>
    </w:p>
    <w:bookmarkEnd w:id="32"/>
    <w:bookmarkStart w:id="33" w:name="discussion"/>
    <w:p>
      <w:pPr>
        <w:pStyle w:val="Heading1"/>
      </w:pPr>
      <w:r>
        <w:t xml:space="preserve">4. Discussion</w:t>
      </w:r>
    </w:p>
    <w:bookmarkEnd w:id="33"/>
    <w:bookmarkStart w:id="39" w:name="references"/>
    <w:p>
      <w:pPr>
        <w:pStyle w:val="Heading1"/>
      </w:pPr>
      <w:r>
        <w:t xml:space="preserve">References</w:t>
      </w:r>
    </w:p>
    <w:bookmarkStart w:id="38" w:name="refs"/>
    <w:bookmarkStart w:id="35" w:name="ref-Scholl2022"/>
    <w:p>
      <w:pPr>
        <w:pStyle w:val="Bibliography"/>
      </w:pPr>
      <w:r>
        <w:t xml:space="preserve">Scholl, C., Baladron, J., Vitay, J., and Hamker, F. H. (2022). Enhanced habit formation in</w:t>
      </w:r>
      <w:r>
        <w:t xml:space="preserve"> </w:t>
      </w:r>
      <w:r>
        <w:t xml:space="preserve">Tourette</w:t>
      </w:r>
      <w:r>
        <w:t xml:space="preserve"> </w:t>
      </w:r>
      <w:r>
        <w:t xml:space="preserve">patients explained by shortcut modulation in a hierarchical cortico-basal ganglia model.</w:t>
      </w:r>
      <w:r>
        <w:t xml:space="preserve"> </w:t>
      </w:r>
      <w:r>
        <w:rPr>
          <w:iCs/>
          <w:i/>
        </w:rPr>
        <w:t xml:space="preserve">Brain Structure and Function</w:t>
      </w:r>
      <w:r>
        <w:t xml:space="preserve">. doi:</w:t>
      </w:r>
      <w:hyperlink r:id="rId34">
        <w:r>
          <w:rPr>
            <w:rStyle w:val="Hyperlink"/>
          </w:rPr>
          <w:t xml:space="preserve">10.1007/s00429-021-02446-x</w:t>
        </w:r>
      </w:hyperlink>
      <w:r>
        <w:t xml:space="preserve">.</w:t>
      </w:r>
    </w:p>
    <w:bookmarkEnd w:id="35"/>
    <w:bookmarkStart w:id="37" w:name="ref-Vitay2017"/>
    <w:p>
      <w:pPr>
        <w:pStyle w:val="Bibliography"/>
      </w:pPr>
      <w:r>
        <w:t xml:space="preserve">Vitay, J. (2017). On the role of dopamine in motivated behavior: A neuro-computational approach. Available at:</w:t>
      </w:r>
      <w:r>
        <w:t xml:space="preserve"> </w:t>
      </w:r>
      <w:hyperlink r:id="rId36">
        <w:r>
          <w:rPr>
            <w:rStyle w:val="Hyperlink"/>
          </w:rPr>
          <w:t xml:space="preserve">https://julien-vitay.net/publication/vitay2017/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jpg" /><Relationship Type="http://schemas.openxmlformats.org/officeDocument/2006/relationships/hyperlink" Id="rId34" Target="https://doi.org/10.1007/s00429-021-02446-x" TargetMode="External" /><Relationship Type="http://schemas.openxmlformats.org/officeDocument/2006/relationships/hyperlink" Id="rId36" Target="https://julien-vitay.net/publication/vitay2017/" TargetMode="External" /><Relationship Type="http://schemas.openxmlformats.org/officeDocument/2006/relationships/hyperlink" Id="rId28" Target="https://www.youtube.com/embed/tPgf_btTFl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007/s00429-021-02446-x" TargetMode="External" /><Relationship Type="http://schemas.openxmlformats.org/officeDocument/2006/relationships/hyperlink" Id="rId36" Target="https://julien-vitay.net/publication/vitay2017/" TargetMode="External" /><Relationship Type="http://schemas.openxmlformats.org/officeDocument/2006/relationships/hyperlink" Id="rId28" Target="https://www.youtube.com/embed/tPgf_btTFl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report</dc:title>
  <dc:creator>Julien Vitay; Fred Hamker</dc:creator>
  <cp:keywords/>
  <dcterms:created xsi:type="dcterms:W3CDTF">2024-05-02T13:27:09Z</dcterms:created>
  <dcterms:modified xsi:type="dcterms:W3CDTF">2024-05-02T13:27:09Z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 of the report. It can span multiple lines.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assets/frontiers.csl</vt:lpwstr>
  </property>
  <property fmtid="{D5CDD505-2E9C-101B-9397-08002B2CF9AE}" pid="11" name="date">
    <vt:lpwstr>2024-05-02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subtitle">
    <vt:lpwstr>Subtitle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