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B8A" w:rsidRPr="006F6B8A" w:rsidRDefault="006F6B8A" w:rsidP="006F6B8A">
      <w:pPr>
        <w:pBdr>
          <w:bottom w:val="single" w:sz="4" w:space="1" w:color="auto"/>
        </w:pBdr>
        <w:jc w:val="center"/>
        <w:rPr>
          <w:highlight w:val="yellow"/>
        </w:rPr>
      </w:pPr>
      <w:r>
        <w:rPr>
          <w:highlight w:val="yellow"/>
        </w:rPr>
        <w:t>Для всех ссылочных типов с одинаковым</w:t>
      </w:r>
      <w:proofErr w:type="gramStart"/>
      <w:r>
        <w:rPr>
          <w:highlight w:val="yellow"/>
        </w:rPr>
        <w:t xml:space="preserve"> Т</w:t>
      </w:r>
      <w:proofErr w:type="gramEnd"/>
      <w:r>
        <w:rPr>
          <w:highlight w:val="yellow"/>
        </w:rPr>
        <w:t xml:space="preserve"> (например </w:t>
      </w:r>
      <w:r>
        <w:rPr>
          <w:highlight w:val="yellow"/>
          <w:lang w:val="en-US"/>
        </w:rPr>
        <w:t>string</w:t>
      </w:r>
      <w:r>
        <w:rPr>
          <w:highlight w:val="yellow"/>
        </w:rPr>
        <w:t>)</w:t>
      </w:r>
      <w:r w:rsidRPr="006F6B8A">
        <w:rPr>
          <w:highlight w:val="yellow"/>
        </w:rPr>
        <w:t xml:space="preserve"> </w:t>
      </w:r>
      <w:r>
        <w:rPr>
          <w:highlight w:val="yellow"/>
        </w:rPr>
        <w:t xml:space="preserve">будет создаваться один тип (если мы в коде создадим коллекцию какого либо класса и закроем ее </w:t>
      </w:r>
      <w:r>
        <w:rPr>
          <w:highlight w:val="yellow"/>
          <w:lang w:val="en-US"/>
        </w:rPr>
        <w:t>string</w:t>
      </w:r>
      <w:r>
        <w:rPr>
          <w:highlight w:val="yellow"/>
        </w:rPr>
        <w:t>), а для типов значений, будет создаваться постоянно новый тип!!!</w:t>
      </w:r>
      <w:bookmarkStart w:id="0" w:name="_GoBack"/>
      <w:bookmarkEnd w:id="0"/>
      <w:r>
        <w:rPr>
          <w:highlight w:val="yellow"/>
        </w:rPr>
        <w:t xml:space="preserve"> </w:t>
      </w:r>
    </w:p>
    <w:p w:rsidR="00E13594" w:rsidRDefault="00E13594" w:rsidP="00E13594">
      <w:pPr>
        <w:jc w:val="center"/>
      </w:pPr>
      <w:r w:rsidRPr="00E13594">
        <w:rPr>
          <w:highlight w:val="yellow"/>
        </w:rPr>
        <w:t>Ограничения параметризированных классов</w:t>
      </w:r>
      <w:r>
        <w:t xml:space="preserve"> (ограничения - </w:t>
      </w:r>
      <w:r w:rsidRPr="00E13594">
        <w:rPr>
          <w:highlight w:val="cyan"/>
          <w:lang w:val="en-US"/>
        </w:rPr>
        <w:t>Constraint</w:t>
      </w:r>
      <w:r>
        <w:t>)</w:t>
      </w:r>
    </w:p>
    <w:p w:rsidR="00E13594" w:rsidRDefault="00E13594" w:rsidP="00E13594">
      <w:pPr>
        <w:jc w:val="center"/>
      </w:pPr>
      <w:r w:rsidRPr="00E13594">
        <w:rPr>
          <w:highlight w:val="green"/>
        </w:rPr>
        <w:t xml:space="preserve">В качестве параметра типа должны </w:t>
      </w:r>
      <w:r w:rsidRPr="00E13594">
        <w:rPr>
          <w:highlight w:val="red"/>
        </w:rPr>
        <w:t>подставить только ссылочный тип</w:t>
      </w:r>
    </w:p>
    <w:p w:rsidR="00E13594" w:rsidRPr="00E13594" w:rsidRDefault="00E13594" w:rsidP="00E13594">
      <w:pPr>
        <w:jc w:val="center"/>
        <w:rPr>
          <w:highlight w:val="yellow"/>
        </w:rPr>
      </w:pPr>
      <w:r w:rsidRPr="00E13594">
        <w:rPr>
          <w:highlight w:val="yellow"/>
        </w:rPr>
        <w:t xml:space="preserve">Передаваемый тип должен быть </w:t>
      </w:r>
      <w:r w:rsidRPr="00E13594">
        <w:rPr>
          <w:highlight w:val="green"/>
        </w:rPr>
        <w:t>ссылочным</w:t>
      </w:r>
    </w:p>
    <w:p w:rsidR="00E13594" w:rsidRDefault="00E13594" w:rsidP="00E13594">
      <w:pPr>
        <w:jc w:val="center"/>
      </w:pPr>
      <w:r w:rsidRPr="00E13594">
        <w:rPr>
          <w:highlight w:val="yellow"/>
        </w:rPr>
        <w:t xml:space="preserve">Во втором примере </w:t>
      </w:r>
      <w:proofErr w:type="gramStart"/>
      <w:r w:rsidRPr="00E13594">
        <w:rPr>
          <w:highlight w:val="yellow"/>
        </w:rPr>
        <w:t>передаваемы</w:t>
      </w:r>
      <w:proofErr w:type="gramEnd"/>
      <w:r w:rsidRPr="00E13594">
        <w:rPr>
          <w:highlight w:val="yellow"/>
        </w:rPr>
        <w:t xml:space="preserve"> тип должен быть </w:t>
      </w:r>
      <w:r w:rsidRPr="00E13594">
        <w:rPr>
          <w:highlight w:val="green"/>
        </w:rPr>
        <w:t>структурным</w:t>
      </w:r>
      <w:r w:rsidR="00C66D17">
        <w:t xml:space="preserve"> (</w:t>
      </w:r>
      <w:r w:rsidR="00C66D17" w:rsidRPr="00C66D17">
        <w:rPr>
          <w:highlight w:val="green"/>
        </w:rPr>
        <w:t>закрыть</w:t>
      </w:r>
      <w:r w:rsidR="00C66D17">
        <w:t xml:space="preserve"> должны структурой)</w:t>
      </w:r>
    </w:p>
    <w:p w:rsidR="00EA2500" w:rsidRDefault="00E135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0B5550" wp14:editId="207F8A92">
            <wp:extent cx="5824997" cy="1843270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462" cy="184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94" w:rsidRDefault="00E13594" w:rsidP="00E55B0A">
      <w:pPr>
        <w:jc w:val="center"/>
      </w:pPr>
      <w:r w:rsidRPr="00E55B0A">
        <w:rPr>
          <w:highlight w:val="yellow"/>
        </w:rPr>
        <w:t>Аргумент  типа  должен иметь открытый конструктор без параметров</w:t>
      </w:r>
    </w:p>
    <w:p w:rsidR="00E13594" w:rsidRDefault="00E13594">
      <w:r w:rsidRPr="00E55B0A">
        <w:rPr>
          <w:highlight w:val="green"/>
        </w:rPr>
        <w:t>Если в ограничения включены</w:t>
      </w:r>
      <w:r>
        <w:t xml:space="preserve"> </w:t>
      </w:r>
      <w:r w:rsidRPr="00E55B0A">
        <w:rPr>
          <w:highlight w:val="cyan"/>
          <w:lang w:val="en-US"/>
        </w:rPr>
        <w:t>class</w:t>
      </w:r>
      <w:r w:rsidRPr="00E13594">
        <w:t xml:space="preserve">, </w:t>
      </w:r>
      <w:proofErr w:type="spellStart"/>
      <w:r w:rsidRPr="00E55B0A">
        <w:rPr>
          <w:highlight w:val="cyan"/>
          <w:lang w:val="en-US"/>
        </w:rPr>
        <w:t>struct</w:t>
      </w:r>
      <w:proofErr w:type="spellEnd"/>
      <w:r w:rsidRPr="00E13594">
        <w:t xml:space="preserve"> </w:t>
      </w:r>
      <w:r>
        <w:t xml:space="preserve">то </w:t>
      </w:r>
      <w:r w:rsidRPr="00E55B0A">
        <w:rPr>
          <w:highlight w:val="cyan"/>
          <w:lang w:val="en-US"/>
        </w:rPr>
        <w:t>new</w:t>
      </w:r>
      <w:r w:rsidRPr="00E55B0A">
        <w:rPr>
          <w:highlight w:val="cyan"/>
        </w:rPr>
        <w:t>()</w:t>
      </w:r>
      <w:r>
        <w:t xml:space="preserve"> </w:t>
      </w:r>
      <w:r w:rsidRPr="00E55B0A">
        <w:rPr>
          <w:highlight w:val="green"/>
        </w:rPr>
        <w:t>должен идти в последовательности за ними</w:t>
      </w:r>
    </w:p>
    <w:p w:rsidR="00E55B0A" w:rsidRDefault="00E13594">
      <w:r>
        <w:rPr>
          <w:noProof/>
          <w:lang w:eastAsia="ru-RU"/>
        </w:rPr>
        <w:drawing>
          <wp:inline distT="0" distB="0" distL="0" distR="0" wp14:anchorId="095B4C46" wp14:editId="4195337E">
            <wp:extent cx="5940425" cy="113302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94" w:rsidRDefault="00E55B0A" w:rsidP="00E55B0A">
      <w:pPr>
        <w:jc w:val="center"/>
      </w:pPr>
      <w:r w:rsidRPr="00E55B0A">
        <w:rPr>
          <w:highlight w:val="yellow"/>
        </w:rPr>
        <w:t xml:space="preserve">Аргумент типа должен </w:t>
      </w:r>
      <w:r w:rsidRPr="00CC0512">
        <w:rPr>
          <w:highlight w:val="green"/>
        </w:rPr>
        <w:t xml:space="preserve">являться </w:t>
      </w:r>
      <w:r w:rsidR="00CC0512" w:rsidRPr="00CC0512">
        <w:rPr>
          <w:highlight w:val="green"/>
        </w:rPr>
        <w:t xml:space="preserve">указанным типом </w:t>
      </w:r>
      <w:r w:rsidRPr="00E55B0A">
        <w:rPr>
          <w:highlight w:val="yellow"/>
        </w:rPr>
        <w:t xml:space="preserve">или быть </w:t>
      </w:r>
      <w:proofErr w:type="gramStart"/>
      <w:r w:rsidRPr="00CC0512">
        <w:rPr>
          <w:highlight w:val="green"/>
        </w:rPr>
        <w:t>производны</w:t>
      </w:r>
      <w:proofErr w:type="gramEnd"/>
      <w:r w:rsidRPr="00CC0512">
        <w:rPr>
          <w:highlight w:val="green"/>
        </w:rPr>
        <w:t xml:space="preserve"> от указанного типа</w:t>
      </w:r>
      <w:r>
        <w:rPr>
          <w:noProof/>
          <w:lang w:eastAsia="ru-RU"/>
        </w:rPr>
        <w:drawing>
          <wp:inline distT="0" distB="0" distL="0" distR="0" wp14:anchorId="2CE07724" wp14:editId="37DEB2DF">
            <wp:extent cx="5940425" cy="106803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CC" w:rsidRDefault="00AB0ACC" w:rsidP="00E55B0A">
      <w:pPr>
        <w:jc w:val="center"/>
      </w:pPr>
      <w:r w:rsidRPr="00AB0ACC">
        <w:rPr>
          <w:highlight w:val="yellow"/>
        </w:rPr>
        <w:t>Аргумент типа должен быть интерфейсом или реализовывать интерфейс</w:t>
      </w:r>
    </w:p>
    <w:p w:rsidR="00AB0ACC" w:rsidRDefault="00AB0ACC" w:rsidP="00E55B0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94307A" wp14:editId="590A2E25">
            <wp:extent cx="4943475" cy="2598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5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0A" w:rsidRDefault="00AB0ACC" w:rsidP="00E55B0A">
      <w:pPr>
        <w:jc w:val="center"/>
      </w:pPr>
      <w:r w:rsidRPr="00AB0ACC">
        <w:rPr>
          <w:highlight w:val="yellow"/>
        </w:rPr>
        <w:t>Пример</w:t>
      </w:r>
      <w:r>
        <w:t xml:space="preserve"> </w:t>
      </w:r>
      <w:proofErr w:type="spellStart"/>
      <w:r w:rsidRPr="00AB0ACC">
        <w:rPr>
          <w:highlight w:val="cyan"/>
        </w:rPr>
        <w:t>контрвариантности</w:t>
      </w:r>
      <w:proofErr w:type="spellEnd"/>
    </w:p>
    <w:p w:rsidR="00AB0ACC" w:rsidRDefault="00AB0ACC" w:rsidP="00E55B0A">
      <w:pPr>
        <w:jc w:val="center"/>
      </w:pPr>
      <w:r>
        <w:rPr>
          <w:noProof/>
          <w:lang w:eastAsia="ru-RU"/>
        </w:rPr>
        <w:drawing>
          <wp:inline distT="0" distB="0" distL="0" distR="0" wp14:anchorId="3493AA12" wp14:editId="5F01C7AB">
            <wp:extent cx="3905250" cy="197599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CC" w:rsidRDefault="00AB0ACC" w:rsidP="00E55B0A">
      <w:pPr>
        <w:jc w:val="center"/>
      </w:pPr>
      <w:r w:rsidRPr="00AB0ACC">
        <w:rPr>
          <w:highlight w:val="yellow"/>
        </w:rPr>
        <w:t>И</w:t>
      </w:r>
      <w:r>
        <w:t xml:space="preserve"> </w:t>
      </w:r>
      <w:proofErr w:type="spellStart"/>
      <w:r w:rsidRPr="00AB0ACC">
        <w:rPr>
          <w:highlight w:val="cyan"/>
        </w:rPr>
        <w:t>ковариантности</w:t>
      </w:r>
      <w:proofErr w:type="spellEnd"/>
    </w:p>
    <w:p w:rsidR="00AB0ACC" w:rsidRPr="0073463F" w:rsidRDefault="00AB0ACC" w:rsidP="00E55B0A">
      <w:pPr>
        <w:jc w:val="center"/>
        <w:rPr>
          <w:lang w:val="en-US"/>
        </w:rPr>
      </w:pPr>
      <w:r w:rsidRPr="0073463F">
        <w:rPr>
          <w:noProof/>
          <w:lang w:eastAsia="ru-RU"/>
        </w:rPr>
        <w:drawing>
          <wp:inline distT="0" distB="0" distL="0" distR="0" wp14:anchorId="03486ED4" wp14:editId="0CD06AAC">
            <wp:extent cx="3933825" cy="201311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3F" w:rsidRPr="0073463F" w:rsidRDefault="0073463F" w:rsidP="00E55B0A">
      <w:pPr>
        <w:jc w:val="center"/>
      </w:pPr>
      <w:r w:rsidRPr="0073463F">
        <w:rPr>
          <w:rStyle w:val="apple-converted-space"/>
          <w:rFonts w:ascii="Trebuchet MS" w:hAnsi="Trebuchet MS"/>
          <w:color w:val="DDDDDD"/>
          <w:sz w:val="23"/>
          <w:szCs w:val="23"/>
          <w:shd w:val="clear" w:color="auto" w:fill="333333"/>
        </w:rPr>
        <w:t> </w:t>
      </w:r>
      <w:r w:rsidRPr="0073463F">
        <w:rPr>
          <w:rFonts w:ascii="Trebuchet MS" w:hAnsi="Trebuchet MS"/>
          <w:sz w:val="23"/>
          <w:szCs w:val="23"/>
          <w:shd w:val="clear" w:color="auto" w:fill="333333"/>
        </w:rPr>
        <w:t>В частности,</w:t>
      </w:r>
      <w:r w:rsidRPr="0073463F">
        <w:rPr>
          <w:rStyle w:val="apple-converted-space"/>
          <w:rFonts w:ascii="Trebuchet MS" w:hAnsi="Trebuchet MS"/>
          <w:sz w:val="23"/>
          <w:szCs w:val="23"/>
          <w:shd w:val="clear" w:color="auto" w:fill="333333"/>
        </w:rPr>
        <w:t> </w:t>
      </w:r>
      <w:proofErr w:type="spellStart"/>
      <w:r w:rsidRPr="0073463F">
        <w:rPr>
          <w:rStyle w:val="a5"/>
          <w:rFonts w:ascii="Trebuchet MS" w:hAnsi="Trebuchet MS"/>
          <w:i/>
          <w:iCs/>
          <w:sz w:val="23"/>
          <w:szCs w:val="23"/>
          <w:bdr w:val="none" w:sz="0" w:space="0" w:color="auto" w:frame="1"/>
          <w:shd w:val="clear" w:color="auto" w:fill="333333"/>
        </w:rPr>
        <w:t>ковариантность</w:t>
      </w:r>
      <w:proofErr w:type="spellEnd"/>
      <w:r w:rsidRPr="0073463F">
        <w:rPr>
          <w:rStyle w:val="apple-converted-space"/>
          <w:rFonts w:ascii="Trebuchet MS" w:hAnsi="Trebuchet MS"/>
          <w:sz w:val="23"/>
          <w:szCs w:val="23"/>
          <w:shd w:val="clear" w:color="auto" w:fill="333333"/>
        </w:rPr>
        <w:t> </w:t>
      </w:r>
      <w:r w:rsidRPr="0073463F">
        <w:rPr>
          <w:rFonts w:ascii="Trebuchet MS" w:hAnsi="Trebuchet MS"/>
          <w:sz w:val="23"/>
          <w:szCs w:val="23"/>
          <w:shd w:val="clear" w:color="auto" w:fill="333333"/>
        </w:rPr>
        <w:t xml:space="preserve">позволяет присвоить делегату метод, возвращаемым типом которого служит класс, производный от класса, указываемого в возвращаемом типе делегата. </w:t>
      </w:r>
      <w:proofErr w:type="spellStart"/>
      <w:r w:rsidRPr="0073463F">
        <w:rPr>
          <w:rFonts w:ascii="Trebuchet MS" w:hAnsi="Trebuchet MS"/>
          <w:sz w:val="23"/>
          <w:szCs w:val="23"/>
          <w:shd w:val="clear" w:color="auto" w:fill="333333"/>
        </w:rPr>
        <w:t>А</w:t>
      </w:r>
      <w:r w:rsidRPr="0073463F">
        <w:rPr>
          <w:rStyle w:val="a5"/>
          <w:rFonts w:ascii="Trebuchet MS" w:hAnsi="Trebuchet MS"/>
          <w:i/>
          <w:iCs/>
          <w:sz w:val="23"/>
          <w:szCs w:val="23"/>
          <w:bdr w:val="none" w:sz="0" w:space="0" w:color="auto" w:frame="1"/>
          <w:shd w:val="clear" w:color="auto" w:fill="333333"/>
        </w:rPr>
        <w:t>контравариантность</w:t>
      </w:r>
      <w:proofErr w:type="spellEnd"/>
      <w:r w:rsidRPr="0073463F">
        <w:rPr>
          <w:rStyle w:val="apple-converted-space"/>
          <w:rFonts w:ascii="Trebuchet MS" w:hAnsi="Trebuchet MS"/>
          <w:sz w:val="23"/>
          <w:szCs w:val="23"/>
          <w:shd w:val="clear" w:color="auto" w:fill="333333"/>
        </w:rPr>
        <w:t> </w:t>
      </w:r>
      <w:r w:rsidRPr="0073463F">
        <w:rPr>
          <w:rFonts w:ascii="Trebuchet MS" w:hAnsi="Trebuchet MS"/>
          <w:sz w:val="23"/>
          <w:szCs w:val="23"/>
          <w:shd w:val="clear" w:color="auto" w:fill="333333"/>
        </w:rPr>
        <w:t>позволяет присвоить делегату метод, типом параметра которого служит класс, являющийся базовым для класса, указываемого в объявлении делегата.</w:t>
      </w:r>
    </w:p>
    <w:p w:rsidR="00AB0ACC" w:rsidRPr="00E13594" w:rsidRDefault="00455AEE" w:rsidP="00E55B0A">
      <w:pPr>
        <w:jc w:val="center"/>
      </w:pPr>
      <w:r>
        <w:t>20 02</w:t>
      </w:r>
    </w:p>
    <w:sectPr w:rsidR="00AB0ACC" w:rsidRPr="00E13594" w:rsidSect="00AB0AC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A3C"/>
    <w:rsid w:val="003A2A3C"/>
    <w:rsid w:val="00455AEE"/>
    <w:rsid w:val="006F6B8A"/>
    <w:rsid w:val="0073463F"/>
    <w:rsid w:val="00830DB7"/>
    <w:rsid w:val="00AB0ACC"/>
    <w:rsid w:val="00C66D17"/>
    <w:rsid w:val="00CC0512"/>
    <w:rsid w:val="00E13594"/>
    <w:rsid w:val="00E55B0A"/>
    <w:rsid w:val="00EA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59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3463F"/>
  </w:style>
  <w:style w:type="character" w:styleId="a5">
    <w:name w:val="Strong"/>
    <w:basedOn w:val="a0"/>
    <w:uiPriority w:val="22"/>
    <w:qFormat/>
    <w:rsid w:val="007346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59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3463F"/>
  </w:style>
  <w:style w:type="character" w:styleId="a5">
    <w:name w:val="Strong"/>
    <w:basedOn w:val="a0"/>
    <w:uiPriority w:val="22"/>
    <w:qFormat/>
    <w:rsid w:val="00734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5</cp:revision>
  <dcterms:created xsi:type="dcterms:W3CDTF">2014-11-05T17:26:00Z</dcterms:created>
  <dcterms:modified xsi:type="dcterms:W3CDTF">2015-06-06T17:35:00Z</dcterms:modified>
</cp:coreProperties>
</file>